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1227">
      <w:pPr>
        <w:tabs>
          <w:tab w:val="left" w:pos="2505"/>
          <w:tab w:val="center" w:pos="4204"/>
        </w:tabs>
        <w:adjustRightInd w:val="0"/>
        <w:snapToGrid w:val="0"/>
        <w:spacing w:line="360" w:lineRule="auto"/>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4C4DD396">
      <w:pPr>
        <w:spacing w:line="640" w:lineRule="exact"/>
        <w:jc w:val="center"/>
        <w:rPr>
          <w:rFonts w:hint="eastAsia" w:ascii="仿宋_GB2312" w:hAnsi="仿宋_GB2312" w:eastAsia="仿宋_GB2312" w:cs="仿宋_GB2312"/>
          <w:b/>
          <w:bCs/>
          <w:spacing w:val="-28"/>
          <w:sz w:val="44"/>
          <w:szCs w:val="44"/>
          <w:lang w:val="en-US" w:eastAsia="zh-CN"/>
        </w:rPr>
      </w:pPr>
      <w:r>
        <w:rPr>
          <w:rFonts w:hint="eastAsia" w:ascii="仿宋_GB2312" w:hAnsi="仿宋_GB2312" w:eastAsia="仿宋_GB2312" w:cs="仿宋_GB2312"/>
          <w:b/>
          <w:bCs/>
          <w:spacing w:val="-28"/>
          <w:sz w:val="44"/>
          <w:szCs w:val="44"/>
          <w:lang w:val="en-US" w:eastAsia="zh-CN"/>
        </w:rPr>
        <w:t>厂区大门及楼栋标识建设服务采购</w:t>
      </w:r>
    </w:p>
    <w:p w14:paraId="188CB74E">
      <w:pPr>
        <w:spacing w:line="640" w:lineRule="exact"/>
        <w:jc w:val="center"/>
        <w:rPr>
          <w:rFonts w:hint="default" w:ascii="方正小标宋简体" w:hAnsi="方正小标宋简体" w:eastAsia="方正小标宋简体" w:cs="宋体"/>
          <w:sz w:val="44"/>
          <w:szCs w:val="44"/>
          <w:lang w:val="en-US" w:eastAsia="zh-CN"/>
        </w:rPr>
      </w:pPr>
      <w:r>
        <w:rPr>
          <w:rFonts w:hint="eastAsia" w:ascii="方正小标宋简体" w:hAnsi="方正小标宋简体" w:eastAsia="方正小标宋简体" w:cs="宋体"/>
          <w:sz w:val="44"/>
          <w:szCs w:val="44"/>
          <w:lang w:val="en-US" w:eastAsia="zh-CN"/>
        </w:rPr>
        <w:t>谈判</w:t>
      </w:r>
      <w:r>
        <w:rPr>
          <w:rFonts w:hint="eastAsia" w:ascii="方正小标宋简体" w:hAnsi="方正小标宋简体" w:eastAsia="方正小标宋简体" w:cs="宋体"/>
          <w:sz w:val="44"/>
          <w:szCs w:val="44"/>
        </w:rPr>
        <w:t>公告</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重庆九洲智造科技有限公司厂区大门及楼栋标识建设服务采购</w:t>
      </w:r>
      <w:r>
        <w:rPr>
          <w:rFonts w:hint="eastAsia" w:ascii="仿宋" w:hAnsi="仿宋" w:eastAsia="仿宋" w:cs="仿宋"/>
          <w:bCs/>
          <w:sz w:val="32"/>
          <w:szCs w:val="32"/>
          <w:u w:val="none"/>
          <w:lang w:val="en-US" w:eastAsia="zh-CN"/>
        </w:rPr>
        <w:t>项目</w:t>
      </w:r>
      <w:r>
        <w:rPr>
          <w:rFonts w:hint="eastAsia" w:ascii="仿宋" w:hAnsi="仿宋" w:eastAsia="仿宋" w:cs="仿宋"/>
          <w:sz w:val="32"/>
          <w:szCs w:val="32"/>
          <w:lang w:val="en-US" w:eastAsia="zh-CN"/>
        </w:rPr>
        <w:t>，相关事项公告如下：</w:t>
      </w:r>
    </w:p>
    <w:bookmarkEnd w:id="0"/>
    <w:p w14:paraId="43F1C78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lang w:val="en-US" w:eastAsia="zh-CN"/>
        </w:rPr>
        <w:t>1.</w:t>
      </w: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lang w:val="en-US" w:eastAsia="zh-CN"/>
        </w:rPr>
        <w:t>厂区大门及楼栋标识建设服务采购</w:t>
      </w:r>
      <w:r>
        <w:rPr>
          <w:rFonts w:hint="eastAsia" w:ascii="仿宋" w:hAnsi="仿宋" w:eastAsia="仿宋" w:cs="仿宋"/>
          <w:sz w:val="32"/>
          <w:szCs w:val="32"/>
          <w:lang w:val="en-US" w:eastAsia="zh-CN"/>
        </w:rPr>
        <w:t>。</w:t>
      </w:r>
    </w:p>
    <w:p w14:paraId="389B9796">
      <w:pPr>
        <w:numPr>
          <w:ilvl w:val="0"/>
          <w:numId w:val="1"/>
        </w:numPr>
        <w:spacing w:line="560" w:lineRule="exact"/>
        <w:ind w:firstLine="643" w:firstLineChars="200"/>
        <w:jc w:val="left"/>
        <w:rPr>
          <w:rFonts w:hint="eastAsia" w:ascii="楷体_GB2312" w:hAnsi="宋体" w:eastAsia="楷体_GB2312" w:cs="宋体"/>
          <w:b/>
          <w:bCs/>
          <w:sz w:val="32"/>
          <w:szCs w:val="32"/>
          <w:lang w:val="en-US" w:eastAsia="zh-CN"/>
        </w:rPr>
      </w:pPr>
      <w:r>
        <w:rPr>
          <w:rFonts w:hint="eastAsia" w:ascii="楷体_GB2312" w:hAnsi="宋体" w:eastAsia="楷体_GB2312" w:cs="宋体"/>
          <w:b/>
          <w:bCs/>
          <w:sz w:val="32"/>
          <w:szCs w:val="32"/>
          <w:lang w:val="en-US" w:eastAsia="zh-CN"/>
        </w:rPr>
        <w:t>项目内容：</w:t>
      </w:r>
    </w:p>
    <w:tbl>
      <w:tblPr>
        <w:tblStyle w:val="12"/>
        <w:tblpPr w:leftFromText="180" w:rightFromText="180" w:vertAnchor="text" w:horzAnchor="page" w:tblpXSpec="center" w:tblpY="568"/>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6"/>
        <w:gridCol w:w="1505"/>
        <w:gridCol w:w="2154"/>
        <w:gridCol w:w="3364"/>
        <w:gridCol w:w="1700"/>
        <w:gridCol w:w="1032"/>
        <w:gridCol w:w="929"/>
      </w:tblGrid>
      <w:tr w14:paraId="3CB1D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76" w:type="dxa"/>
            <w:tcBorders>
              <w:top w:val="single" w:color="000000" w:sz="4" w:space="0"/>
              <w:left w:val="single" w:color="000000" w:sz="4" w:space="0"/>
              <w:bottom w:val="nil"/>
              <w:right w:val="single" w:color="000000" w:sz="4" w:space="0"/>
            </w:tcBorders>
            <w:shd w:val="clear" w:color="auto" w:fill="969696"/>
            <w:noWrap/>
            <w:vAlign w:val="center"/>
          </w:tcPr>
          <w:p w14:paraId="15DAD5F5">
            <w:pPr>
              <w:keepNext w:val="0"/>
              <w:keepLines w:val="0"/>
              <w:widowControl/>
              <w:suppressLineNumbers w:val="0"/>
              <w:ind w:left="0" w:leftChars="0" w:right="0" w:rightChars="0" w:firstLine="0" w:firstLineChars="0"/>
              <w:jc w:val="center"/>
              <w:textAlignment w:val="center"/>
              <w:rPr>
                <w:rFonts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序号</w:t>
            </w:r>
          </w:p>
        </w:tc>
        <w:tc>
          <w:tcPr>
            <w:tcW w:w="1505" w:type="dxa"/>
            <w:tcBorders>
              <w:top w:val="single" w:color="000000" w:sz="4" w:space="0"/>
              <w:left w:val="single" w:color="000000" w:sz="4" w:space="0"/>
              <w:bottom w:val="nil"/>
              <w:right w:val="single" w:color="000000" w:sz="4" w:space="0"/>
            </w:tcBorders>
            <w:shd w:val="clear" w:color="auto" w:fill="969696"/>
            <w:noWrap w:val="0"/>
            <w:vAlign w:val="center"/>
          </w:tcPr>
          <w:p w14:paraId="6D8D0390">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项目类别</w:t>
            </w:r>
          </w:p>
        </w:tc>
        <w:tc>
          <w:tcPr>
            <w:tcW w:w="2154" w:type="dxa"/>
            <w:tcBorders>
              <w:top w:val="single" w:color="000000" w:sz="4" w:space="0"/>
              <w:left w:val="single" w:color="000000" w:sz="4" w:space="0"/>
              <w:bottom w:val="nil"/>
              <w:right w:val="single" w:color="000000" w:sz="4" w:space="0"/>
            </w:tcBorders>
            <w:shd w:val="clear" w:color="auto" w:fill="969696"/>
            <w:noWrap w:val="0"/>
            <w:vAlign w:val="center"/>
          </w:tcPr>
          <w:p w14:paraId="4F8B064F">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效果图（仅作参考）</w:t>
            </w:r>
          </w:p>
        </w:tc>
        <w:tc>
          <w:tcPr>
            <w:tcW w:w="3364" w:type="dxa"/>
            <w:tcBorders>
              <w:top w:val="single" w:color="000000" w:sz="4" w:space="0"/>
              <w:left w:val="single" w:color="000000" w:sz="4" w:space="0"/>
              <w:bottom w:val="nil"/>
              <w:right w:val="single" w:color="000000" w:sz="4" w:space="0"/>
            </w:tcBorders>
            <w:shd w:val="clear" w:color="auto" w:fill="969696"/>
            <w:noWrap w:val="0"/>
            <w:vAlign w:val="center"/>
          </w:tcPr>
          <w:p w14:paraId="46DEC4A9">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材料/材质</w:t>
            </w:r>
          </w:p>
        </w:tc>
        <w:tc>
          <w:tcPr>
            <w:tcW w:w="1700" w:type="dxa"/>
            <w:tcBorders>
              <w:top w:val="single" w:color="000000" w:sz="4" w:space="0"/>
              <w:left w:val="single" w:color="000000" w:sz="4" w:space="0"/>
              <w:bottom w:val="nil"/>
              <w:right w:val="single" w:color="000000" w:sz="4" w:space="0"/>
            </w:tcBorders>
            <w:shd w:val="clear" w:color="auto" w:fill="969696"/>
            <w:noWrap w:val="0"/>
            <w:vAlign w:val="center"/>
          </w:tcPr>
          <w:p w14:paraId="15ADF5D3">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详述（mm)</w:t>
            </w:r>
          </w:p>
        </w:tc>
        <w:tc>
          <w:tcPr>
            <w:tcW w:w="1032" w:type="dxa"/>
            <w:tcBorders>
              <w:top w:val="single" w:color="000000" w:sz="4" w:space="0"/>
              <w:left w:val="single" w:color="000000" w:sz="4" w:space="0"/>
              <w:bottom w:val="nil"/>
              <w:right w:val="single" w:color="000000" w:sz="4" w:space="0"/>
            </w:tcBorders>
            <w:shd w:val="clear" w:color="auto" w:fill="969696"/>
            <w:noWrap/>
            <w:vAlign w:val="center"/>
          </w:tcPr>
          <w:p w14:paraId="6BEC0F69">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数量</w:t>
            </w:r>
          </w:p>
        </w:tc>
        <w:tc>
          <w:tcPr>
            <w:tcW w:w="929" w:type="dxa"/>
            <w:tcBorders>
              <w:top w:val="single" w:color="000000" w:sz="4" w:space="0"/>
              <w:left w:val="single" w:color="000000" w:sz="4" w:space="0"/>
              <w:bottom w:val="nil"/>
              <w:right w:val="single" w:color="000000" w:sz="4" w:space="0"/>
            </w:tcBorders>
            <w:shd w:val="clear" w:color="auto" w:fill="969696"/>
            <w:noWrap/>
            <w:vAlign w:val="center"/>
          </w:tcPr>
          <w:p w14:paraId="07106553">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单位</w:t>
            </w:r>
          </w:p>
        </w:tc>
      </w:tr>
      <w:tr w14:paraId="70B2C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25FEAB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5" w:type="dxa"/>
            <w:vMerge w:val="restart"/>
            <w:tcBorders>
              <w:top w:val="single" w:color="000000" w:sz="4" w:space="0"/>
              <w:left w:val="single" w:color="000000" w:sz="4" w:space="0"/>
              <w:bottom w:val="single" w:color="000000" w:sz="4" w:space="0"/>
              <w:right w:val="single" w:color="000000" w:sz="4" w:space="0"/>
            </w:tcBorders>
            <w:noWrap/>
            <w:vAlign w:val="center"/>
          </w:tcPr>
          <w:p w14:paraId="10806E2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厂区大门中文</w:t>
            </w:r>
          </w:p>
        </w:tc>
        <w:tc>
          <w:tcPr>
            <w:tcW w:w="2154" w:type="dxa"/>
            <w:vMerge w:val="restart"/>
            <w:tcBorders>
              <w:top w:val="single" w:color="000000" w:sz="4" w:space="0"/>
              <w:left w:val="single" w:color="000000" w:sz="4" w:space="0"/>
              <w:bottom w:val="single" w:color="000000" w:sz="4" w:space="0"/>
              <w:right w:val="single" w:color="000000" w:sz="4" w:space="0"/>
            </w:tcBorders>
            <w:noWrap/>
            <w:vAlign w:val="center"/>
          </w:tcPr>
          <w:p w14:paraId="2296832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69850</wp:posOffset>
                  </wp:positionH>
                  <wp:positionV relativeFrom="paragraph">
                    <wp:posOffset>434340</wp:posOffset>
                  </wp:positionV>
                  <wp:extent cx="1078865" cy="647065"/>
                  <wp:effectExtent l="0" t="0" r="6985" b="635"/>
                  <wp:wrapNone/>
                  <wp:docPr id="4" name="图片_9"/>
                  <wp:cNvGraphicFramePr/>
                  <a:graphic xmlns:a="http://schemas.openxmlformats.org/drawingml/2006/main">
                    <a:graphicData uri="http://schemas.openxmlformats.org/drawingml/2006/picture">
                      <pic:pic xmlns:pic="http://schemas.openxmlformats.org/drawingml/2006/picture">
                        <pic:nvPicPr>
                          <pic:cNvPr id="4" name="图片_9"/>
                          <pic:cNvPicPr/>
                        </pic:nvPicPr>
                        <pic:blipFill>
                          <a:blip r:embed="rId7"/>
                          <a:stretch>
                            <a:fillRect/>
                          </a:stretch>
                        </pic:blipFill>
                        <pic:spPr>
                          <a:xfrm>
                            <a:off x="0" y="0"/>
                            <a:ext cx="1078865" cy="64706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6B35261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精工不锈钢立体字：不锈钢材质数控切割、无缝密焊、精细打磨精制而成立体字；脱脂除锈清洁处理，涂刷防锈封闭底漆，面层采用高品质汽车级油漆多层喷涂、高温固化工艺。</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B336B0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490*8360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8AD487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CDAAE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47281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0E17629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5" w:type="dxa"/>
            <w:vMerge w:val="continue"/>
            <w:tcBorders>
              <w:top w:val="single" w:color="000000" w:sz="4" w:space="0"/>
              <w:left w:val="single" w:color="000000" w:sz="4" w:space="0"/>
              <w:bottom w:val="single" w:color="000000" w:sz="4" w:space="0"/>
              <w:right w:val="single" w:color="000000" w:sz="4" w:space="0"/>
            </w:tcBorders>
            <w:noWrap/>
            <w:vAlign w:val="center"/>
          </w:tcPr>
          <w:p w14:paraId="5C8C0764">
            <w:pPr>
              <w:ind w:left="0" w:leftChars="0" w:right="0" w:rightChars="0" w:firstLine="0" w:firstLineChars="0"/>
              <w:jc w:val="center"/>
              <w:rPr>
                <w:rFonts w:hint="eastAsia" w:ascii="宋体" w:hAnsi="宋体" w:eastAsia="宋体" w:cs="宋体"/>
                <w:i w:val="0"/>
                <w:iCs w:val="0"/>
                <w:color w:val="000000"/>
                <w:sz w:val="18"/>
                <w:szCs w:val="18"/>
                <w:u w:val="none"/>
              </w:rPr>
            </w:pPr>
          </w:p>
        </w:tc>
        <w:tc>
          <w:tcPr>
            <w:tcW w:w="2154" w:type="dxa"/>
            <w:vMerge w:val="continue"/>
            <w:tcBorders>
              <w:top w:val="single" w:color="000000" w:sz="4" w:space="0"/>
              <w:left w:val="single" w:color="000000" w:sz="4" w:space="0"/>
              <w:bottom w:val="single" w:color="000000" w:sz="4" w:space="0"/>
              <w:right w:val="single" w:color="000000" w:sz="4" w:space="0"/>
            </w:tcBorders>
            <w:noWrap/>
            <w:vAlign w:val="center"/>
          </w:tcPr>
          <w:p w14:paraId="7A0EABD3">
            <w:pPr>
              <w:ind w:left="0" w:leftChars="0" w:right="0" w:rightChars="0" w:firstLine="0" w:firstLineChars="0"/>
              <w:jc w:val="center"/>
              <w:rPr>
                <w:rFonts w:hint="eastAsia" w:ascii="宋体" w:hAnsi="宋体" w:eastAsia="宋体" w:cs="宋体"/>
                <w:i w:val="0"/>
                <w:iCs w:val="0"/>
                <w:color w:val="000000"/>
                <w:sz w:val="18"/>
                <w:szCs w:val="18"/>
                <w:u w:val="none"/>
              </w:rPr>
            </w:pP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21AB62B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门头造型装饰：50</w:t>
            </w:r>
            <w:r>
              <w:rPr>
                <w:rFonts w:hint="eastAsia" w:hAnsi="宋体" w:cs="宋体"/>
                <w:i w:val="0"/>
                <w:iCs w:val="0"/>
                <w:color w:val="000000"/>
                <w:kern w:val="0"/>
                <w:sz w:val="18"/>
                <w:szCs w:val="18"/>
                <w:u w:val="none"/>
                <w:lang w:val="en-US" w:eastAsia="zh-CN" w:bidi="ar"/>
              </w:rPr>
              <w:t>mm</w:t>
            </w:r>
            <w:r>
              <w:rPr>
                <w:rFonts w:hint="eastAsia" w:ascii="宋体" w:hAnsi="宋体" w:eastAsia="宋体" w:cs="宋体"/>
                <w:i w:val="0"/>
                <w:iCs w:val="0"/>
                <w:color w:val="000000"/>
                <w:kern w:val="0"/>
                <w:sz w:val="18"/>
                <w:szCs w:val="18"/>
                <w:u w:val="none"/>
                <w:lang w:val="en-US" w:eastAsia="zh-CN" w:bidi="ar"/>
              </w:rPr>
              <w:t>×50</w:t>
            </w:r>
            <w:r>
              <w:rPr>
                <w:rFonts w:hint="eastAsia" w:hAnsi="宋体" w:cs="宋体"/>
                <w:i w:val="0"/>
                <w:iCs w:val="0"/>
                <w:color w:val="000000"/>
                <w:kern w:val="0"/>
                <w:sz w:val="18"/>
                <w:szCs w:val="18"/>
                <w:u w:val="none"/>
                <w:lang w:val="en-US" w:eastAsia="zh-CN" w:bidi="ar"/>
              </w:rPr>
              <w:t>mm</w:t>
            </w:r>
            <w:r>
              <w:rPr>
                <w:rFonts w:hint="eastAsia" w:ascii="宋体" w:hAnsi="宋体" w:eastAsia="宋体" w:cs="宋体"/>
                <w:i w:val="0"/>
                <w:iCs w:val="0"/>
                <w:color w:val="000000"/>
                <w:kern w:val="0"/>
                <w:sz w:val="18"/>
                <w:szCs w:val="18"/>
                <w:u w:val="none"/>
                <w:lang w:val="en-US" w:eastAsia="zh-CN" w:bidi="ar"/>
              </w:rPr>
              <w:t>×3mm热镀锌方通精工焊接制安装骨架装饰造型，镀锌防腐耐候处理，满焊加固成型，结构稳固平整，背部预留适配连接节点，现场精准贴合门头外立面原有钢结构主体，连接固定安装。整体脱脂除锈清洁处理，涂刷防锈封闭底漆，面层采用高品质汽车级油漆多层喷涂、高温固化工艺。</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324E02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1830*11000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74146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13AA50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4277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3FE415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5" w:type="dxa"/>
            <w:tcBorders>
              <w:top w:val="single" w:color="000000" w:sz="4" w:space="0"/>
              <w:left w:val="single" w:color="000000" w:sz="4" w:space="0"/>
              <w:bottom w:val="single" w:color="000000" w:sz="4" w:space="0"/>
              <w:right w:val="single" w:color="000000" w:sz="4" w:space="0"/>
            </w:tcBorders>
            <w:noWrap/>
            <w:vAlign w:val="center"/>
          </w:tcPr>
          <w:p w14:paraId="5CCDB4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厂区大门英文</w:t>
            </w:r>
          </w:p>
        </w:tc>
        <w:tc>
          <w:tcPr>
            <w:tcW w:w="2154" w:type="dxa"/>
            <w:vMerge w:val="restart"/>
            <w:tcBorders>
              <w:top w:val="single" w:color="000000" w:sz="4" w:space="0"/>
              <w:left w:val="single" w:color="000000" w:sz="4" w:space="0"/>
              <w:bottom w:val="single" w:color="000000" w:sz="4" w:space="0"/>
              <w:right w:val="single" w:color="000000" w:sz="4" w:space="0"/>
            </w:tcBorders>
            <w:noWrap/>
            <w:vAlign w:val="center"/>
          </w:tcPr>
          <w:p w14:paraId="2E3705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55880</wp:posOffset>
                  </wp:positionH>
                  <wp:positionV relativeFrom="paragraph">
                    <wp:posOffset>412750</wp:posOffset>
                  </wp:positionV>
                  <wp:extent cx="1113155" cy="605155"/>
                  <wp:effectExtent l="0" t="0" r="1270" b="4445"/>
                  <wp:wrapNone/>
                  <wp:docPr id="1" name="图片_10"/>
                  <wp:cNvGraphicFramePr/>
                  <a:graphic xmlns:a="http://schemas.openxmlformats.org/drawingml/2006/main">
                    <a:graphicData uri="http://schemas.openxmlformats.org/drawingml/2006/picture">
                      <pic:pic xmlns:pic="http://schemas.openxmlformats.org/drawingml/2006/picture">
                        <pic:nvPicPr>
                          <pic:cNvPr id="1" name="图片_10"/>
                          <pic:cNvPicPr/>
                        </pic:nvPicPr>
                        <pic:blipFill>
                          <a:blip r:embed="rId8"/>
                          <a:stretch>
                            <a:fillRect/>
                          </a:stretch>
                        </pic:blipFill>
                        <pic:spPr>
                          <a:xfrm>
                            <a:off x="0" y="0"/>
                            <a:ext cx="1113155" cy="60515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301132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基座造型：不锈钢材质经激光雕刻折弯焊接、数控切割、无缝密焊、精细打磨精制而成；内置镀锌方通焊接制作内部骨架，满焊焊接，焊接处防水处理；落地预埋安装。精工不锈钢双面景观立体字：不锈钢材质数控切割、无缝密焊、精细打磨精制而成，内置镀锌方通焊接制作内部骨架，满焊焊接，焊接处防水处理，固定于基座造型上。整体脱脂除锈清洁处理，涂刷防锈封闭底漆，面层采用高品质汽车级油漆多层喷涂、高温固化工艺。现场开挖，基础预埋。</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19105B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7200*1200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0DF97D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E80AD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6E66F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4831AEA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5" w:type="dxa"/>
            <w:tcBorders>
              <w:top w:val="single" w:color="000000" w:sz="4" w:space="0"/>
              <w:left w:val="single" w:color="000000" w:sz="4" w:space="0"/>
              <w:bottom w:val="single" w:color="000000" w:sz="4" w:space="0"/>
              <w:right w:val="single" w:color="000000" w:sz="4" w:space="0"/>
            </w:tcBorders>
            <w:noWrap/>
            <w:vAlign w:val="center"/>
          </w:tcPr>
          <w:p w14:paraId="6D5507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厂区大门花台改造</w:t>
            </w:r>
          </w:p>
        </w:tc>
        <w:tc>
          <w:tcPr>
            <w:tcW w:w="2154" w:type="dxa"/>
            <w:vMerge w:val="continue"/>
            <w:tcBorders>
              <w:top w:val="single" w:color="000000" w:sz="4" w:space="0"/>
              <w:left w:val="single" w:color="000000" w:sz="4" w:space="0"/>
              <w:bottom w:val="single" w:color="000000" w:sz="4" w:space="0"/>
              <w:right w:val="single" w:color="000000" w:sz="4" w:space="0"/>
            </w:tcBorders>
            <w:noWrap/>
            <w:vAlign w:val="center"/>
          </w:tcPr>
          <w:p w14:paraId="2F8765B5">
            <w:pPr>
              <w:ind w:left="0" w:leftChars="0" w:right="0" w:rightChars="0" w:firstLine="0" w:firstLineChars="0"/>
              <w:jc w:val="center"/>
              <w:rPr>
                <w:rFonts w:hint="eastAsia" w:ascii="宋体" w:hAnsi="宋体" w:eastAsia="宋体" w:cs="宋体"/>
                <w:i w:val="0"/>
                <w:iCs w:val="0"/>
                <w:color w:val="000000"/>
                <w:sz w:val="18"/>
                <w:szCs w:val="18"/>
                <w:u w:val="none"/>
              </w:rPr>
            </w:pP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21BBC5D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现场花台改造，原有钢架栏杆拆除，地面恢复，绿植种植，路沿石沿造型边沿铺贴安装。</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5CB5A83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8000*2000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583E02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0EC9CE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97E0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359395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5" w:type="dxa"/>
            <w:tcBorders>
              <w:top w:val="nil"/>
              <w:left w:val="nil"/>
              <w:bottom w:val="nil"/>
              <w:right w:val="nil"/>
            </w:tcBorders>
            <w:noWrap/>
            <w:vAlign w:val="center"/>
          </w:tcPr>
          <w:p w14:paraId="7A27D3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引导栏</w:t>
            </w:r>
          </w:p>
        </w:tc>
        <w:tc>
          <w:tcPr>
            <w:tcW w:w="2154" w:type="dxa"/>
            <w:tcBorders>
              <w:top w:val="single" w:color="000000" w:sz="4" w:space="0"/>
              <w:left w:val="single" w:color="000000" w:sz="4" w:space="0"/>
              <w:bottom w:val="single" w:color="000000" w:sz="4" w:space="0"/>
              <w:right w:val="single" w:color="000000" w:sz="4" w:space="0"/>
            </w:tcBorders>
            <w:noWrap/>
            <w:vAlign w:val="center"/>
          </w:tcPr>
          <w:p w14:paraId="3665A06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35560</wp:posOffset>
                  </wp:positionH>
                  <wp:positionV relativeFrom="paragraph">
                    <wp:posOffset>281940</wp:posOffset>
                  </wp:positionV>
                  <wp:extent cx="1252855" cy="721995"/>
                  <wp:effectExtent l="0" t="0" r="4445" b="1905"/>
                  <wp:wrapNone/>
                  <wp:docPr id="2" name="图片_12"/>
                  <wp:cNvGraphicFramePr/>
                  <a:graphic xmlns:a="http://schemas.openxmlformats.org/drawingml/2006/main">
                    <a:graphicData uri="http://schemas.openxmlformats.org/drawingml/2006/picture">
                      <pic:pic xmlns:pic="http://schemas.openxmlformats.org/drawingml/2006/picture">
                        <pic:nvPicPr>
                          <pic:cNvPr id="2" name="图片_12"/>
                          <pic:cNvPicPr/>
                        </pic:nvPicPr>
                        <pic:blipFill>
                          <a:blip r:embed="rId9"/>
                          <a:stretch>
                            <a:fillRect/>
                          </a:stretch>
                        </pic:blipFill>
                        <pic:spPr>
                          <a:xfrm>
                            <a:off x="0" y="0"/>
                            <a:ext cx="1252855" cy="72199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1D8FD70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造型：不锈钢材质经激光雕刻折弯焊接、数控切割、无缝密焊、精细打磨精制而成；内置镀锌方通焊接制作内部骨架，满焊焊接，焊接处防水处理；脱脂除锈清洁处理，涂刷防锈封闭底漆，高温固化工艺，落地预埋安装。内部画面高密度PVC造型4倍超清UV平板固化打印图案信息。精工亚克力立体字：进口亚克力激光切割、精细打磨精制而成；涂刷防锈封闭底漆，面层采用高品质汽车级油漆多层喷涂、高温固化工艺。</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25CEF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600*2600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702414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87D1D2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1870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3BAACA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5" w:type="dxa"/>
            <w:tcBorders>
              <w:top w:val="single" w:color="000000" w:sz="4" w:space="0"/>
              <w:left w:val="single" w:color="000000" w:sz="4" w:space="0"/>
              <w:bottom w:val="single" w:color="000000" w:sz="4" w:space="0"/>
              <w:right w:val="single" w:color="000000" w:sz="4" w:space="0"/>
            </w:tcBorders>
            <w:noWrap/>
            <w:vAlign w:val="center"/>
          </w:tcPr>
          <w:p w14:paraId="1FD5A8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外墙楼栋号</w:t>
            </w:r>
          </w:p>
        </w:tc>
        <w:tc>
          <w:tcPr>
            <w:tcW w:w="2154" w:type="dxa"/>
            <w:tcBorders>
              <w:top w:val="single" w:color="000000" w:sz="4" w:space="0"/>
              <w:left w:val="single" w:color="000000" w:sz="4" w:space="0"/>
              <w:bottom w:val="single" w:color="000000" w:sz="4" w:space="0"/>
              <w:right w:val="single" w:color="000000" w:sz="4" w:space="0"/>
            </w:tcBorders>
            <w:noWrap/>
            <w:vAlign w:val="center"/>
          </w:tcPr>
          <w:p w14:paraId="417074D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116840</wp:posOffset>
                  </wp:positionH>
                  <wp:positionV relativeFrom="paragraph">
                    <wp:posOffset>20955</wp:posOffset>
                  </wp:positionV>
                  <wp:extent cx="1166495" cy="798195"/>
                  <wp:effectExtent l="0" t="0" r="5080" b="1905"/>
                  <wp:wrapNone/>
                  <wp:docPr id="6" name="ID_FFDE601315614F8DB73661E0A61B6862"/>
                  <wp:cNvGraphicFramePr/>
                  <a:graphic xmlns:a="http://schemas.openxmlformats.org/drawingml/2006/main">
                    <a:graphicData uri="http://schemas.openxmlformats.org/drawingml/2006/picture">
                      <pic:pic xmlns:pic="http://schemas.openxmlformats.org/drawingml/2006/picture">
                        <pic:nvPicPr>
                          <pic:cNvPr id="6" name="ID_FFDE601315614F8DB73661E0A61B6862"/>
                          <pic:cNvPicPr/>
                        </pic:nvPicPr>
                        <pic:blipFill>
                          <a:blip r:embed="rId10"/>
                          <a:stretch>
                            <a:fillRect/>
                          </a:stretch>
                        </pic:blipFill>
                        <pic:spPr>
                          <a:xfrm>
                            <a:off x="0" y="0"/>
                            <a:ext cx="1166495" cy="79819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05FE426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精工不锈钢立体字：不锈钢材质经数控切割、无缝密焊、精细打磨精制而成；脱脂除锈清洁处理，涂刷防锈封闭底漆，面层采用高品质汽车级油漆多层喷涂、高温固化工艺，高空贴墙安装。</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0A4DD5A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1300*3100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8D6E75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7761E7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8289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576" w:type="dxa"/>
            <w:tcBorders>
              <w:top w:val="single" w:color="000000" w:sz="4" w:space="0"/>
              <w:left w:val="single" w:color="000000" w:sz="4" w:space="0"/>
              <w:bottom w:val="single" w:color="auto" w:sz="4" w:space="0"/>
              <w:right w:val="single" w:color="000000" w:sz="4" w:space="0"/>
            </w:tcBorders>
            <w:noWrap/>
            <w:vAlign w:val="center"/>
          </w:tcPr>
          <w:p w14:paraId="648C23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05" w:type="dxa"/>
            <w:tcBorders>
              <w:top w:val="single" w:color="000000" w:sz="4" w:space="0"/>
              <w:left w:val="single" w:color="000000" w:sz="4" w:space="0"/>
              <w:bottom w:val="single" w:color="auto" w:sz="4" w:space="0"/>
              <w:right w:val="single" w:color="000000" w:sz="4" w:space="0"/>
            </w:tcBorders>
            <w:noWrap/>
            <w:vAlign w:val="center"/>
          </w:tcPr>
          <w:p w14:paraId="2DFB33E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G02楼顶墙面字</w:t>
            </w:r>
          </w:p>
        </w:tc>
        <w:tc>
          <w:tcPr>
            <w:tcW w:w="2154" w:type="dxa"/>
            <w:tcBorders>
              <w:top w:val="single" w:color="000000" w:sz="4" w:space="0"/>
              <w:left w:val="single" w:color="000000" w:sz="4" w:space="0"/>
              <w:bottom w:val="single" w:color="auto" w:sz="4" w:space="0"/>
              <w:right w:val="single" w:color="000000" w:sz="4" w:space="0"/>
            </w:tcBorders>
            <w:noWrap/>
            <w:vAlign w:val="center"/>
          </w:tcPr>
          <w:p w14:paraId="3F1EF8D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198755</wp:posOffset>
                  </wp:positionH>
                  <wp:positionV relativeFrom="paragraph">
                    <wp:posOffset>21590</wp:posOffset>
                  </wp:positionV>
                  <wp:extent cx="1002665" cy="845185"/>
                  <wp:effectExtent l="0" t="0" r="6985" b="2540"/>
                  <wp:wrapNone/>
                  <wp:docPr id="3" name="ID_BEADA0EA38B14FE9847C843B2D8E4692"/>
                  <wp:cNvGraphicFramePr/>
                  <a:graphic xmlns:a="http://schemas.openxmlformats.org/drawingml/2006/main">
                    <a:graphicData uri="http://schemas.openxmlformats.org/drawingml/2006/picture">
                      <pic:pic xmlns:pic="http://schemas.openxmlformats.org/drawingml/2006/picture">
                        <pic:nvPicPr>
                          <pic:cNvPr id="3" name="ID_BEADA0EA38B14FE9847C843B2D8E4692"/>
                          <pic:cNvPicPr/>
                        </pic:nvPicPr>
                        <pic:blipFill>
                          <a:blip r:embed="rId11"/>
                          <a:stretch>
                            <a:fillRect/>
                          </a:stretch>
                        </pic:blipFill>
                        <pic:spPr>
                          <a:xfrm>
                            <a:off x="0" y="0"/>
                            <a:ext cx="1002665" cy="84518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auto" w:sz="4" w:space="0"/>
              <w:right w:val="single" w:color="000000" w:sz="4" w:space="0"/>
            </w:tcBorders>
            <w:noWrap w:val="0"/>
            <w:vAlign w:val="center"/>
          </w:tcPr>
          <w:p w14:paraId="5BF2CAD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精工不锈钢立体字：不锈钢材质数控切割、无缝密焊、精细打磨精制而成；脱脂除锈清洁处理，涂刷防锈封闭底漆，面层采用高品质汽车级油漆多层喷涂、高温固化工艺，高空贴墙安装。</w:t>
            </w:r>
          </w:p>
        </w:tc>
        <w:tc>
          <w:tcPr>
            <w:tcW w:w="1700" w:type="dxa"/>
            <w:tcBorders>
              <w:top w:val="single" w:color="000000" w:sz="4" w:space="0"/>
              <w:left w:val="single" w:color="000000" w:sz="4" w:space="0"/>
              <w:bottom w:val="single" w:color="auto" w:sz="4" w:space="0"/>
              <w:right w:val="single" w:color="000000" w:sz="4" w:space="0"/>
            </w:tcBorders>
            <w:noWrap/>
            <w:vAlign w:val="center"/>
          </w:tcPr>
          <w:p w14:paraId="712D68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9600*2290</w:t>
            </w:r>
          </w:p>
        </w:tc>
        <w:tc>
          <w:tcPr>
            <w:tcW w:w="1032" w:type="dxa"/>
            <w:tcBorders>
              <w:top w:val="single" w:color="000000" w:sz="4" w:space="0"/>
              <w:left w:val="single" w:color="000000" w:sz="4" w:space="0"/>
              <w:bottom w:val="single" w:color="auto" w:sz="4" w:space="0"/>
              <w:right w:val="single" w:color="000000" w:sz="4" w:space="0"/>
            </w:tcBorders>
            <w:noWrap/>
            <w:vAlign w:val="center"/>
          </w:tcPr>
          <w:p w14:paraId="397792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auto" w:sz="4" w:space="0"/>
              <w:right w:val="single" w:color="000000" w:sz="4" w:space="0"/>
            </w:tcBorders>
            <w:noWrap/>
            <w:vAlign w:val="center"/>
          </w:tcPr>
          <w:p w14:paraId="3B577C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44DA2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576" w:type="dxa"/>
            <w:tcBorders>
              <w:top w:val="single" w:color="auto" w:sz="4" w:space="0"/>
              <w:left w:val="single" w:color="auto" w:sz="4" w:space="0"/>
              <w:bottom w:val="single" w:color="auto" w:sz="4" w:space="0"/>
              <w:right w:val="single" w:color="auto" w:sz="4" w:space="0"/>
            </w:tcBorders>
            <w:noWrap/>
            <w:vAlign w:val="center"/>
          </w:tcPr>
          <w:p w14:paraId="28C626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5" w:type="dxa"/>
            <w:tcBorders>
              <w:top w:val="single" w:color="auto" w:sz="4" w:space="0"/>
              <w:left w:val="single" w:color="auto" w:sz="4" w:space="0"/>
              <w:bottom w:val="single" w:color="auto" w:sz="4" w:space="0"/>
              <w:right w:val="single" w:color="auto" w:sz="4" w:space="0"/>
            </w:tcBorders>
            <w:noWrap/>
            <w:vAlign w:val="center"/>
          </w:tcPr>
          <w:p w14:paraId="6F94166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G02第三面楼顶墙面字</w:t>
            </w:r>
          </w:p>
        </w:tc>
        <w:tc>
          <w:tcPr>
            <w:tcW w:w="2154" w:type="dxa"/>
            <w:tcBorders>
              <w:top w:val="single" w:color="auto" w:sz="4" w:space="0"/>
              <w:left w:val="single" w:color="auto" w:sz="4" w:space="0"/>
              <w:bottom w:val="single" w:color="auto" w:sz="4" w:space="0"/>
              <w:right w:val="single" w:color="auto" w:sz="4" w:space="0"/>
            </w:tcBorders>
            <w:noWrap/>
            <w:vAlign w:val="center"/>
          </w:tcPr>
          <w:p w14:paraId="027D2C3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anchor distT="0" distB="0" distL="114300" distR="114300" simplePos="0" relativeHeight="251664384" behindDoc="0" locked="0" layoutInCell="1" allowOverlap="1">
                  <wp:simplePos x="0" y="0"/>
                  <wp:positionH relativeFrom="column">
                    <wp:posOffset>175895</wp:posOffset>
                  </wp:positionH>
                  <wp:positionV relativeFrom="paragraph">
                    <wp:posOffset>20955</wp:posOffset>
                  </wp:positionV>
                  <wp:extent cx="1048385" cy="845820"/>
                  <wp:effectExtent l="0" t="0" r="8890" b="1905"/>
                  <wp:wrapNone/>
                  <wp:docPr id="5" name="ID_EECF10FF2A38498BB4CED5D3EA0E8D49"/>
                  <wp:cNvGraphicFramePr/>
                  <a:graphic xmlns:a="http://schemas.openxmlformats.org/drawingml/2006/main">
                    <a:graphicData uri="http://schemas.openxmlformats.org/drawingml/2006/picture">
                      <pic:pic xmlns:pic="http://schemas.openxmlformats.org/drawingml/2006/picture">
                        <pic:nvPicPr>
                          <pic:cNvPr id="5" name="ID_EECF10FF2A38498BB4CED5D3EA0E8D49"/>
                          <pic:cNvPicPr/>
                        </pic:nvPicPr>
                        <pic:blipFill>
                          <a:blip r:embed="rId12"/>
                          <a:stretch>
                            <a:fillRect/>
                          </a:stretch>
                        </pic:blipFill>
                        <pic:spPr>
                          <a:xfrm>
                            <a:off x="0" y="0"/>
                            <a:ext cx="1048385" cy="845820"/>
                          </a:xfrm>
                          <a:prstGeom prst="rect">
                            <a:avLst/>
                          </a:prstGeom>
                          <a:noFill/>
                          <a:ln>
                            <a:noFill/>
                          </a:ln>
                        </pic:spPr>
                      </pic:pic>
                    </a:graphicData>
                  </a:graphic>
                </wp:anchor>
              </w:drawing>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4AF993E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精工不锈钢立体字：不锈钢材质经数控切割、无缝密焊、精细打磨精制而成；脱脂除锈清洁处理，涂刷防锈封闭底漆，面层采用高品质汽车级油漆多层喷涂、高温固化工艺，高空贴墙安装。</w:t>
            </w:r>
          </w:p>
        </w:tc>
        <w:tc>
          <w:tcPr>
            <w:tcW w:w="1700" w:type="dxa"/>
            <w:tcBorders>
              <w:top w:val="single" w:color="auto" w:sz="4" w:space="0"/>
              <w:left w:val="single" w:color="auto" w:sz="4" w:space="0"/>
              <w:bottom w:val="single" w:color="auto" w:sz="4" w:space="0"/>
              <w:right w:val="single" w:color="auto" w:sz="4" w:space="0"/>
            </w:tcBorders>
            <w:noWrap/>
            <w:vAlign w:val="center"/>
          </w:tcPr>
          <w:p w14:paraId="538F1C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9600*2290</w:t>
            </w:r>
          </w:p>
        </w:tc>
        <w:tc>
          <w:tcPr>
            <w:tcW w:w="1032" w:type="dxa"/>
            <w:tcBorders>
              <w:top w:val="single" w:color="auto" w:sz="4" w:space="0"/>
              <w:left w:val="single" w:color="auto" w:sz="4" w:space="0"/>
              <w:bottom w:val="single" w:color="auto" w:sz="4" w:space="0"/>
              <w:right w:val="single" w:color="auto" w:sz="4" w:space="0"/>
            </w:tcBorders>
            <w:noWrap/>
            <w:vAlign w:val="center"/>
          </w:tcPr>
          <w:p w14:paraId="449314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auto" w:sz="4" w:space="0"/>
              <w:left w:val="single" w:color="auto" w:sz="4" w:space="0"/>
              <w:bottom w:val="single" w:color="auto" w:sz="4" w:space="0"/>
              <w:right w:val="single" w:color="auto" w:sz="4" w:space="0"/>
            </w:tcBorders>
            <w:noWrap/>
            <w:vAlign w:val="center"/>
          </w:tcPr>
          <w:p w14:paraId="681AE7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bl>
    <w:p w14:paraId="3461746E">
      <w:pPr>
        <w:pStyle w:val="6"/>
        <w:rPr>
          <w:rFonts w:hint="eastAsia"/>
          <w:lang w:val="en-US" w:eastAsia="zh-CN"/>
        </w:rPr>
      </w:pPr>
    </w:p>
    <w:p w14:paraId="06C8B27D">
      <w:pPr>
        <w:spacing w:line="560" w:lineRule="exact"/>
        <w:ind w:firstLine="643" w:firstLineChars="200"/>
        <w:jc w:val="left"/>
        <w:rPr>
          <w:rFonts w:hint="eastAsia" w:ascii="仿宋" w:hAnsi="仿宋" w:eastAsia="仿宋" w:cs="仿宋"/>
          <w:b w:val="0"/>
          <w:bCs w:val="0"/>
          <w:sz w:val="32"/>
          <w:szCs w:val="32"/>
          <w:lang w:val="en-US" w:eastAsia="zh-CN"/>
        </w:rPr>
      </w:pPr>
      <w:r>
        <w:rPr>
          <w:rFonts w:hint="eastAsia" w:ascii="楷体_GB2312" w:hAnsi="宋体" w:eastAsia="楷体_GB2312" w:cs="宋体"/>
          <w:b/>
          <w:bCs/>
          <w:sz w:val="32"/>
          <w:szCs w:val="32"/>
          <w:lang w:val="en-US" w:eastAsia="zh-CN"/>
        </w:rPr>
        <w:t>3.谈判有效期：</w:t>
      </w:r>
      <w:r>
        <w:rPr>
          <w:rFonts w:hint="eastAsia" w:ascii="方正仿宋_GB2312" w:hAnsi="方正仿宋_GB2312" w:eastAsia="方正仿宋_GB2312" w:cs="方正仿宋_GB2312"/>
          <w:b w:val="0"/>
          <w:bCs w:val="0"/>
          <w:sz w:val="28"/>
          <w:szCs w:val="28"/>
          <w:lang w:val="en-US" w:eastAsia="zh-CN"/>
        </w:rPr>
        <w:t>从提交响应文件截止之日起90个日历天</w:t>
      </w:r>
      <w:r>
        <w:rPr>
          <w:rFonts w:hint="eastAsia" w:ascii="楷体_GB2312" w:hAnsi="宋体" w:eastAsia="楷体_GB2312" w:cs="宋体"/>
          <w:b w:val="0"/>
          <w:bCs w:val="0"/>
          <w:sz w:val="32"/>
          <w:szCs w:val="32"/>
          <w:lang w:val="en-US" w:eastAsia="zh-CN"/>
        </w:rPr>
        <w:t>。</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谈判申请</w:t>
      </w:r>
      <w:r>
        <w:rPr>
          <w:rFonts w:hint="eastAsia" w:ascii="黑体" w:hAnsi="黑体" w:eastAsia="黑体" w:cs="宋体"/>
          <w:sz w:val="32"/>
          <w:szCs w:val="32"/>
        </w:rPr>
        <w:t>人资格要求</w:t>
      </w:r>
    </w:p>
    <w:p w14:paraId="61E0AD1E">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1）具备能够独立承担民事责任能力的企业法人资格，经营范围须包含标识标牌设计、制作、安装等相关内容（提供营业执照复印件）；</w:t>
      </w:r>
    </w:p>
    <w:p w14:paraId="13632777">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2）具有健全的管理制度，遵守有关的国家法律、法令和条例，无重大安全事故记录、近3年无行贿犯罪记录未被列入政府采购严重违法失信名单（提供承诺书）；</w:t>
      </w:r>
    </w:p>
    <w:p w14:paraId="514BCE9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3）按要求交纳响应保证金3000元人民币； </w:t>
      </w:r>
    </w:p>
    <w:p w14:paraId="40CDDA2F">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4）配套安装人员需具备焊接资质和高空作业证，若谈判申请人不具备焊接资质及高空作业证书，须由谈判申请人自行委托具备合法有效资质的第三方实施安装作业（谈判申请人提供本企业或者另行委托的第三方安装人员的焊接资质及高空作业证复印件、委托协议复印件）； </w:t>
      </w:r>
    </w:p>
    <w:p w14:paraId="138DBFA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5）2023年1月1日至今（以合同签订时间为准），需至少具有2个合同金额不低于20万元类似业绩（如标识导视、文化墙等）（须提供合同复印件）；</w:t>
      </w:r>
    </w:p>
    <w:p w14:paraId="608A8E9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6）须提供在信用中国网站上（网址：www.creditchina.gov.cn）下载的《法人和非法人组织公共信用信息报告》（报告查询日前应在采购公告发布起始之日后评选时间前）；</w:t>
      </w:r>
    </w:p>
    <w:p w14:paraId="1290FFB8">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须为具有独立承担民事责任能力的中华人民共和国境内注册的独立法人，法定代表人为同一人的两个及两个以上法人，母公司、全资子公司或有控股、管理关系的不同单位，以及同一集团下属的不同子、分公司，不得同时参加本项目；</w:t>
      </w:r>
    </w:p>
    <w:p w14:paraId="3AC64F7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8）有独立制作场地（提供场地租赁合同或产权证书复印件及照片）；</w:t>
      </w:r>
    </w:p>
    <w:p w14:paraId="6A5B8BB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9）法律、行政法规规定的其他条件。</w:t>
      </w:r>
    </w:p>
    <w:p w14:paraId="357BE212">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评选</w:t>
      </w:r>
      <w:r>
        <w:rPr>
          <w:rFonts w:hint="eastAsia" w:ascii="黑体" w:hAnsi="黑体" w:eastAsia="黑体" w:cs="宋体"/>
          <w:sz w:val="32"/>
          <w:szCs w:val="32"/>
        </w:rPr>
        <w:t>时间和地点</w:t>
      </w:r>
    </w:p>
    <w:p w14:paraId="06A81888">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1.评选</w:t>
      </w:r>
      <w:r>
        <w:rPr>
          <w:rFonts w:hint="eastAsia" w:ascii="仿宋" w:hAnsi="仿宋" w:eastAsia="仿宋" w:cs="仿宋"/>
          <w:sz w:val="32"/>
          <w:szCs w:val="32"/>
          <w:highlight w:val="none"/>
        </w:rPr>
        <w:t>时间：</w:t>
      </w:r>
      <w:r>
        <w:rPr>
          <w:rFonts w:hint="eastAsia" w:ascii="仿宋" w:hAnsi="仿宋" w:eastAsia="仿宋" w:cs="仿宋"/>
          <w:b/>
          <w:bCs/>
          <w:sz w:val="32"/>
          <w:szCs w:val="32"/>
        </w:rPr>
        <w:t>2026年7月21日10时</w:t>
      </w:r>
      <w:r>
        <w:rPr>
          <w:rFonts w:hint="eastAsia" w:ascii="仿宋" w:hAnsi="仿宋" w:eastAsia="仿宋" w:cs="仿宋"/>
          <w:sz w:val="32"/>
          <w:szCs w:val="32"/>
        </w:rPr>
        <w:t>（北京时间）</w:t>
      </w:r>
    </w:p>
    <w:p w14:paraId="4E01476E">
      <w:pPr>
        <w:spacing w:line="560" w:lineRule="exact"/>
        <w:ind w:firstLine="643" w:firstLineChars="200"/>
        <w:jc w:val="left"/>
        <w:rPr>
          <w:rFonts w:ascii="仿宋_GB2312" w:hAnsi="宋体" w:eastAsia="仿宋_GB2312" w:cs="宋体"/>
          <w:sz w:val="32"/>
          <w:szCs w:val="32"/>
        </w:rPr>
      </w:pPr>
      <w:r>
        <w:rPr>
          <w:rFonts w:hint="eastAsia" w:ascii="仿宋" w:hAnsi="仿宋" w:eastAsia="仿宋" w:cs="仿宋"/>
          <w:b/>
          <w:bCs/>
          <w:sz w:val="32"/>
          <w:szCs w:val="32"/>
          <w:lang w:val="en-US" w:eastAsia="zh-CN"/>
        </w:rPr>
        <w:t>2.评选</w:t>
      </w:r>
      <w:r>
        <w:rPr>
          <w:rFonts w:hint="eastAsia" w:ascii="仿宋" w:hAnsi="仿宋" w:eastAsia="仿宋" w:cs="仿宋"/>
          <w:sz w:val="32"/>
          <w:szCs w:val="32"/>
        </w:rPr>
        <w:t>地点：</w:t>
      </w:r>
      <w:r>
        <w:rPr>
          <w:rFonts w:hint="eastAsia" w:ascii="仿宋" w:hAnsi="仿宋" w:eastAsia="仿宋" w:cs="仿宋"/>
          <w:b/>
          <w:sz w:val="32"/>
          <w:szCs w:val="32"/>
        </w:rPr>
        <w:t>重庆市两江新区王家街道重庆市渝北区两路寸滩保税港区空港功能 G区瑞月南路101</w:t>
      </w:r>
      <w:r>
        <w:rPr>
          <w:rFonts w:hint="eastAsia" w:ascii="仿宋" w:hAnsi="仿宋" w:eastAsia="仿宋" w:cs="仿宋"/>
          <w:b/>
          <w:sz w:val="32"/>
          <w:szCs w:val="32"/>
          <w:lang w:val="en-US" w:eastAsia="zh-CN"/>
        </w:rPr>
        <w:t>号</w:t>
      </w:r>
      <w:r>
        <w:rPr>
          <w:rFonts w:hint="eastAsia" w:ascii="仿宋" w:hAnsi="仿宋" w:eastAsia="仿宋" w:cs="仿宋"/>
          <w:b/>
          <w:sz w:val="32"/>
          <w:szCs w:val="32"/>
        </w:rPr>
        <w:t xml:space="preserve"> </w:t>
      </w:r>
      <w:r>
        <w:rPr>
          <w:rFonts w:hint="eastAsia" w:ascii="仿宋_GB2312" w:hAnsi="宋体" w:eastAsia="仿宋_GB2312" w:cs="宋体"/>
          <w:sz w:val="32"/>
          <w:szCs w:val="32"/>
        </w:rPr>
        <w:t>。</w:t>
      </w:r>
    </w:p>
    <w:p w14:paraId="41A5E56B">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四</w:t>
      </w:r>
      <w:r>
        <w:rPr>
          <w:rFonts w:hint="eastAsia" w:ascii="黑体" w:hAnsi="黑体" w:eastAsia="黑体" w:cs="宋体"/>
          <w:sz w:val="32"/>
          <w:szCs w:val="32"/>
        </w:rPr>
        <w:t>、</w:t>
      </w:r>
      <w:r>
        <w:rPr>
          <w:rFonts w:hint="eastAsia" w:ascii="黑体" w:hAnsi="黑体" w:eastAsia="黑体" w:cs="宋体"/>
          <w:sz w:val="32"/>
          <w:szCs w:val="32"/>
          <w:lang w:val="en-US" w:eastAsia="zh-CN"/>
        </w:rPr>
        <w:t>谈判</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2026年7月16日至2026年7月20日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谈判申请人</w:t>
      </w:r>
      <w:r>
        <w:rPr>
          <w:rFonts w:hint="eastAsia" w:ascii="仿宋" w:hAnsi="仿宋" w:eastAsia="仿宋" w:cs="仿宋"/>
          <w:sz w:val="32"/>
          <w:szCs w:val="32"/>
        </w:rPr>
        <w:t>报名需提供：</w:t>
      </w:r>
    </w:p>
    <w:p w14:paraId="714FA58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4FD2C57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2）配套安装人员需具备焊接资质和高空作业证，若谈判申请人不具备焊接资质及高空作业证书，须由谈判申请人自行委托具备合法有效资质的第三方实施安装作业（谈判申请人提供本企业或者另行委托的第三方安装人员的焊接资质及高空作业证复印件、委托协议复印件）； </w:t>
      </w:r>
    </w:p>
    <w:p w14:paraId="343B3E23">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3）2023年1月1日至今（以合同签订时间为准），需至少具有2个合同金额不低于20万元类似广告业绩（标识导视、文化墙等）（须提供复印件并加盖谈判申请人单位公章）；</w:t>
      </w:r>
    </w:p>
    <w:p w14:paraId="68D52C3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4）有独立制作场地（提供场地租赁合同或产权证书复印件及照片）；</w:t>
      </w:r>
    </w:p>
    <w:p w14:paraId="04D500D8">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5）谈判采购申请书。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谈判申请人</w:t>
      </w:r>
      <w:r>
        <w:rPr>
          <w:rFonts w:hint="eastAsia" w:ascii="仿宋" w:hAnsi="仿宋" w:eastAsia="仿宋" w:cs="仿宋"/>
          <w:sz w:val="32"/>
          <w:szCs w:val="32"/>
        </w:rPr>
        <w:t>须将上述报名材料盖章扫描后的PDF版本，发送至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eastAsia="zh-CN"/>
        </w:rPr>
        <w:t>谈判响应文件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谈判申请</w:t>
      </w:r>
      <w:r>
        <w:rPr>
          <w:rFonts w:hint="eastAsia" w:ascii="仿宋" w:hAnsi="仿宋" w:eastAsia="仿宋" w:cs="仿宋"/>
          <w:sz w:val="32"/>
          <w:szCs w:val="32"/>
        </w:rPr>
        <w:t>人,将</w:t>
      </w:r>
      <w:r>
        <w:rPr>
          <w:rFonts w:hint="eastAsia" w:ascii="仿宋" w:hAnsi="仿宋" w:eastAsia="仿宋" w:cs="仿宋"/>
          <w:sz w:val="32"/>
          <w:szCs w:val="32"/>
          <w:lang w:val="en-US" w:eastAsia="zh-CN"/>
        </w:rPr>
        <w:t>谈判响应文件</w:t>
      </w:r>
      <w:r>
        <w:rPr>
          <w:rFonts w:hint="eastAsia" w:ascii="仿宋" w:hAnsi="仿宋" w:eastAsia="仿宋" w:cs="仿宋"/>
          <w:sz w:val="32"/>
          <w:szCs w:val="32"/>
        </w:rPr>
        <w:t>密封，在</w:t>
      </w:r>
      <w:r>
        <w:rPr>
          <w:rFonts w:hint="eastAsia" w:ascii="仿宋" w:hAnsi="仿宋" w:eastAsia="仿宋" w:cs="仿宋"/>
          <w:sz w:val="32"/>
          <w:szCs w:val="32"/>
          <w:lang w:val="en-US" w:eastAsia="zh-CN"/>
        </w:rPr>
        <w:t>评选</w:t>
      </w:r>
      <w:r>
        <w:rPr>
          <w:rFonts w:hint="eastAsia" w:ascii="仿宋" w:hAnsi="仿宋" w:eastAsia="仿宋" w:cs="仿宋"/>
          <w:sz w:val="32"/>
          <w:szCs w:val="32"/>
        </w:rPr>
        <w:t>地点当面</w:t>
      </w:r>
      <w:r>
        <w:rPr>
          <w:rFonts w:hint="eastAsia" w:ascii="仿宋" w:hAnsi="仿宋" w:eastAsia="仿宋" w:cs="仿宋"/>
          <w:sz w:val="32"/>
          <w:szCs w:val="32"/>
          <w:lang w:val="en-US" w:eastAsia="zh-CN"/>
        </w:rPr>
        <w:t>/邮寄</w:t>
      </w:r>
      <w:r>
        <w:rPr>
          <w:rFonts w:hint="eastAsia" w:ascii="仿宋" w:hAnsi="仿宋" w:eastAsia="仿宋" w:cs="仿宋"/>
          <w:sz w:val="32"/>
          <w:szCs w:val="32"/>
        </w:rPr>
        <w:t>递交</w:t>
      </w:r>
      <w:r>
        <w:rPr>
          <w:rFonts w:hint="eastAsia" w:ascii="仿宋" w:hAnsi="仿宋" w:eastAsia="仿宋" w:cs="仿宋"/>
          <w:sz w:val="32"/>
          <w:szCs w:val="32"/>
          <w:lang w:val="en-US"/>
        </w:rPr>
        <w:t>,</w:t>
      </w:r>
      <w:r>
        <w:rPr>
          <w:rFonts w:hint="eastAsia" w:ascii="仿宋" w:hAnsi="仿宋" w:eastAsia="仿宋" w:cs="仿宋"/>
          <w:sz w:val="32"/>
          <w:szCs w:val="32"/>
        </w:rPr>
        <w:t>提交截止时间202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7</w:t>
      </w:r>
      <w:r>
        <w:rPr>
          <w:rFonts w:hint="eastAsia" w:ascii="仿宋" w:hAnsi="仿宋" w:eastAsia="仿宋" w:cs="仿宋"/>
          <w:sz w:val="32"/>
          <w:szCs w:val="32"/>
        </w:rPr>
        <w:t>月</w:t>
      </w:r>
      <w:r>
        <w:rPr>
          <w:rFonts w:hint="eastAsia" w:ascii="仿宋" w:hAnsi="仿宋" w:eastAsia="仿宋" w:cs="仿宋"/>
          <w:sz w:val="32"/>
          <w:szCs w:val="32"/>
          <w:lang w:val="en-US" w:eastAsia="zh-CN"/>
        </w:rPr>
        <w:t>21</w:t>
      </w:r>
      <w:r>
        <w:rPr>
          <w:rFonts w:hint="eastAsia" w:ascii="仿宋" w:hAnsi="仿宋" w:eastAsia="仿宋" w:cs="仿宋"/>
          <w:sz w:val="32"/>
          <w:szCs w:val="32"/>
        </w:rPr>
        <w:t>日</w:t>
      </w:r>
      <w:r>
        <w:rPr>
          <w:rFonts w:hint="eastAsia" w:ascii="仿宋" w:hAnsi="仿宋" w:eastAsia="仿宋" w:cs="仿宋"/>
          <w:sz w:val="32"/>
          <w:szCs w:val="32"/>
          <w:lang w:val="en-US"/>
        </w:rPr>
        <w:t>1</w:t>
      </w:r>
      <w:r>
        <w:rPr>
          <w:rFonts w:hint="eastAsia" w:ascii="仿宋" w:hAnsi="仿宋" w:eastAsia="仿宋" w:cs="仿宋"/>
          <w:sz w:val="32"/>
          <w:szCs w:val="32"/>
          <w:lang w:val="en-US" w:eastAsia="zh-CN"/>
        </w:rPr>
        <w:t>0</w:t>
      </w:r>
      <w:r>
        <w:rPr>
          <w:rFonts w:hint="eastAsia" w:ascii="仿宋" w:hAnsi="仿宋" w:eastAsia="仿宋" w:cs="仿宋"/>
          <w:sz w:val="32"/>
          <w:szCs w:val="32"/>
        </w:rPr>
        <w:t>时,逾期提交的不予受理。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谈判响应文件</w:t>
      </w:r>
      <w:r>
        <w:rPr>
          <w:rFonts w:hint="eastAsia" w:ascii="仿宋" w:hAnsi="仿宋" w:eastAsia="仿宋" w:cs="仿宋"/>
          <w:sz w:val="32"/>
          <w:szCs w:val="32"/>
        </w:rPr>
        <w:t>的份数：正本1份,副本</w:t>
      </w:r>
      <w:r>
        <w:rPr>
          <w:rFonts w:hint="eastAsia" w:ascii="仿宋" w:hAnsi="仿宋" w:eastAsia="仿宋" w:cs="仿宋"/>
          <w:sz w:val="32"/>
          <w:szCs w:val="32"/>
          <w:lang w:val="en-US" w:eastAsia="zh-CN"/>
        </w:rPr>
        <w:t>5</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谈判响应文件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谈判响应文件</w:t>
      </w:r>
      <w:r>
        <w:rPr>
          <w:rFonts w:hint="eastAsia" w:ascii="仿宋" w:hAnsi="仿宋" w:eastAsia="仿宋" w:cs="仿宋"/>
          <w:sz w:val="32"/>
          <w:szCs w:val="32"/>
        </w:rPr>
        <w:t>视为自动弃权。若因</w:t>
      </w:r>
      <w:r>
        <w:rPr>
          <w:rFonts w:hint="eastAsia" w:ascii="仿宋" w:hAnsi="仿宋" w:eastAsia="仿宋" w:cs="仿宋"/>
          <w:sz w:val="32"/>
          <w:szCs w:val="32"/>
          <w:lang w:val="en-US" w:eastAsia="zh-CN"/>
        </w:rPr>
        <w:t>特殊原因</w:t>
      </w:r>
      <w:r>
        <w:rPr>
          <w:rFonts w:hint="eastAsia" w:ascii="仿宋" w:hAnsi="仿宋" w:eastAsia="仿宋" w:cs="仿宋"/>
          <w:sz w:val="32"/>
          <w:szCs w:val="32"/>
        </w:rPr>
        <w:t>导致纸质</w:t>
      </w:r>
      <w:r>
        <w:rPr>
          <w:rFonts w:hint="eastAsia" w:ascii="仿宋" w:hAnsi="仿宋" w:eastAsia="仿宋" w:cs="仿宋"/>
          <w:sz w:val="32"/>
          <w:szCs w:val="32"/>
          <w:lang w:eastAsia="zh-CN"/>
        </w:rPr>
        <w:t>谈判响应文件</w:t>
      </w:r>
      <w:r>
        <w:rPr>
          <w:rFonts w:hint="eastAsia" w:ascii="仿宋" w:hAnsi="仿宋" w:eastAsia="仿宋" w:cs="仿宋"/>
          <w:sz w:val="32"/>
          <w:szCs w:val="32"/>
        </w:rPr>
        <w:t>无法按时送达的，可在</w:t>
      </w:r>
      <w:r>
        <w:rPr>
          <w:rFonts w:hint="eastAsia" w:ascii="仿宋" w:hAnsi="仿宋" w:eastAsia="仿宋" w:cs="仿宋"/>
          <w:sz w:val="32"/>
          <w:szCs w:val="32"/>
          <w:lang w:eastAsia="zh-CN"/>
        </w:rPr>
        <w:t>谈判响应文件</w:t>
      </w:r>
      <w:r>
        <w:rPr>
          <w:rFonts w:hint="eastAsia" w:ascii="仿宋" w:hAnsi="仿宋" w:eastAsia="仿宋" w:cs="仿宋"/>
          <w:sz w:val="32"/>
          <w:szCs w:val="32"/>
        </w:rPr>
        <w:t>递交截止时间前以PDF文档(盖章版)加密形式，通过邮件发送至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邮箱jzzbbx@jiuzhoutech.com，并在开选时将密码提供给</w:t>
      </w:r>
      <w:r>
        <w:rPr>
          <w:rFonts w:hint="eastAsia" w:ascii="仿宋" w:hAnsi="仿宋" w:eastAsia="仿宋" w:cs="仿宋"/>
          <w:sz w:val="32"/>
          <w:szCs w:val="32"/>
          <w:lang w:val="en-US" w:eastAsia="zh-CN"/>
        </w:rPr>
        <w:t>采购人</w:t>
      </w:r>
      <w:r>
        <w:rPr>
          <w:rFonts w:hint="eastAsia" w:ascii="仿宋" w:hAnsi="仿宋" w:eastAsia="仿宋" w:cs="仿宋"/>
          <w:sz w:val="32"/>
          <w:szCs w:val="32"/>
        </w:rPr>
        <w:t>。</w:t>
      </w:r>
      <w:r>
        <w:rPr>
          <w:rFonts w:hint="eastAsia" w:ascii="仿宋" w:hAnsi="仿宋" w:eastAsia="仿宋" w:cs="仿宋"/>
          <w:sz w:val="32"/>
          <w:szCs w:val="32"/>
        </w:rPr>
        <w:fldChar w:fldCharType="end"/>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同时将纸质文件寄出）</w:t>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F82610D">
      <w:pPr>
        <w:adjustRightInd w:val="0"/>
        <w:snapToGrid w:val="0"/>
        <w:spacing w:line="560" w:lineRule="exact"/>
        <w:ind w:firstLine="640" w:firstLineChars="200"/>
        <w:rPr>
          <w:rFonts w:hint="default" w:ascii="仿宋" w:hAnsi="仿宋" w:eastAsia="仿宋" w:cs="仿宋"/>
          <w:sz w:val="32"/>
          <w:szCs w:val="32"/>
          <w:lang w:val="en-US"/>
        </w:rPr>
      </w:pPr>
      <w:r>
        <w:rPr>
          <w:rFonts w:hint="eastAsia" w:ascii="仿宋" w:hAnsi="仿宋" w:eastAsia="仿宋" w:cs="仿宋"/>
          <w:sz w:val="32"/>
          <w:szCs w:val="32"/>
          <w:lang w:val="en-US" w:eastAsia="zh-CN"/>
        </w:rPr>
        <w:t>收件人：</w:t>
      </w:r>
      <w:r>
        <w:rPr>
          <w:rFonts w:hint="eastAsia" w:ascii="仿宋" w:hAnsi="仿宋" w:eastAsia="仿宋" w:cs="仿宋_GB2312"/>
          <w:b/>
          <w:bCs w:val="0"/>
          <w:sz w:val="32"/>
          <w:szCs w:val="32"/>
          <w:lang w:val="en-US" w:eastAsia="zh-CN"/>
        </w:rPr>
        <w:t>董存令</w:t>
      </w:r>
      <w:r>
        <w:rPr>
          <w:rFonts w:hint="eastAsia" w:ascii="仿宋_GB2312" w:hAnsi="仿宋_GB2312" w:eastAsia="仿宋_GB2312" w:cs="仿宋_GB2312"/>
          <w:b/>
          <w:bCs w:val="0"/>
          <w:sz w:val="32"/>
          <w:szCs w:val="32"/>
          <w:highlight w:val="none"/>
        </w:rPr>
        <w:t xml:space="preserve"> 15111817824</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谈判申请人</w:t>
      </w:r>
      <w:r>
        <w:rPr>
          <w:rFonts w:hint="eastAsia" w:ascii="仿宋" w:hAnsi="仿宋" w:eastAsia="仿宋" w:cs="仿宋"/>
          <w:sz w:val="32"/>
          <w:szCs w:val="32"/>
        </w:rPr>
        <w:t>少于三家的，</w:t>
      </w:r>
      <w:r>
        <w:rPr>
          <w:rFonts w:hint="eastAsia" w:ascii="仿宋" w:hAnsi="仿宋" w:eastAsia="仿宋" w:cs="仿宋"/>
          <w:sz w:val="32"/>
          <w:szCs w:val="32"/>
          <w:lang w:val="en-US" w:eastAsia="zh-CN"/>
        </w:rPr>
        <w:t>采购人</w:t>
      </w:r>
      <w:r>
        <w:rPr>
          <w:rFonts w:hint="eastAsia" w:ascii="仿宋" w:hAnsi="仿宋" w:eastAsia="仿宋" w:cs="仿宋"/>
          <w:sz w:val="32"/>
          <w:szCs w:val="32"/>
        </w:rPr>
        <w:t>有权重新组织</w:t>
      </w:r>
      <w:r>
        <w:rPr>
          <w:rFonts w:hint="eastAsia" w:ascii="仿宋" w:hAnsi="仿宋" w:eastAsia="仿宋" w:cs="仿宋"/>
          <w:sz w:val="32"/>
          <w:szCs w:val="32"/>
          <w:lang w:val="en-US" w:eastAsia="zh-CN"/>
        </w:rPr>
        <w:t>招标</w:t>
      </w:r>
      <w:r>
        <w:rPr>
          <w:rFonts w:hint="eastAsia" w:ascii="仿宋" w:hAnsi="仿宋" w:eastAsia="仿宋" w:cs="仿宋"/>
          <w:sz w:val="32"/>
          <w:szCs w:val="32"/>
        </w:rPr>
        <w:t>。</w:t>
      </w:r>
    </w:p>
    <w:bookmarkEnd w:id="1"/>
    <w:p w14:paraId="11339CAD">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六、</w:t>
      </w:r>
      <w:r>
        <w:rPr>
          <w:rFonts w:hint="eastAsia" w:ascii="黑体" w:hAnsi="黑体" w:eastAsia="黑体" w:cs="宋体"/>
          <w:sz w:val="32"/>
          <w:szCs w:val="32"/>
          <w:lang w:val="en-US" w:eastAsia="zh-CN"/>
        </w:rPr>
        <w:t>谈判</w:t>
      </w:r>
      <w:r>
        <w:rPr>
          <w:rFonts w:hint="eastAsia" w:ascii="黑体" w:hAnsi="黑体" w:eastAsia="黑体" w:cs="宋体"/>
          <w:sz w:val="32"/>
          <w:szCs w:val="32"/>
        </w:rPr>
        <w:t>报价</w:t>
      </w:r>
    </w:p>
    <w:p w14:paraId="373633EC">
      <w:pPr>
        <w:spacing w:line="560" w:lineRule="exact"/>
        <w:ind w:firstLine="643" w:firstLineChars="200"/>
        <w:jc w:val="left"/>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1.</w:t>
      </w:r>
      <w:r>
        <w:rPr>
          <w:rFonts w:hint="eastAsia" w:ascii="仿宋" w:hAnsi="仿宋" w:eastAsia="仿宋" w:cs="仿宋"/>
          <w:b w:val="0"/>
          <w:bCs w:val="0"/>
          <w:sz w:val="32"/>
          <w:szCs w:val="32"/>
          <w:lang w:val="en-US" w:eastAsia="zh-CN"/>
        </w:rPr>
        <w:t>谈判</w:t>
      </w:r>
      <w:r>
        <w:rPr>
          <w:rFonts w:hint="eastAsia" w:ascii="仿宋" w:hAnsi="仿宋" w:eastAsia="仿宋" w:cs="仿宋"/>
          <w:sz w:val="32"/>
          <w:szCs w:val="32"/>
        </w:rPr>
        <w:t>报价一律使用人民币结算</w:t>
      </w:r>
      <w:r>
        <w:rPr>
          <w:rFonts w:hint="eastAsia" w:ascii="仿宋" w:hAnsi="仿宋" w:eastAsia="仿宋" w:cs="仿宋"/>
          <w:sz w:val="32"/>
          <w:szCs w:val="32"/>
          <w:lang w:eastAsia="zh-CN"/>
        </w:rPr>
        <w:t>；</w:t>
      </w:r>
    </w:p>
    <w:p w14:paraId="3572C59E">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指导价为含税包干价，报价包含为实施和完成项目所产生的咨询、服务、劳务、管理、利润、税金等所有从工作开始至结束的全部相关费用。</w:t>
      </w:r>
    </w:p>
    <w:p w14:paraId="0F1412EC">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七、成交标准</w:t>
      </w:r>
    </w:p>
    <w:p w14:paraId="10269704">
      <w:pPr>
        <w:spacing w:line="560" w:lineRule="exact"/>
        <w:ind w:firstLine="640" w:firstLineChars="200"/>
        <w:jc w:val="left"/>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当谈判申请人在资质、技术、商务等主要条件均满足谈判采购文件要求时，以评选小组评定的综合评分最高的谈判申请人作为中选候选人。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八、发布公告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本次招标公告在四川九洲投资控股集团有限公司网站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(https://www.jezetek.cc/)。对于因其他网站转载并发布的非完整版或修改版公告，而导致误报名或无效报名的情形，采购人不予承担责任。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5日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65D2E27">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2CF07180">
      <w:pPr>
        <w:spacing w:line="520" w:lineRule="exact"/>
        <w:ind w:left="2238" w:leftChars="304" w:hanging="1600" w:hangingChars="500"/>
        <w:jc w:val="left"/>
        <w:rPr>
          <w:rFonts w:hint="eastAsia" w:ascii="仿宋_GB2312" w:hAnsi="宋体" w:eastAsia="仿宋_GB2312" w:cs="宋体"/>
          <w:sz w:val="32"/>
          <w:szCs w:val="32"/>
        </w:rPr>
      </w:pPr>
    </w:p>
    <w:p w14:paraId="3A780233">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w:t>
      </w:r>
      <w:r>
        <w:rPr>
          <w:rFonts w:hint="eastAsia" w:ascii="仿宋_GB2312" w:hAnsi="宋体" w:eastAsia="仿宋_GB2312" w:cs="宋体"/>
          <w:sz w:val="32"/>
          <w:szCs w:val="32"/>
          <w:lang w:val="en-US" w:eastAsia="zh-CN"/>
        </w:rPr>
        <w:t>谈判</w:t>
      </w:r>
      <w:r>
        <w:rPr>
          <w:rFonts w:hint="eastAsia" w:ascii="仿宋_GB2312" w:hAnsi="宋体" w:eastAsia="仿宋_GB2312" w:cs="宋体"/>
          <w:sz w:val="32"/>
          <w:szCs w:val="32"/>
        </w:rPr>
        <w:t>申请书</w:t>
      </w:r>
    </w:p>
    <w:p w14:paraId="486998B7">
      <w:pPr>
        <w:spacing w:line="520" w:lineRule="exact"/>
        <w:ind w:firstLine="640" w:firstLineChars="200"/>
        <w:jc w:val="left"/>
        <w:rPr>
          <w:rFonts w:ascii="仿宋_GB2312" w:hAnsi="宋体" w:eastAsia="仿宋_GB2312" w:cs="宋体"/>
          <w:sz w:val="32"/>
          <w:szCs w:val="32"/>
        </w:rPr>
      </w:pPr>
    </w:p>
    <w:p w14:paraId="68B43258">
      <w:pPr>
        <w:spacing w:line="520" w:lineRule="exact"/>
        <w:jc w:val="both"/>
        <w:rPr>
          <w:rFonts w:hint="eastAsia" w:ascii="仿宋_GB2312" w:hAnsi="宋体" w:eastAsia="仿宋_GB2312" w:cs="宋体"/>
          <w:sz w:val="32"/>
          <w:szCs w:val="32"/>
        </w:rPr>
      </w:pPr>
    </w:p>
    <w:p w14:paraId="1614831E">
      <w:pPr>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3E784A0E">
      <w:pPr>
        <w:wordWrap w:val="0"/>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7</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 xml:space="preserve">14 </w:t>
      </w:r>
      <w:r>
        <w:rPr>
          <w:rFonts w:hint="eastAsia" w:ascii="仿宋_GB2312" w:hAnsi="宋体" w:eastAsia="仿宋_GB2312" w:cs="宋体"/>
          <w:sz w:val="32"/>
          <w:szCs w:val="32"/>
        </w:rPr>
        <w:t xml:space="preserve">日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附件1：</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45669652">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w:t>
      </w:r>
    </w:p>
    <w:p w14:paraId="1E745D0F">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厂区大门及楼栋标识建设服务采购</w:t>
      </w:r>
    </w:p>
    <w:p w14:paraId="52AE1D45">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（编号：FWCGTP202607-01）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shd w:val="clear" w:color="auto" w:fill="auto"/>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谈判申请人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重庆九洲智造科技有限厂区大门及楼栋标识建设</w:t>
      </w:r>
      <w:r>
        <w:rPr>
          <w:rFonts w:hint="eastAsia" w:ascii="仿宋" w:hAnsi="仿宋" w:eastAsia="仿宋" w:cs="仿宋"/>
          <w:b w:val="0"/>
          <w:kern w:val="2"/>
          <w:sz w:val="32"/>
          <w:szCs w:val="32"/>
          <w:shd w:val="clear" w:color="auto" w:fill="auto"/>
          <w:lang w:val="en-US" w:eastAsia="zh-CN" w:bidi="ar"/>
        </w:rPr>
        <w:t>服务采购</w:t>
      </w:r>
      <w:r>
        <w:rPr>
          <w:rFonts w:hint="eastAsia" w:ascii="仿宋" w:hAnsi="仿宋" w:eastAsia="仿宋" w:cs="仿宋"/>
          <w:sz w:val="32"/>
          <w:szCs w:val="32"/>
          <w:shd w:val="clear" w:color="auto" w:fill="auto"/>
        </w:rPr>
        <w:t>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的具体联系人</w:t>
      </w:r>
      <w:bookmarkStart w:id="2" w:name="_GoBack"/>
      <w:bookmarkEnd w:id="2"/>
      <w:r>
        <w:rPr>
          <w:rFonts w:hint="eastAsia" w:ascii="仿宋" w:hAnsi="仿宋" w:eastAsia="仿宋" w:cs="仿宋"/>
          <w:sz w:val="32"/>
          <w:szCs w:val="32"/>
          <w:shd w:val="clear" w:color="auto" w:fill="auto"/>
        </w:rPr>
        <w:t>:</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6"/>
        <w:rPr>
          <w:rFonts w:ascii="宋体" w:hAnsi="宋体" w:cs="宋体"/>
          <w:sz w:val="28"/>
          <w:szCs w:val="28"/>
        </w:rPr>
      </w:pPr>
    </w:p>
    <w:p w14:paraId="6C8AF3D4">
      <w:pPr>
        <w:rPr>
          <w:rFonts w:ascii="宋体" w:hAnsi="宋体" w:cs="宋体"/>
          <w:sz w:val="28"/>
          <w:szCs w:val="28"/>
        </w:rPr>
      </w:pPr>
    </w:p>
    <w:p w14:paraId="72E07F29">
      <w:pPr>
        <w:pStyle w:val="6"/>
        <w:ind w:firstLine="3200" w:firstLineChars="1000"/>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法定代表人或委托代理人:(签章)</w:t>
      </w:r>
    </w:p>
    <w:p w14:paraId="478473DE">
      <w:pPr>
        <w:rPr>
          <w:rFonts w:hint="eastAsia" w:ascii="仿宋" w:hAnsi="仿宋" w:eastAsia="仿宋" w:cs="仿宋"/>
          <w:sz w:val="32"/>
          <w:szCs w:val="32"/>
          <w:shd w:val="clear" w:color="auto" w:fill="auto"/>
        </w:rPr>
      </w:pPr>
    </w:p>
    <w:p w14:paraId="62EF810B">
      <w:pPr>
        <w:rPr>
          <w:rFonts w:hint="default" w:ascii="仿宋" w:hAnsi="仿宋" w:eastAsia="仿宋" w:cs="仿宋"/>
          <w:sz w:val="32"/>
          <w:szCs w:val="32"/>
          <w:shd w:val="clear" w:color="auto" w:fill="auto"/>
          <w:lang w:val="en-US" w:eastAsia="zh-CN"/>
        </w:rPr>
      </w:pP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F04894-B019-4916-A08B-B86F2A4967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BC597886-53EF-4CAF-AB65-C459F81AEFA6}"/>
  </w:font>
  <w:font w:name="仿宋_GB2312">
    <w:panose1 w:val="02010609030101010101"/>
    <w:charset w:val="86"/>
    <w:family w:val="modern"/>
    <w:pitch w:val="default"/>
    <w:sig w:usb0="00000001" w:usb1="080E0000" w:usb2="00000000" w:usb3="00000000" w:csb0="00040000" w:csb1="00000000"/>
    <w:embedRegular r:id="rId3" w:fontKey="{0748586D-DAE2-4581-A313-D6C29382B27C}"/>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embedRegular r:id="rId4" w:fontKey="{B656D61E-5774-44A3-BFFB-C2E906B24E43}"/>
  </w:font>
  <w:font w:name="方正仿宋_GB2312">
    <w:panose1 w:val="02000000000000000000"/>
    <w:charset w:val="86"/>
    <w:family w:val="auto"/>
    <w:pitch w:val="default"/>
    <w:sig w:usb0="A00002BF" w:usb1="184F6CFA" w:usb2="00000012" w:usb3="00000000" w:csb0="00040001" w:csb1="00000000"/>
    <w:embedRegular r:id="rId5" w:fontKey="{288E89B5-D037-404B-B3A4-580588CA7C89}"/>
  </w:font>
  <w:font w:name="QisiAaBanSong">
    <w:altName w:val="微软雅黑"/>
    <w:panose1 w:val="00000000000000000000"/>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8"/>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8"/>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9"/>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60288"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9"/>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9"/>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372F7"/>
    <w:multiLevelType w:val="singleLevel"/>
    <w:tmpl w:val="01B372F7"/>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431F8"/>
    <w:rsid w:val="053D5946"/>
    <w:rsid w:val="081A7E0B"/>
    <w:rsid w:val="08D13A65"/>
    <w:rsid w:val="0A9817DB"/>
    <w:rsid w:val="0AB66608"/>
    <w:rsid w:val="0AE66285"/>
    <w:rsid w:val="0DA844DC"/>
    <w:rsid w:val="0DDB55B2"/>
    <w:rsid w:val="0EA77ABC"/>
    <w:rsid w:val="0F402337"/>
    <w:rsid w:val="138C56A4"/>
    <w:rsid w:val="17200353"/>
    <w:rsid w:val="174F0CF1"/>
    <w:rsid w:val="189067BB"/>
    <w:rsid w:val="1DF70215"/>
    <w:rsid w:val="1F170464"/>
    <w:rsid w:val="20244224"/>
    <w:rsid w:val="216700CB"/>
    <w:rsid w:val="246100DC"/>
    <w:rsid w:val="248C4192"/>
    <w:rsid w:val="25590868"/>
    <w:rsid w:val="27182F16"/>
    <w:rsid w:val="2C4E26A1"/>
    <w:rsid w:val="2D533212"/>
    <w:rsid w:val="2FCA39CB"/>
    <w:rsid w:val="2FDF2929"/>
    <w:rsid w:val="32B709F5"/>
    <w:rsid w:val="35403318"/>
    <w:rsid w:val="38762F46"/>
    <w:rsid w:val="3A5F5336"/>
    <w:rsid w:val="3BFB1250"/>
    <w:rsid w:val="3EE36F26"/>
    <w:rsid w:val="414E2C85"/>
    <w:rsid w:val="42B01776"/>
    <w:rsid w:val="44044D7E"/>
    <w:rsid w:val="450801EB"/>
    <w:rsid w:val="4539092E"/>
    <w:rsid w:val="455259D3"/>
    <w:rsid w:val="46133076"/>
    <w:rsid w:val="4A2220F4"/>
    <w:rsid w:val="4ADF2164"/>
    <w:rsid w:val="4C96187C"/>
    <w:rsid w:val="4D9E4E9A"/>
    <w:rsid w:val="4DFA7C2F"/>
    <w:rsid w:val="4EB73FC4"/>
    <w:rsid w:val="5132515F"/>
    <w:rsid w:val="51A56201"/>
    <w:rsid w:val="526F734D"/>
    <w:rsid w:val="529214B7"/>
    <w:rsid w:val="52F57983"/>
    <w:rsid w:val="572D34A5"/>
    <w:rsid w:val="59814B6F"/>
    <w:rsid w:val="5C0277F1"/>
    <w:rsid w:val="5E317E74"/>
    <w:rsid w:val="61130DC7"/>
    <w:rsid w:val="61D51139"/>
    <w:rsid w:val="666E136D"/>
    <w:rsid w:val="6BC13B88"/>
    <w:rsid w:val="6C5E43EF"/>
    <w:rsid w:val="72C6588B"/>
    <w:rsid w:val="73CD32FD"/>
    <w:rsid w:val="7564480A"/>
    <w:rsid w:val="75EE605B"/>
    <w:rsid w:val="772362EC"/>
    <w:rsid w:val="77A20170"/>
    <w:rsid w:val="77B91D5D"/>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cs="宋体"/>
      <w:b/>
      <w:bCs/>
      <w:kern w:val="44"/>
      <w:sz w:val="44"/>
      <w:szCs w:val="44"/>
    </w:rPr>
  </w:style>
  <w:style w:type="paragraph" w:styleId="4">
    <w:name w:val="heading 3"/>
    <w:basedOn w:val="1"/>
    <w:next w:val="1"/>
    <w:unhideWhenUsed/>
    <w:qFormat/>
    <w:uiPriority w:val="0"/>
    <w:pPr>
      <w:keepNext/>
      <w:keepLines/>
      <w:spacing w:before="260" w:after="260" w:line="412" w:lineRule="auto"/>
      <w:outlineLvl w:val="2"/>
    </w:pPr>
    <w:rPr>
      <w:rFonts w:cs="宋体"/>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rPr>
      <w:rFonts w:ascii="Calibri" w:hAnsi="Calibri" w:eastAsia="微软雅黑" w:cs="Times New Roman"/>
    </w:rPr>
  </w:style>
  <w:style w:type="paragraph" w:styleId="5">
    <w:name w:val="annotation text"/>
    <w:basedOn w:val="6"/>
    <w:qFormat/>
    <w:uiPriority w:val="0"/>
    <w:pPr>
      <w:adjustRightInd w:val="0"/>
      <w:snapToGrid w:val="0"/>
      <w:jc w:val="left"/>
    </w:pPr>
    <w:rPr>
      <w:sz w:val="52"/>
      <w:szCs w:val="44"/>
    </w:rPr>
  </w:style>
  <w:style w:type="paragraph" w:styleId="6">
    <w:name w:val="Body Text"/>
    <w:basedOn w:val="1"/>
    <w:next w:val="1"/>
    <w:autoRedefine/>
    <w:qFormat/>
    <w:uiPriority w:val="0"/>
    <w:pPr>
      <w:spacing w:after="120"/>
    </w:pPr>
  </w:style>
  <w:style w:type="paragraph" w:styleId="7">
    <w:name w:val="Date"/>
    <w:basedOn w:val="1"/>
    <w:next w:val="1"/>
    <w:link w:val="17"/>
    <w:qFormat/>
    <w:uiPriority w:val="0"/>
    <w:pPr>
      <w:ind w:left="100" w:leftChars="2500"/>
    </w:pPr>
  </w:style>
  <w:style w:type="paragraph" w:styleId="8">
    <w:name w:val="footer"/>
    <w:basedOn w:val="1"/>
    <w:link w:val="16"/>
    <w:qFormat/>
    <w:uiPriority w:val="99"/>
    <w:pPr>
      <w:tabs>
        <w:tab w:val="center" w:pos="4153"/>
        <w:tab w:val="right" w:pos="8306"/>
      </w:tabs>
      <w:snapToGrid w:val="0"/>
      <w:jc w:val="left"/>
    </w:pPr>
    <w:rPr>
      <w:sz w:val="18"/>
      <w:szCs w:val="18"/>
    </w:rPr>
  </w:style>
  <w:style w:type="paragraph" w:styleId="9">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rPr>
      <w:sz w:val="24"/>
    </w:rPr>
  </w:style>
  <w:style w:type="paragraph" w:styleId="11">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4">
    <w:name w:val="Hyperlink"/>
    <w:basedOn w:val="13"/>
    <w:autoRedefine/>
    <w:qFormat/>
    <w:uiPriority w:val="0"/>
    <w:rPr>
      <w:color w:val="0000FF"/>
      <w:u w:val="single"/>
    </w:rPr>
  </w:style>
  <w:style w:type="character" w:customStyle="1" w:styleId="15">
    <w:name w:val="页眉 字符"/>
    <w:basedOn w:val="13"/>
    <w:link w:val="9"/>
    <w:qFormat/>
    <w:uiPriority w:val="99"/>
    <w:rPr>
      <w:rFonts w:ascii="Calibri" w:hAnsi="Calibri"/>
      <w:kern w:val="2"/>
      <w:sz w:val="18"/>
      <w:szCs w:val="18"/>
    </w:rPr>
  </w:style>
  <w:style w:type="character" w:customStyle="1" w:styleId="16">
    <w:name w:val="页脚 字符"/>
    <w:basedOn w:val="13"/>
    <w:link w:val="8"/>
    <w:qFormat/>
    <w:uiPriority w:val="99"/>
    <w:rPr>
      <w:rFonts w:ascii="Calibri" w:hAnsi="Calibri"/>
      <w:kern w:val="2"/>
      <w:sz w:val="18"/>
      <w:szCs w:val="18"/>
    </w:rPr>
  </w:style>
  <w:style w:type="character" w:customStyle="1" w:styleId="17">
    <w:name w:val="日期 字符"/>
    <w:basedOn w:val="13"/>
    <w:link w:val="7"/>
    <w:qFormat/>
    <w:uiPriority w:val="0"/>
    <w:rPr>
      <w:rFonts w:ascii="Calibri" w:hAnsi="Calibri"/>
      <w:kern w:val="2"/>
      <w:sz w:val="21"/>
      <w:szCs w:val="24"/>
    </w:rPr>
  </w:style>
  <w:style w:type="paragraph" w:customStyle="1" w:styleId="18">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1861</Words>
  <Characters>2046</Characters>
  <Lines>13</Lines>
  <Paragraphs>3</Paragraphs>
  <TotalTime>0</TotalTime>
  <ScaleCrop>false</ScaleCrop>
  <LinksUpToDate>false</LinksUpToDate>
  <CharactersWithSpaces>2062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Mini</cp:lastModifiedBy>
  <dcterms:modified xsi:type="dcterms:W3CDTF">2026-07-14T10:02:57Z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287D6B86DA4546D7A3DA7182E3BA47B1_13</vt:lpwstr>
  </property>
  <property fmtid="{D5CDD505-2E9C-101B-9397-08002B2CF9AE}" pid="4" name="KSOTemplateDocerSaveRecord">
    <vt:lpwstr>eyJoZGlkIjoiMGI1N2MyNjU5MWQ5MDNhYTkzMjcwZWNkMWNmYjBhMGQiLCJ1c2VySWQiOiI3MjA1NTY3NDQifQ==</vt:lpwstr>
  </property>
</Properties>
</file>