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59153">
      <w:pPr>
        <w:jc w:val="center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成都微精电机股份公司上市项目证券服务机构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流标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公告</w:t>
      </w:r>
    </w:p>
    <w:p w14:paraId="58E5D9CE">
      <w:pPr>
        <w:jc w:val="left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各投标人：</w:t>
      </w:r>
    </w:p>
    <w:p w14:paraId="549751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因本次投标项目</w:t>
      </w:r>
      <w:r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  <w:t>投标人报名数量未达到开标条件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，按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照《</w:t>
      </w:r>
      <w:r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  <w:t>成都微精电机股份公司上市项目证券服务机构公开招标公告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》规定，本次招标流标处理</w:t>
      </w:r>
      <w:r>
        <w:rPr>
          <w:rFonts w:ascii="宋体" w:hAnsi="宋体" w:eastAsia="宋体" w:cs="宋体"/>
          <w:kern w:val="0"/>
          <w:sz w:val="32"/>
          <w:szCs w:val="32"/>
          <w:lang w:val="en-US" w:eastAsia="zh-CN" w:bidi="ar"/>
        </w:rPr>
        <w:t>。</w:t>
      </w:r>
    </w:p>
    <w:p w14:paraId="2AC2882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特此公告。</w:t>
      </w:r>
    </w:p>
    <w:p w14:paraId="31B276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招标人：成都微精电机股份公司</w:t>
      </w:r>
    </w:p>
    <w:p w14:paraId="17BB67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default" w:ascii="宋体" w:hAnsi="宋体" w:eastAsia="宋体" w:cs="宋体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2025年10月20日</w:t>
      </w:r>
    </w:p>
    <w:p w14:paraId="34906EDE">
      <w:pPr>
        <w:jc w:val="left"/>
        <w:rPr>
          <w:rFonts w:hint="default" w:asciiTheme="minorEastAsia" w:hAnsi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31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2025-10-20T03:46:10Z</dcterms:created>
  <dc:creator>Administrator</dc:creator>
  <cp:lastModifiedBy>未休</cp:lastModifiedBy>
  <dcterms:modified xsi:type="dcterms:W3CDTF">2025-10-20T03:51:02Z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eyJoZGlkIjoiZTYwNDYwMDhlNmZiNWRjNjU5YjI3MDk4ZmViOGRjMDAiLCJ1c2VySWQiOiI0MzI3OTE1OTAifQ==</vt:lpwstr>
  </property>
  <property fmtid="{D5CDD505-2E9C-101B-9397-08002B2CF9AE}" pid="4" name="ICV">
    <vt:lpwstr>EAB546DEB5EB4477AC577A74EDD6C4D5_12</vt:lpwstr>
  </property>
</Properties>
</file>