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39FE6">
      <w:pPr>
        <w:pageBreakBefore w:val="0"/>
        <w:widowControl/>
        <w:kinsoku/>
        <w:wordWrap/>
        <w:overflowPunct/>
        <w:topLinePunct w:val="0"/>
        <w:autoSpaceDN/>
        <w:bidi w:val="0"/>
        <w:spacing w:line="560" w:lineRule="exact"/>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四川九洲投资控股集团有限公司</w:t>
      </w:r>
    </w:p>
    <w:p w14:paraId="7C6B1D25">
      <w:pPr>
        <w:pageBreakBefore w:val="0"/>
        <w:widowControl/>
        <w:kinsoku/>
        <w:wordWrap/>
        <w:overflowPunct/>
        <w:topLinePunct w:val="0"/>
        <w:autoSpaceDN/>
        <w:bidi w:val="0"/>
        <w:spacing w:line="560" w:lineRule="exact"/>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2025年度消防系统维保服务采购</w:t>
      </w:r>
    </w:p>
    <w:p w14:paraId="344A1D7D">
      <w:pPr>
        <w:pageBreakBefore w:val="0"/>
        <w:widowControl/>
        <w:kinsoku/>
        <w:wordWrap/>
        <w:overflowPunct/>
        <w:topLinePunct w:val="0"/>
        <w:autoSpaceDN/>
        <w:bidi w:val="0"/>
        <w:spacing w:line="560" w:lineRule="exact"/>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询比公告</w:t>
      </w:r>
    </w:p>
    <w:p w14:paraId="5C4B0CEB">
      <w:pPr>
        <w:keepNext w:val="0"/>
        <w:keepLines w:val="0"/>
        <w:pageBreakBefore w:val="0"/>
        <w:widowControl w:val="0"/>
        <w:suppressLineNumbers w:val="0"/>
        <w:kinsoku/>
        <w:wordWrap/>
        <w:overflowPunct/>
        <w:topLinePunct w:val="0"/>
        <w:autoSpaceDN/>
        <w:bidi w:val="0"/>
        <w:spacing w:beforeAutospacing="0" w:after="0" w:afterAutospacing="0" w:line="560" w:lineRule="exact"/>
        <w:ind w:left="0" w:leftChars="0" w:right="0" w:firstLine="640" w:firstLineChars="200"/>
        <w:jc w:val="both"/>
        <w:textAlignment w:val="auto"/>
        <w:rPr>
          <w:rFonts w:hint="default" w:ascii="仿宋_GB2312" w:hAnsi="Calibri" w:eastAsia="仿宋_GB2312" w:cs="仿宋_GB2312"/>
          <w:color w:val="auto"/>
          <w:kern w:val="0"/>
          <w:sz w:val="32"/>
          <w:szCs w:val="32"/>
          <w:highlight w:val="none"/>
          <w:shd w:val="clear" w:color="auto" w:fill="FFFFFF"/>
          <w:lang w:val="en-US" w:eastAsia="zh-CN" w:bidi="ar"/>
        </w:rPr>
      </w:pPr>
      <w:r>
        <w:rPr>
          <w:rFonts w:hint="default" w:ascii="仿宋_GB2312" w:hAnsi="Calibri" w:eastAsia="仿宋_GB2312" w:cs="仿宋_GB2312"/>
          <w:color w:val="auto"/>
          <w:kern w:val="0"/>
          <w:sz w:val="32"/>
          <w:szCs w:val="32"/>
          <w:highlight w:val="none"/>
          <w:shd w:val="clear" w:color="auto" w:fill="FFFFFF"/>
          <w:lang w:val="en-US" w:eastAsia="zh-CN" w:bidi="ar"/>
        </w:rPr>
        <w:t>四川九洲投资控股集团有限公司（以下简称</w:t>
      </w:r>
      <w:r>
        <w:rPr>
          <w:rFonts w:hint="eastAsia" w:ascii="仿宋_GB2312" w:eastAsia="仿宋_GB2312" w:cs="仿宋_GB2312"/>
          <w:color w:val="auto"/>
          <w:kern w:val="0"/>
          <w:sz w:val="32"/>
          <w:szCs w:val="32"/>
          <w:highlight w:val="none"/>
          <w:shd w:val="clear" w:color="auto" w:fill="FFFFFF"/>
          <w:lang w:val="en-US" w:eastAsia="zh" w:bidi="ar"/>
        </w:rPr>
        <w:t>“</w:t>
      </w:r>
      <w:r>
        <w:rPr>
          <w:rFonts w:hint="default" w:ascii="仿宋_GB2312" w:hAnsi="Calibri" w:eastAsia="仿宋_GB2312" w:cs="仿宋_GB2312"/>
          <w:color w:val="auto"/>
          <w:kern w:val="0"/>
          <w:sz w:val="32"/>
          <w:szCs w:val="32"/>
          <w:highlight w:val="none"/>
          <w:shd w:val="clear" w:color="auto" w:fill="FFFFFF"/>
          <w:lang w:val="en-US" w:eastAsia="zh-CN" w:bidi="ar"/>
        </w:rPr>
        <w:t>九洲集团</w:t>
      </w:r>
      <w:r>
        <w:rPr>
          <w:rFonts w:hint="eastAsia" w:ascii="仿宋_GB2312" w:eastAsia="仿宋_GB2312" w:cs="仿宋_GB2312"/>
          <w:color w:val="auto"/>
          <w:kern w:val="0"/>
          <w:sz w:val="32"/>
          <w:szCs w:val="32"/>
          <w:highlight w:val="none"/>
          <w:shd w:val="clear" w:color="auto" w:fill="FFFFFF"/>
          <w:lang w:val="en-US" w:eastAsia="zh" w:bidi="ar"/>
        </w:rPr>
        <w:t>”</w:t>
      </w:r>
      <w:r>
        <w:rPr>
          <w:rFonts w:hint="default" w:ascii="仿宋_GB2312" w:hAnsi="Calibri" w:eastAsia="仿宋_GB2312" w:cs="仿宋_GB2312"/>
          <w:color w:val="auto"/>
          <w:kern w:val="0"/>
          <w:sz w:val="32"/>
          <w:szCs w:val="32"/>
          <w:highlight w:val="none"/>
          <w:shd w:val="clear" w:color="auto" w:fill="FFFFFF"/>
          <w:lang w:val="en-US" w:eastAsia="zh-CN" w:bidi="ar"/>
        </w:rPr>
        <w:t>）拟开展2025年度消防系统维保服务采购</w:t>
      </w:r>
      <w:r>
        <w:rPr>
          <w:rFonts w:hint="eastAsia" w:ascii="仿宋_GB2312" w:eastAsia="仿宋_GB2312" w:cs="仿宋_GB2312"/>
          <w:color w:val="auto"/>
          <w:kern w:val="0"/>
          <w:sz w:val="32"/>
          <w:szCs w:val="32"/>
          <w:highlight w:val="none"/>
          <w:shd w:val="clear" w:color="auto" w:fill="FFFFFF"/>
          <w:lang w:val="en-US" w:eastAsia="zh-CN" w:bidi="ar"/>
        </w:rPr>
        <w:t>工作，</w:t>
      </w:r>
      <w:r>
        <w:rPr>
          <w:rFonts w:hint="default" w:ascii="仿宋_GB2312" w:hAnsi="Calibri" w:eastAsia="仿宋_GB2312" w:cs="仿宋_GB2312"/>
          <w:color w:val="auto"/>
          <w:kern w:val="0"/>
          <w:sz w:val="32"/>
          <w:szCs w:val="32"/>
          <w:highlight w:val="none"/>
          <w:shd w:val="clear" w:color="auto" w:fill="FFFFFF"/>
          <w:lang w:val="en-US" w:eastAsia="zh-CN" w:bidi="ar"/>
        </w:rPr>
        <w:t>兹公开邀请符合要求的</w:t>
      </w:r>
      <w:r>
        <w:rPr>
          <w:rFonts w:hint="eastAsia" w:ascii="仿宋_GB2312" w:eastAsia="仿宋_GB2312" w:cs="仿宋_GB2312"/>
          <w:color w:val="auto"/>
          <w:kern w:val="0"/>
          <w:sz w:val="32"/>
          <w:szCs w:val="32"/>
          <w:highlight w:val="none"/>
          <w:shd w:val="clear" w:color="auto" w:fill="FFFFFF"/>
          <w:lang w:val="en-US" w:eastAsia="zh-CN" w:bidi="ar"/>
        </w:rPr>
        <w:t>询比申请人</w:t>
      </w:r>
      <w:r>
        <w:rPr>
          <w:rFonts w:hint="default" w:ascii="仿宋_GB2312" w:hAnsi="Calibri" w:eastAsia="仿宋_GB2312" w:cs="仿宋_GB2312"/>
          <w:color w:val="auto"/>
          <w:kern w:val="0"/>
          <w:sz w:val="32"/>
          <w:szCs w:val="32"/>
          <w:highlight w:val="none"/>
          <w:shd w:val="clear" w:color="auto" w:fill="FFFFFF"/>
          <w:lang w:val="en-US" w:eastAsia="zh-CN" w:bidi="ar"/>
        </w:rPr>
        <w:t>参加询比。</w:t>
      </w:r>
    </w:p>
    <w:p w14:paraId="17FE6B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一、项目基本情况</w:t>
      </w:r>
    </w:p>
    <w:p w14:paraId="2108CB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kern w:val="2"/>
          <w:sz w:val="32"/>
          <w:szCs w:val="32"/>
          <w:lang w:val="en-US" w:eastAsia="zh-CN" w:bidi="ar-SA"/>
        </w:rPr>
        <w:t>（一）</w:t>
      </w:r>
      <w:r>
        <w:rPr>
          <w:rFonts w:hint="eastAsia" w:ascii="仿宋_GB2312" w:eastAsia="仿宋_GB2312" w:cs="仿宋_GB2312"/>
          <w:color w:val="auto"/>
          <w:kern w:val="0"/>
          <w:sz w:val="32"/>
          <w:szCs w:val="32"/>
          <w:highlight w:val="none"/>
          <w:vertAlign w:val="baseline"/>
          <w:lang w:val="en-US" w:eastAsia="zh-CN" w:bidi="ar"/>
        </w:rPr>
        <w:t>询比人</w:t>
      </w:r>
      <w:r>
        <w:rPr>
          <w:rFonts w:hint="default" w:ascii="仿宋_GB2312" w:hAnsi="Calibri" w:eastAsia="仿宋_GB2312" w:cs="仿宋_GB2312"/>
          <w:color w:val="auto"/>
          <w:kern w:val="0"/>
          <w:sz w:val="32"/>
          <w:szCs w:val="32"/>
          <w:highlight w:val="none"/>
          <w:vertAlign w:val="baseline"/>
          <w:lang w:val="en-US" w:eastAsia="zh-CN" w:bidi="ar"/>
        </w:rPr>
        <w:t>：</w:t>
      </w:r>
      <w:r>
        <w:rPr>
          <w:rFonts w:hint="default" w:ascii="仿宋_GB2312" w:hAnsi="Calibri" w:eastAsia="仿宋_GB2312" w:cs="仿宋_GB2312"/>
          <w:b w:val="0"/>
          <w:bCs w:val="0"/>
          <w:color w:val="auto"/>
          <w:kern w:val="0"/>
          <w:sz w:val="32"/>
          <w:szCs w:val="32"/>
          <w:highlight w:val="none"/>
          <w:shd w:val="clear" w:color="auto" w:fill="FFFFFF"/>
          <w:vertAlign w:val="baseline"/>
          <w:lang w:val="en-US" w:eastAsia="zh-CN" w:bidi="ar"/>
        </w:rPr>
        <w:t>四川九洲投资控股集团有限公司</w:t>
      </w:r>
    </w:p>
    <w:p w14:paraId="66C6E8BE">
      <w:pPr>
        <w:keepNext w:val="0"/>
        <w:keepLines w:val="0"/>
        <w:pageBreakBefore w:val="0"/>
        <w:widowControl/>
        <w:suppressLineNumbers w:val="0"/>
        <w:kinsoku/>
        <w:wordWrap/>
        <w:overflowPunct/>
        <w:topLinePunct w:val="0"/>
        <w:autoSpaceDE w:val="0"/>
        <w:autoSpaceDN/>
        <w:bidi w:val="0"/>
        <w:spacing w:beforeAutospacing="0" w:after="0" w:afterAutospacing="0" w:line="560" w:lineRule="exact"/>
        <w:ind w:left="0" w:leftChars="0" w:right="0" w:firstLine="640" w:firstLineChars="200"/>
        <w:jc w:val="both"/>
        <w:textAlignment w:val="auto"/>
        <w:outlineLvl w:val="2"/>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kern w:val="2"/>
          <w:sz w:val="32"/>
          <w:szCs w:val="32"/>
          <w:lang w:val="en-US" w:eastAsia="zh-CN" w:bidi="ar-SA"/>
        </w:rPr>
        <w:t>（二）</w:t>
      </w:r>
      <w:r>
        <w:rPr>
          <w:rFonts w:hint="eastAsia" w:ascii="仿宋_GB2312" w:hAnsi="仿宋_GB2312" w:eastAsia="仿宋_GB2312" w:cs="仿宋_GB2312"/>
          <w:b w:val="0"/>
          <w:bCs w:val="0"/>
          <w:sz w:val="32"/>
          <w:szCs w:val="32"/>
        </w:rPr>
        <w:t>项目名称：</w:t>
      </w:r>
      <w:r>
        <w:rPr>
          <w:rFonts w:hint="default" w:ascii="仿宋_GB2312" w:hAnsi="Calibri" w:eastAsia="仿宋_GB2312" w:cs="仿宋_GB2312"/>
          <w:b w:val="0"/>
          <w:bCs w:val="0"/>
          <w:color w:val="auto"/>
          <w:kern w:val="0"/>
          <w:sz w:val="32"/>
          <w:szCs w:val="32"/>
          <w:highlight w:val="none"/>
          <w:shd w:val="clear" w:color="auto" w:fill="FFFFFF"/>
          <w:lang w:val="en-US" w:eastAsia="zh-CN" w:bidi="ar"/>
        </w:rPr>
        <w:t>四川九洲投资控股集团有限公司2025年度消防系统维保服务</w:t>
      </w:r>
    </w:p>
    <w:p w14:paraId="52461E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kern w:val="2"/>
          <w:sz w:val="32"/>
          <w:szCs w:val="32"/>
          <w:lang w:val="en-US" w:eastAsia="zh-CN" w:bidi="ar-SA"/>
        </w:rPr>
        <w:t>（三）</w:t>
      </w:r>
      <w:r>
        <w:rPr>
          <w:rFonts w:hint="eastAsia" w:ascii="仿宋_GB2312" w:eastAsia="仿宋_GB2312" w:cs="仿宋_GB2312"/>
          <w:color w:val="auto"/>
          <w:kern w:val="0"/>
          <w:sz w:val="32"/>
          <w:szCs w:val="32"/>
          <w:highlight w:val="none"/>
          <w:lang w:val="en-US" w:eastAsia="zh-CN" w:bidi="ar"/>
        </w:rPr>
        <w:t>询比</w:t>
      </w:r>
      <w:r>
        <w:rPr>
          <w:rFonts w:hint="default" w:ascii="仿宋_GB2312" w:hAnsi="Calibri" w:eastAsia="仿宋_GB2312" w:cs="仿宋_GB2312"/>
          <w:color w:val="auto"/>
          <w:kern w:val="0"/>
          <w:sz w:val="32"/>
          <w:szCs w:val="32"/>
          <w:highlight w:val="none"/>
          <w:lang w:val="en-US" w:eastAsia="zh-CN" w:bidi="ar"/>
        </w:rPr>
        <w:t>事项：</w:t>
      </w:r>
      <w:r>
        <w:rPr>
          <w:rFonts w:hint="default" w:ascii="仿宋_GB2312" w:hAnsi="Calibri" w:eastAsia="仿宋_GB2312" w:cs="仿宋_GB2312"/>
          <w:b w:val="0"/>
          <w:bCs w:val="0"/>
          <w:color w:val="auto"/>
          <w:kern w:val="0"/>
          <w:sz w:val="32"/>
          <w:szCs w:val="32"/>
          <w:highlight w:val="none"/>
          <w:shd w:val="clear" w:color="auto" w:fill="FFFFFF"/>
          <w:lang w:val="en-US" w:eastAsia="zh-CN" w:bidi="ar"/>
        </w:rPr>
        <w:t>四川九洲投资控股集团有限公司2025年度消防系统维保服务</w:t>
      </w:r>
    </w:p>
    <w:p w14:paraId="3BC0EA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kern w:val="2"/>
          <w:sz w:val="32"/>
          <w:szCs w:val="32"/>
          <w:lang w:val="en-US" w:eastAsia="zh-CN" w:bidi="ar-SA"/>
        </w:rPr>
        <w:t>（四）</w:t>
      </w:r>
      <w:r>
        <w:rPr>
          <w:rFonts w:hint="eastAsia" w:ascii="仿宋_GB2312" w:hAnsi="仿宋_GB2312" w:eastAsia="仿宋_GB2312" w:cs="仿宋_GB2312"/>
          <w:b w:val="0"/>
          <w:bCs w:val="0"/>
          <w:sz w:val="32"/>
          <w:szCs w:val="32"/>
          <w:highlight w:val="none"/>
          <w:lang w:val="en-US" w:eastAsia="zh-CN"/>
        </w:rPr>
        <w:t>采购</w:t>
      </w:r>
      <w:r>
        <w:rPr>
          <w:rFonts w:hint="eastAsia" w:ascii="仿宋_GB2312" w:hAnsi="仿宋_GB2312" w:eastAsia="仿宋_GB2312" w:cs="仿宋_GB2312"/>
          <w:b w:val="0"/>
          <w:bCs w:val="0"/>
          <w:sz w:val="32"/>
          <w:szCs w:val="32"/>
        </w:rPr>
        <w:t>方式</w:t>
      </w:r>
      <w:r>
        <w:rPr>
          <w:rFonts w:hint="eastAsia" w:ascii="仿宋_GB2312" w:hAnsi="Calibri" w:eastAsia="仿宋_GB2312" w:cs="仿宋_GB2312"/>
          <w:color w:val="auto"/>
          <w:kern w:val="0"/>
          <w:sz w:val="32"/>
          <w:szCs w:val="32"/>
          <w:highlight w:val="none"/>
          <w:lang w:val="en-US" w:eastAsia="zh-CN" w:bidi="ar"/>
        </w:rPr>
        <w:t>：询比</w:t>
      </w:r>
    </w:p>
    <w:p w14:paraId="70D7CDD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kern w:val="2"/>
          <w:sz w:val="32"/>
          <w:szCs w:val="32"/>
          <w:lang w:val="en-US" w:eastAsia="zh-CN" w:bidi="ar-SA"/>
        </w:rPr>
        <w:t>（五）</w:t>
      </w:r>
      <w:r>
        <w:rPr>
          <w:rFonts w:hint="eastAsia" w:ascii="仿宋_GB2312" w:hAnsi="仿宋_GB2312" w:eastAsia="仿宋_GB2312" w:cs="仿宋_GB2312"/>
          <w:b w:val="0"/>
          <w:bCs w:val="0"/>
          <w:sz w:val="32"/>
          <w:szCs w:val="32"/>
          <w:highlight w:val="none"/>
          <w:lang w:val="en-US" w:eastAsia="zh-CN"/>
        </w:rPr>
        <w:t>评审方式：综合评分法</w:t>
      </w:r>
    </w:p>
    <w:p w14:paraId="0138457A">
      <w:pPr>
        <w:pStyle w:val="9"/>
        <w:keepNext w:val="0"/>
        <w:keepLines w:val="0"/>
        <w:widowControl w:val="0"/>
        <w:suppressLineNumbers w:val="0"/>
        <w:adjustRightInd w:val="0"/>
        <w:snapToGrid w:val="0"/>
        <w:spacing w:before="0" w:beforeLines="0" w:beforeAutospacing="0" w:after="0" w:afterLines="0" w:afterAutospacing="0" w:line="560" w:lineRule="exact"/>
        <w:ind w:left="0" w:leftChars="0" w:right="0" w:firstLine="640" w:firstLineChars="200"/>
        <w:jc w:val="both"/>
        <w:outlineLvl w:val="2"/>
        <w:rPr>
          <w:rFonts w:hint="eastAsia" w:ascii="仿宋_GB2312" w:eastAsia="仿宋_GB2312" w:cs="仿宋_GB2312"/>
          <w:color w:val="auto"/>
          <w:kern w:val="0"/>
          <w:sz w:val="32"/>
          <w:szCs w:val="32"/>
          <w:highlight w:val="none"/>
          <w:vertAlign w:val="baseline"/>
          <w:lang w:val="en-US" w:eastAsia="zh-CN" w:bidi="ar"/>
        </w:rPr>
      </w:pPr>
      <w:r>
        <w:rPr>
          <w:rFonts w:hint="default" w:ascii="仿宋_GB2312" w:hAnsi="Calibri" w:eastAsia="仿宋_GB2312" w:cs="仿宋_GB2312"/>
          <w:color w:val="auto"/>
          <w:kern w:val="0"/>
          <w:sz w:val="32"/>
          <w:szCs w:val="32"/>
          <w:highlight w:val="none"/>
          <w:vertAlign w:val="baseline"/>
          <w:lang w:val="en-US" w:eastAsia="zh-CN" w:bidi="ar"/>
        </w:rPr>
        <w:t>（</w:t>
      </w:r>
      <w:r>
        <w:rPr>
          <w:rFonts w:hint="eastAsia" w:ascii="仿宋_GB2312" w:eastAsia="仿宋_GB2312" w:cs="仿宋_GB2312"/>
          <w:color w:val="auto"/>
          <w:kern w:val="0"/>
          <w:sz w:val="32"/>
          <w:szCs w:val="32"/>
          <w:highlight w:val="none"/>
          <w:vertAlign w:val="baseline"/>
          <w:lang w:val="en-US" w:eastAsia="zh-CN" w:bidi="ar"/>
        </w:rPr>
        <w:t>六</w:t>
      </w:r>
      <w:r>
        <w:rPr>
          <w:rFonts w:hint="default" w:ascii="仿宋_GB2312" w:hAnsi="Calibri" w:eastAsia="仿宋_GB2312" w:cs="仿宋_GB2312"/>
          <w:color w:val="auto"/>
          <w:kern w:val="0"/>
          <w:sz w:val="32"/>
          <w:szCs w:val="32"/>
          <w:highlight w:val="none"/>
          <w:vertAlign w:val="baseline"/>
          <w:lang w:val="en-US" w:eastAsia="zh-CN" w:bidi="ar"/>
        </w:rPr>
        <w:t>）</w:t>
      </w:r>
      <w:r>
        <w:rPr>
          <w:rFonts w:hint="eastAsia" w:ascii="仿宋_GB2312" w:eastAsia="仿宋_GB2312" w:cs="仿宋_GB2312"/>
          <w:color w:val="auto"/>
          <w:kern w:val="0"/>
          <w:sz w:val="32"/>
          <w:szCs w:val="32"/>
          <w:highlight w:val="none"/>
          <w:vertAlign w:val="baseline"/>
          <w:lang w:val="en-US" w:eastAsia="zh-CN" w:bidi="ar"/>
        </w:rPr>
        <w:t>服务面积</w:t>
      </w:r>
    </w:p>
    <w:p w14:paraId="10BFEDA7">
      <w:pPr>
        <w:pStyle w:val="9"/>
        <w:keepNext w:val="0"/>
        <w:keepLines w:val="0"/>
        <w:widowControl w:val="0"/>
        <w:suppressLineNumbers w:val="0"/>
        <w:adjustRightInd w:val="0"/>
        <w:snapToGrid w:val="0"/>
        <w:spacing w:before="0" w:beforeLines="0" w:beforeAutospacing="0" w:after="0" w:afterLines="0" w:afterAutospacing="0" w:line="560" w:lineRule="exact"/>
        <w:ind w:left="0" w:leftChars="0" w:right="0" w:firstLine="640" w:firstLineChars="200"/>
        <w:jc w:val="both"/>
        <w:outlineLvl w:val="2"/>
        <w:rPr>
          <w:rFonts w:hint="default" w:ascii="仿宋_GB2312" w:eastAsia="仿宋_GB2312" w:cs="仿宋_GB2312"/>
          <w:color w:val="auto"/>
          <w:kern w:val="0"/>
          <w:sz w:val="32"/>
          <w:szCs w:val="32"/>
          <w:highlight w:val="none"/>
          <w:vertAlign w:val="baseline"/>
          <w:lang w:val="en-US" w:eastAsia="zh-CN" w:bidi="ar"/>
        </w:rPr>
      </w:pPr>
      <w:r>
        <w:rPr>
          <w:rFonts w:hint="eastAsia" w:ascii="仿宋_GB2312" w:eastAsia="仿宋_GB2312" w:cs="仿宋_GB2312"/>
          <w:color w:val="auto"/>
          <w:kern w:val="0"/>
          <w:sz w:val="32"/>
          <w:szCs w:val="32"/>
          <w:highlight w:val="none"/>
          <w:vertAlign w:val="baseline"/>
          <w:lang w:val="en-US" w:eastAsia="zh-CN" w:bidi="ar"/>
        </w:rPr>
        <w:t xml:space="preserve">1. </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CN" w:bidi="ar"/>
        </w:rPr>
        <w:t>既有建筑</w:t>
      </w:r>
      <w:r>
        <w:rPr>
          <w:rFonts w:hint="eastAsia" w:ascii="仿宋_GB2312" w:eastAsia="仿宋_GB2312" w:cs="仿宋_GB2312"/>
          <w:color w:val="auto"/>
          <w:kern w:val="0"/>
          <w:sz w:val="32"/>
          <w:szCs w:val="32"/>
          <w:highlight w:val="none"/>
          <w:vertAlign w:val="baseline"/>
          <w:lang w:val="en-US" w:eastAsia="zh-CN" w:bidi="ar"/>
        </w:rPr>
        <w:t>：366060.21平方米</w:t>
      </w:r>
    </w:p>
    <w:p w14:paraId="09AF355A">
      <w:pPr>
        <w:pStyle w:val="9"/>
        <w:keepNext w:val="0"/>
        <w:keepLines w:val="0"/>
        <w:widowControl w:val="0"/>
        <w:suppressLineNumbers w:val="0"/>
        <w:adjustRightInd w:val="0"/>
        <w:snapToGrid w:val="0"/>
        <w:spacing w:before="0" w:beforeLines="0" w:beforeAutospacing="0" w:after="0" w:afterLines="0" w:afterAutospacing="0" w:line="560" w:lineRule="exact"/>
        <w:ind w:left="0" w:leftChars="0" w:right="0" w:firstLine="640" w:firstLineChars="200"/>
        <w:jc w:val="both"/>
        <w:outlineLvl w:val="2"/>
        <w:rPr>
          <w:rFonts w:hint="eastAsia" w:ascii="仿宋_GB2312" w:hAnsi="仿宋_GB2312" w:eastAsia="仿宋_GB2312" w:cs="仿宋_GB2312"/>
          <w:b w:val="0"/>
          <w:bCs w:val="0"/>
          <w:kern w:val="2"/>
          <w:sz w:val="32"/>
          <w:szCs w:val="32"/>
          <w:lang w:val="en-US" w:eastAsia="zh-CN" w:bidi="ar-SA"/>
        </w:rPr>
      </w:pPr>
      <w:r>
        <w:rPr>
          <w:rFonts w:hint="eastAsia" w:ascii="仿宋_GB2312" w:eastAsia="仿宋_GB2312" w:cs="仿宋_GB2312"/>
          <w:color w:val="auto"/>
          <w:kern w:val="0"/>
          <w:sz w:val="32"/>
          <w:szCs w:val="32"/>
          <w:highlight w:val="none"/>
          <w:vertAlign w:val="baseline"/>
          <w:lang w:val="en-US" w:eastAsia="zh-CN" w:bidi="ar"/>
        </w:rPr>
        <w:t xml:space="preserve">2. </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 w:bidi="ar"/>
        </w:rPr>
        <w:t>新投</w:t>
      </w:r>
      <w:r>
        <w:rPr>
          <w:rFonts w:hint="eastAsia" w:ascii="仿宋_GB2312" w:eastAsia="仿宋_GB2312" w:cs="仿宋_GB2312"/>
          <w:b w:val="0"/>
          <w:bCs w:val="0"/>
          <w:color w:val="auto"/>
          <w:kern w:val="0"/>
          <w:sz w:val="32"/>
          <w:szCs w:val="32"/>
          <w:highlight w:val="none"/>
          <w:shd w:val="clear" w:color="auto" w:fill="FFFFFF"/>
          <w:vertAlign w:val="baseline"/>
          <w:lang w:val="en-US" w:eastAsia="zh-CN" w:bidi="ar"/>
        </w:rPr>
        <w:t>用</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 w:bidi="ar"/>
        </w:rPr>
        <w:t>建筑</w:t>
      </w:r>
      <w:r>
        <w:rPr>
          <w:rFonts w:hint="eastAsia" w:ascii="仿宋_GB2312" w:eastAsia="仿宋_GB2312" w:cs="仿宋_GB2312"/>
          <w:color w:val="auto"/>
          <w:kern w:val="0"/>
          <w:sz w:val="32"/>
          <w:szCs w:val="32"/>
          <w:highlight w:val="none"/>
          <w:vertAlign w:val="baseline"/>
          <w:lang w:val="en-US" w:eastAsia="zh-CN" w:bidi="ar"/>
        </w:rPr>
        <w:t>：91552.9平方米</w:t>
      </w:r>
    </w:p>
    <w:p w14:paraId="53658991">
      <w:pPr>
        <w:pStyle w:val="9"/>
        <w:keepNext w:val="0"/>
        <w:keepLines w:val="0"/>
        <w:pageBreakBefore w:val="0"/>
        <w:widowControl w:val="0"/>
        <w:suppressLineNumbers w:val="0"/>
        <w:kinsoku/>
        <w:wordWrap/>
        <w:overflowPunct/>
        <w:topLinePunct w:val="0"/>
        <w:autoSpaceDN/>
        <w:bidi w:val="0"/>
        <w:adjustRightInd w:val="0"/>
        <w:snapToGrid w:val="0"/>
        <w:spacing w:beforeAutospacing="0" w:after="0" w:afterAutospacing="0" w:line="560" w:lineRule="exact"/>
        <w:ind w:left="0" w:leftChars="0" w:right="0" w:firstLine="640" w:firstLineChars="200"/>
        <w:jc w:val="both"/>
        <w:textAlignment w:val="auto"/>
        <w:outlineLvl w:val="2"/>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kern w:val="2"/>
          <w:sz w:val="32"/>
          <w:szCs w:val="32"/>
          <w:lang w:val="en-US" w:eastAsia="zh-CN" w:bidi="ar-SA"/>
        </w:rPr>
        <w:t>（七）</w:t>
      </w:r>
      <w:r>
        <w:rPr>
          <w:rFonts w:hint="eastAsia" w:ascii="仿宋_GB2312" w:hAnsi="仿宋_GB2312" w:eastAsia="仿宋_GB2312" w:cs="仿宋_GB2312"/>
          <w:b w:val="0"/>
          <w:bCs w:val="0"/>
          <w:sz w:val="32"/>
          <w:szCs w:val="32"/>
        </w:rPr>
        <w:t>限价</w:t>
      </w:r>
      <w:r>
        <w:rPr>
          <w:rFonts w:hint="eastAsia" w:ascii="仿宋_GB2312" w:hAnsi="仿宋_GB2312" w:eastAsia="仿宋_GB2312" w:cs="仿宋_GB2312"/>
          <w:b w:val="0"/>
          <w:bCs w:val="0"/>
          <w:sz w:val="32"/>
          <w:szCs w:val="32"/>
          <w:lang w:val="en-US" w:eastAsia="zh-CN"/>
        </w:rPr>
        <w:t>金额</w:t>
      </w:r>
    </w:p>
    <w:p w14:paraId="61D0571B">
      <w:pPr>
        <w:pStyle w:val="9"/>
        <w:keepNext w:val="0"/>
        <w:keepLines w:val="0"/>
        <w:pageBreakBefore w:val="0"/>
        <w:widowControl w:val="0"/>
        <w:suppressLineNumbers w:val="0"/>
        <w:kinsoku/>
        <w:wordWrap/>
        <w:overflowPunct/>
        <w:topLinePunct w:val="0"/>
        <w:autoSpaceDN/>
        <w:bidi w:val="0"/>
        <w:adjustRightInd w:val="0"/>
        <w:snapToGrid w:val="0"/>
        <w:spacing w:beforeAutospacing="0" w:after="0" w:afterAutospacing="0" w:line="560" w:lineRule="exact"/>
        <w:ind w:left="0" w:leftChars="0" w:right="0" w:firstLine="640" w:firstLineChars="200"/>
        <w:jc w:val="both"/>
        <w:textAlignment w:val="auto"/>
        <w:outlineLvl w:val="2"/>
        <w:rPr>
          <w:rFonts w:hint="default" w:ascii="仿宋_GB2312" w:hAnsi="Calibri" w:eastAsia="仿宋_GB2312" w:cs="仿宋_GB2312"/>
          <w:b w:val="0"/>
          <w:bCs w:val="0"/>
          <w:color w:val="auto"/>
          <w:kern w:val="0"/>
          <w:sz w:val="32"/>
          <w:szCs w:val="32"/>
          <w:highlight w:val="none"/>
          <w:shd w:val="clear" w:color="auto" w:fill="FFFFFF"/>
          <w:vertAlign w:val="baseline"/>
          <w:lang w:val="en-US" w:eastAsia="zh-CN" w:bidi="ar"/>
        </w:rPr>
      </w:pPr>
      <w:r>
        <w:rPr>
          <w:rFonts w:hint="eastAsia" w:ascii="仿宋_GB2312" w:hAnsi="仿宋_GB2312" w:eastAsia="仿宋_GB2312" w:cs="仿宋_GB2312"/>
          <w:b w:val="0"/>
          <w:bCs w:val="0"/>
          <w:sz w:val="32"/>
          <w:szCs w:val="32"/>
          <w:lang w:val="en-US" w:eastAsia="zh-CN"/>
        </w:rPr>
        <w:t xml:space="preserve">1. </w:t>
      </w:r>
      <w:r>
        <w:rPr>
          <w:rFonts w:hint="eastAsia" w:ascii="仿宋_GB2312" w:eastAsia="仿宋_GB2312" w:cs="仿宋_GB2312"/>
          <w:b w:val="0"/>
          <w:bCs w:val="0"/>
          <w:color w:val="auto"/>
          <w:kern w:val="0"/>
          <w:sz w:val="32"/>
          <w:szCs w:val="32"/>
          <w:highlight w:val="none"/>
          <w:shd w:val="clear" w:color="auto" w:fill="FFFFFF"/>
          <w:vertAlign w:val="baseline"/>
          <w:lang w:val="en-US" w:eastAsia="zh-CN" w:bidi="ar"/>
        </w:rPr>
        <w:t>既有建筑：</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CN" w:bidi="ar"/>
        </w:rPr>
        <w:t>0.4元/平方米</w:t>
      </w:r>
    </w:p>
    <w:p w14:paraId="7405F3D3">
      <w:pPr>
        <w:pStyle w:val="9"/>
        <w:keepNext w:val="0"/>
        <w:keepLines w:val="0"/>
        <w:pageBreakBefore w:val="0"/>
        <w:widowControl w:val="0"/>
        <w:suppressLineNumbers w:val="0"/>
        <w:kinsoku/>
        <w:wordWrap/>
        <w:overflowPunct/>
        <w:topLinePunct w:val="0"/>
        <w:autoSpaceDN/>
        <w:bidi w:val="0"/>
        <w:adjustRightInd w:val="0"/>
        <w:snapToGrid w:val="0"/>
        <w:spacing w:beforeAutospacing="0" w:after="0" w:afterAutospacing="0" w:line="560" w:lineRule="exact"/>
        <w:ind w:left="0" w:leftChars="0" w:right="0" w:firstLine="640" w:firstLineChars="200"/>
        <w:jc w:val="both"/>
        <w:textAlignment w:val="auto"/>
        <w:outlineLvl w:val="2"/>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CN" w:bidi="ar"/>
        </w:rPr>
      </w:pP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CN" w:bidi="ar"/>
        </w:rPr>
        <w:t xml:space="preserve">2. </w:t>
      </w:r>
      <w:r>
        <w:rPr>
          <w:rFonts w:hint="eastAsia" w:ascii="仿宋_GB2312" w:eastAsia="仿宋_GB2312" w:cs="仿宋_GB2312"/>
          <w:b w:val="0"/>
          <w:bCs w:val="0"/>
          <w:color w:val="auto"/>
          <w:kern w:val="0"/>
          <w:sz w:val="32"/>
          <w:szCs w:val="32"/>
          <w:highlight w:val="none"/>
          <w:shd w:val="clear" w:color="auto" w:fill="FFFFFF"/>
          <w:vertAlign w:val="baseline"/>
          <w:lang w:val="en-US" w:eastAsia="zh-CN" w:bidi="ar"/>
        </w:rPr>
        <w:t>新投用建筑</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 w:bidi="ar"/>
        </w:rPr>
        <w:t>：0.</w:t>
      </w:r>
      <w:r>
        <w:rPr>
          <w:rFonts w:hint="eastAsia" w:ascii="仿宋_GB2312" w:eastAsia="仿宋_GB2312" w:cs="仿宋_GB2312"/>
          <w:b w:val="0"/>
          <w:bCs w:val="0"/>
          <w:color w:val="auto"/>
          <w:kern w:val="0"/>
          <w:sz w:val="32"/>
          <w:szCs w:val="32"/>
          <w:highlight w:val="none"/>
          <w:shd w:val="clear" w:color="auto" w:fill="FFFFFF"/>
          <w:vertAlign w:val="baseline"/>
          <w:lang w:val="en-US" w:eastAsia="zh" w:bidi="ar"/>
        </w:rPr>
        <w:t>2</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 w:bidi="ar"/>
        </w:rPr>
        <w:t>元/平方米</w:t>
      </w:r>
    </w:p>
    <w:p w14:paraId="3226175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16"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Calibri" w:eastAsia="仿宋_GB2312" w:cs="仿宋_GB2312"/>
          <w:b w:val="0"/>
          <w:bCs w:val="0"/>
          <w:color w:val="auto"/>
          <w:spacing w:val="-6"/>
          <w:kern w:val="0"/>
          <w:sz w:val="32"/>
          <w:szCs w:val="32"/>
          <w:highlight w:val="none"/>
          <w:shd w:val="clear" w:color="auto" w:fill="FFFFFF"/>
          <w:vertAlign w:val="baseline"/>
          <w:lang w:val="en-US" w:eastAsia="zh-CN" w:bidi="ar"/>
        </w:rPr>
        <w:t>（以上价格均为含税价</w:t>
      </w:r>
      <w:r>
        <w:rPr>
          <w:rFonts w:hint="default" w:ascii="仿宋_GB2312" w:eastAsia="仿宋_GB2312" w:cs="仿宋_GB2312"/>
          <w:b w:val="0"/>
          <w:bCs w:val="0"/>
          <w:color w:val="auto"/>
          <w:spacing w:val="-6"/>
          <w:kern w:val="0"/>
          <w:sz w:val="32"/>
          <w:szCs w:val="32"/>
          <w:highlight w:val="none"/>
          <w:shd w:val="clear" w:color="auto" w:fill="FFFFFF"/>
          <w:vertAlign w:val="baseline"/>
          <w:lang w:val="en-US" w:eastAsia="zh-CN" w:bidi="ar"/>
        </w:rPr>
        <w:t>，</w:t>
      </w:r>
      <w:r>
        <w:rPr>
          <w:rFonts w:hint="eastAsia" w:ascii="仿宋_GB2312" w:hAnsi="Calibri" w:eastAsia="仿宋_GB2312" w:cs="仿宋_GB2312"/>
          <w:color w:val="auto"/>
          <w:spacing w:val="-6"/>
          <w:kern w:val="0"/>
          <w:sz w:val="32"/>
          <w:szCs w:val="32"/>
          <w:highlight w:val="none"/>
          <w:shd w:val="clear" w:color="auto" w:fill="FFFFFF"/>
          <w:lang w:val="en-US" w:eastAsia="zh-CN" w:bidi="ar"/>
        </w:rPr>
        <w:t>询比申请人应对本项目两部</w:t>
      </w:r>
      <w:r>
        <w:rPr>
          <w:rFonts w:hint="eastAsia" w:ascii="仿宋_GB2312" w:eastAsia="仿宋_GB2312" w:cs="仿宋_GB2312"/>
          <w:color w:val="auto"/>
          <w:spacing w:val="-6"/>
          <w:kern w:val="0"/>
          <w:sz w:val="32"/>
          <w:szCs w:val="32"/>
          <w:highlight w:val="none"/>
          <w:shd w:val="clear" w:color="auto" w:fill="FFFFFF"/>
          <w:lang w:val="en-US" w:eastAsia="zh-CN" w:bidi="ar"/>
        </w:rPr>
        <w:t>分</w:t>
      </w:r>
      <w:r>
        <w:rPr>
          <w:rFonts w:hint="eastAsia" w:ascii="仿宋_GB2312" w:hAnsi="Calibri" w:eastAsia="仿宋_GB2312" w:cs="仿宋_GB2312"/>
          <w:color w:val="auto"/>
          <w:spacing w:val="-6"/>
          <w:kern w:val="0"/>
          <w:sz w:val="32"/>
          <w:szCs w:val="32"/>
          <w:highlight w:val="none"/>
          <w:shd w:val="clear" w:color="auto" w:fill="FFFFFF"/>
          <w:lang w:val="en-US" w:eastAsia="zh-CN" w:bidi="ar"/>
        </w:rPr>
        <w:t>分别报价</w:t>
      </w:r>
      <w:r>
        <w:rPr>
          <w:rFonts w:hint="eastAsia" w:ascii="仿宋_GB2312" w:hAnsi="Calibri" w:eastAsia="仿宋_GB2312" w:cs="仿宋_GB2312"/>
          <w:b w:val="0"/>
          <w:bCs w:val="0"/>
          <w:color w:val="auto"/>
          <w:spacing w:val="-6"/>
          <w:kern w:val="0"/>
          <w:sz w:val="32"/>
          <w:szCs w:val="32"/>
          <w:highlight w:val="none"/>
          <w:shd w:val="clear" w:color="auto" w:fill="FFFFFF"/>
          <w:vertAlign w:val="baseline"/>
          <w:lang w:val="en-US" w:eastAsia="zh-CN" w:bidi="ar"/>
        </w:rPr>
        <w:t>）</w:t>
      </w:r>
    </w:p>
    <w:p w14:paraId="3AC2EF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二、询比申请人应具备的资格条件</w:t>
      </w:r>
    </w:p>
    <w:p w14:paraId="4CEAB6AD">
      <w:pPr>
        <w:pStyle w:val="16"/>
        <w:keepNext w:val="0"/>
        <w:keepLines w:val="0"/>
        <w:pageBreakBefore w:val="0"/>
        <w:kinsoku/>
        <w:wordWrap/>
        <w:overflowPunct/>
        <w:topLinePunct w:val="0"/>
        <w:autoSpaceDN/>
        <w:bidi w:val="0"/>
        <w:spacing w:line="560" w:lineRule="exact"/>
        <w:ind w:firstLine="640" w:firstLineChars="200"/>
        <w:textAlignment w:val="auto"/>
        <w:rPr>
          <w:rFonts w:hint="eastAsia" w:ascii="仿宋_GB2312" w:hAnsi="Times New Roman" w:eastAsia="仿宋_GB2312" w:cs="方正仿宋_GB2312"/>
          <w:color w:val="000000"/>
          <w:kern w:val="32"/>
          <w:sz w:val="32"/>
          <w:szCs w:val="32"/>
          <w:highlight w:val="none"/>
          <w:lang w:val="en-US" w:eastAsia="zh-CN" w:bidi="ar-SA"/>
        </w:rPr>
      </w:pPr>
      <w:r>
        <w:rPr>
          <w:rFonts w:hint="eastAsia" w:ascii="仿宋_GB2312" w:hAnsi="Times New Roman" w:eastAsia="仿宋_GB2312" w:cs="仿宋_GB2312"/>
          <w:color w:val="auto"/>
          <w:kern w:val="0"/>
          <w:sz w:val="32"/>
          <w:szCs w:val="32"/>
          <w:highlight w:val="none"/>
          <w:lang w:val="en-US" w:eastAsia="zh-CN" w:bidi="ar"/>
        </w:rPr>
        <w:t>（一）</w:t>
      </w:r>
      <w:r>
        <w:rPr>
          <w:rFonts w:hint="eastAsia" w:ascii="仿宋_GB2312" w:hAnsi="Calibri" w:eastAsia="仿宋_GB2312" w:cs="仿宋_GB2312"/>
          <w:color w:val="auto"/>
          <w:kern w:val="0"/>
          <w:sz w:val="32"/>
          <w:szCs w:val="32"/>
          <w:highlight w:val="none"/>
          <w:lang w:val="en-US" w:eastAsia="zh-CN" w:bidi="ar"/>
        </w:rPr>
        <w:t>社会消防技术服务信息系统</w:t>
      </w:r>
      <w:r>
        <w:rPr>
          <w:rFonts w:hint="eastAsia" w:ascii="仿宋_GB2312" w:eastAsia="仿宋_GB2312" w:cs="仿宋_GB2312"/>
          <w:color w:val="auto"/>
          <w:kern w:val="0"/>
          <w:sz w:val="32"/>
          <w:szCs w:val="32"/>
          <w:highlight w:val="none"/>
          <w:lang w:val="en-US" w:eastAsia="zh-CN" w:bidi="ar"/>
        </w:rPr>
        <w:t>、四川省消防服务机构管理平台登记录入机构，具备</w:t>
      </w:r>
      <w:r>
        <w:rPr>
          <w:rFonts w:hint="eastAsia" w:ascii="仿宋_GB2312" w:hAnsi="Calibri" w:eastAsia="仿宋_GB2312" w:cs="仿宋_GB2312"/>
          <w:color w:val="auto"/>
          <w:kern w:val="0"/>
          <w:sz w:val="32"/>
          <w:szCs w:val="32"/>
          <w:highlight w:val="none"/>
          <w:lang w:val="en-US" w:eastAsia="zh-CN" w:bidi="ar"/>
        </w:rPr>
        <w:t>消防设施维护</w:t>
      </w:r>
      <w:r>
        <w:rPr>
          <w:rFonts w:hint="eastAsia" w:ascii="仿宋_GB2312" w:eastAsia="仿宋_GB2312" w:cs="仿宋_GB2312"/>
          <w:color w:val="auto"/>
          <w:kern w:val="0"/>
          <w:sz w:val="32"/>
          <w:szCs w:val="32"/>
          <w:highlight w:val="none"/>
          <w:lang w:val="en-US" w:eastAsia="zh-CN" w:bidi="ar"/>
        </w:rPr>
        <w:t>保养</w:t>
      </w:r>
      <w:r>
        <w:rPr>
          <w:rFonts w:hint="eastAsia" w:ascii="仿宋_GB2312" w:hAnsi="Calibri" w:eastAsia="仿宋_GB2312" w:cs="仿宋_GB2312"/>
          <w:color w:val="auto"/>
          <w:kern w:val="0"/>
          <w:sz w:val="32"/>
          <w:szCs w:val="32"/>
          <w:highlight w:val="none"/>
          <w:lang w:val="en-US" w:eastAsia="zh-CN" w:bidi="ar"/>
        </w:rPr>
        <w:t>检测</w:t>
      </w:r>
      <w:r>
        <w:rPr>
          <w:rFonts w:hint="eastAsia" w:ascii="仿宋_GB2312" w:eastAsia="仿宋_GB2312" w:cs="仿宋_GB2312"/>
          <w:color w:val="auto"/>
          <w:kern w:val="0"/>
          <w:sz w:val="32"/>
          <w:szCs w:val="32"/>
          <w:highlight w:val="none"/>
          <w:lang w:val="en-US" w:eastAsia="zh-CN" w:bidi="ar"/>
        </w:rPr>
        <w:t>的从业条件。</w:t>
      </w:r>
    </w:p>
    <w:p w14:paraId="0B6BEB94">
      <w:pPr>
        <w:pStyle w:val="16"/>
        <w:keepNext w:val="0"/>
        <w:keepLines w:val="0"/>
        <w:pageBreakBefore w:val="0"/>
        <w:numPr>
          <w:ilvl w:val="0"/>
          <w:numId w:val="0"/>
        </w:numPr>
        <w:kinsoku/>
        <w:wordWrap/>
        <w:overflowPunct/>
        <w:topLinePunct w:val="0"/>
        <w:autoSpaceDN/>
        <w:bidi w:val="0"/>
        <w:spacing w:line="560" w:lineRule="exact"/>
        <w:ind w:firstLine="640" w:firstLineChars="200"/>
        <w:textAlignment w:val="auto"/>
        <w:rPr>
          <w:rFonts w:hint="eastAsia" w:ascii="仿宋_GB2312" w:eastAsia="仿宋_GB2312"/>
          <w:color w:val="000000"/>
          <w:sz w:val="32"/>
          <w:highlight w:val="none"/>
          <w:lang w:eastAsia="zh-CN"/>
        </w:rPr>
      </w:pP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s="方正仿宋_GB2312"/>
          <w:color w:val="000000"/>
          <w:kern w:val="32"/>
          <w:sz w:val="32"/>
          <w:szCs w:val="32"/>
          <w:highlight w:val="none"/>
          <w:lang w:val="en-US" w:eastAsia="zh-CN" w:bidi="ar-SA"/>
        </w:rPr>
        <w:t>二</w:t>
      </w: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olor w:val="000000"/>
          <w:sz w:val="32"/>
          <w:highlight w:val="none"/>
        </w:rPr>
        <w:t>具有独立承担民事责任的能力</w:t>
      </w:r>
      <w:r>
        <w:rPr>
          <w:rFonts w:hint="eastAsia" w:ascii="仿宋_GB2312" w:eastAsia="仿宋_GB2312"/>
          <w:color w:val="000000"/>
          <w:sz w:val="32"/>
          <w:highlight w:val="none"/>
          <w:lang w:eastAsia="zh-CN"/>
        </w:rPr>
        <w:t>。</w:t>
      </w:r>
    </w:p>
    <w:p w14:paraId="6F425FFF">
      <w:pPr>
        <w:pStyle w:val="16"/>
        <w:keepNext w:val="0"/>
        <w:keepLines w:val="0"/>
        <w:pageBreakBefore w:val="0"/>
        <w:numPr>
          <w:ilvl w:val="0"/>
          <w:numId w:val="0"/>
        </w:numPr>
        <w:kinsoku/>
        <w:wordWrap/>
        <w:overflowPunct/>
        <w:topLinePunct w:val="0"/>
        <w:autoSpaceDN/>
        <w:bidi w:val="0"/>
        <w:spacing w:line="560" w:lineRule="exact"/>
        <w:ind w:left="0" w:leftChars="0" w:firstLine="640" w:firstLineChars="200"/>
        <w:textAlignment w:val="auto"/>
        <w:rPr>
          <w:rFonts w:hint="eastAsia" w:ascii="仿宋_GB2312" w:eastAsia="仿宋_GB2312"/>
          <w:color w:val="000000"/>
          <w:sz w:val="32"/>
          <w:highlight w:val="none"/>
          <w:lang w:eastAsia="zh-CN"/>
        </w:rPr>
      </w:pP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s="方正仿宋_GB2312"/>
          <w:color w:val="000000"/>
          <w:kern w:val="32"/>
          <w:sz w:val="32"/>
          <w:szCs w:val="32"/>
          <w:highlight w:val="none"/>
          <w:lang w:val="en-US" w:eastAsia="zh-CN" w:bidi="ar-SA"/>
        </w:rPr>
        <w:t>三</w:t>
      </w: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olor w:val="000000"/>
          <w:sz w:val="32"/>
          <w:highlight w:val="none"/>
        </w:rPr>
        <w:t>具有良好的商业信誉和健全的财务会计制度</w:t>
      </w:r>
      <w:r>
        <w:rPr>
          <w:rFonts w:hint="eastAsia" w:ascii="仿宋_GB2312" w:eastAsia="仿宋_GB2312"/>
          <w:color w:val="000000"/>
          <w:sz w:val="32"/>
          <w:highlight w:val="none"/>
          <w:lang w:eastAsia="zh-CN"/>
        </w:rPr>
        <w:t>。</w:t>
      </w:r>
    </w:p>
    <w:p w14:paraId="2FAE0B3F">
      <w:pPr>
        <w:pStyle w:val="16"/>
        <w:keepNext w:val="0"/>
        <w:keepLines w:val="0"/>
        <w:pageBreakBefore w:val="0"/>
        <w:numPr>
          <w:ilvl w:val="0"/>
          <w:numId w:val="0"/>
        </w:numPr>
        <w:kinsoku/>
        <w:wordWrap/>
        <w:overflowPunct/>
        <w:topLinePunct w:val="0"/>
        <w:autoSpaceDN/>
        <w:bidi w:val="0"/>
        <w:spacing w:line="560" w:lineRule="exact"/>
        <w:ind w:left="0" w:leftChars="0" w:firstLine="640" w:firstLineChars="200"/>
        <w:textAlignment w:val="auto"/>
        <w:rPr>
          <w:rFonts w:hint="eastAsia" w:ascii="仿宋_GB2312" w:eastAsia="仿宋_GB2312"/>
          <w:color w:val="000000"/>
          <w:sz w:val="32"/>
          <w:highlight w:val="none"/>
          <w:lang w:eastAsia="zh-CN"/>
        </w:rPr>
      </w:pP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s="方正仿宋_GB2312"/>
          <w:color w:val="000000"/>
          <w:kern w:val="32"/>
          <w:sz w:val="32"/>
          <w:szCs w:val="32"/>
          <w:highlight w:val="none"/>
          <w:lang w:val="en-US" w:eastAsia="zh-CN" w:bidi="ar-SA"/>
        </w:rPr>
        <w:t>四</w:t>
      </w: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olor w:val="000000"/>
          <w:sz w:val="32"/>
          <w:highlight w:val="none"/>
        </w:rPr>
        <w:t>具有履行合同所</w:t>
      </w:r>
      <w:r>
        <w:rPr>
          <w:rFonts w:hint="eastAsia" w:ascii="仿宋_GB2312" w:eastAsia="仿宋_GB2312"/>
          <w:color w:val="000000"/>
          <w:sz w:val="32"/>
          <w:highlight w:val="none"/>
          <w:lang w:eastAsia="zh-CN"/>
        </w:rPr>
        <w:t>必需</w:t>
      </w:r>
      <w:r>
        <w:rPr>
          <w:rFonts w:hint="eastAsia" w:ascii="仿宋_GB2312" w:eastAsia="仿宋_GB2312"/>
          <w:color w:val="000000"/>
          <w:sz w:val="32"/>
          <w:highlight w:val="none"/>
        </w:rPr>
        <w:t>的设备和专业技术能力</w:t>
      </w:r>
      <w:r>
        <w:rPr>
          <w:rFonts w:hint="eastAsia" w:ascii="仿宋_GB2312" w:eastAsia="仿宋_GB2312"/>
          <w:color w:val="000000"/>
          <w:sz w:val="32"/>
          <w:highlight w:val="none"/>
          <w:lang w:eastAsia="zh-CN"/>
        </w:rPr>
        <w:t>。</w:t>
      </w:r>
    </w:p>
    <w:p w14:paraId="04598E48">
      <w:pPr>
        <w:pStyle w:val="16"/>
        <w:keepNext w:val="0"/>
        <w:keepLines w:val="0"/>
        <w:pageBreakBefore w:val="0"/>
        <w:numPr>
          <w:ilvl w:val="0"/>
          <w:numId w:val="0"/>
        </w:numPr>
        <w:kinsoku/>
        <w:wordWrap/>
        <w:overflowPunct/>
        <w:topLinePunct w:val="0"/>
        <w:autoSpaceDN/>
        <w:bidi w:val="0"/>
        <w:spacing w:line="560" w:lineRule="exact"/>
        <w:ind w:left="0" w:leftChars="0" w:firstLine="640" w:firstLineChars="200"/>
        <w:textAlignment w:val="auto"/>
        <w:rPr>
          <w:rFonts w:hint="eastAsia" w:ascii="仿宋_GB2312" w:eastAsia="仿宋_GB2312"/>
          <w:color w:val="000000"/>
          <w:sz w:val="32"/>
          <w:highlight w:val="none"/>
          <w:lang w:eastAsia="zh-CN"/>
        </w:rPr>
      </w:pP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s="方正仿宋_GB2312"/>
          <w:color w:val="000000"/>
          <w:kern w:val="32"/>
          <w:sz w:val="32"/>
          <w:szCs w:val="32"/>
          <w:highlight w:val="none"/>
          <w:lang w:val="en-US" w:eastAsia="zh-CN" w:bidi="ar-SA"/>
        </w:rPr>
        <w:t>五</w:t>
      </w: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olor w:val="000000"/>
          <w:sz w:val="32"/>
          <w:highlight w:val="none"/>
        </w:rPr>
        <w:t>具有依法缴纳税收和社会保障资金的良好记录</w:t>
      </w:r>
      <w:r>
        <w:rPr>
          <w:rFonts w:hint="eastAsia" w:ascii="仿宋_GB2312" w:eastAsia="仿宋_GB2312"/>
          <w:color w:val="000000"/>
          <w:sz w:val="32"/>
          <w:highlight w:val="none"/>
          <w:lang w:eastAsia="zh-CN"/>
        </w:rPr>
        <w:t>。</w:t>
      </w:r>
    </w:p>
    <w:p w14:paraId="3B0635A0">
      <w:pPr>
        <w:keepNext w:val="0"/>
        <w:keepLines w:val="0"/>
        <w:pageBreakBefore w:val="0"/>
        <w:numPr>
          <w:ilvl w:val="0"/>
          <w:numId w:val="0"/>
        </w:numPr>
        <w:kinsoku/>
        <w:wordWrap/>
        <w:overflowPunct/>
        <w:topLinePunct w:val="0"/>
        <w:autoSpaceDN/>
        <w:bidi w:val="0"/>
        <w:spacing w:line="560" w:lineRule="exact"/>
        <w:ind w:left="0" w:firstLine="640" w:firstLineChars="200"/>
        <w:textAlignment w:val="auto"/>
        <w:rPr>
          <w:rFonts w:hint="eastAsia" w:ascii="仿宋_GB2312" w:eastAsia="仿宋_GB2312"/>
          <w:color w:val="000000"/>
          <w:sz w:val="32"/>
          <w:highlight w:val="none"/>
          <w:lang w:eastAsia="zh-CN"/>
        </w:rPr>
      </w:pPr>
      <w:r>
        <w:rPr>
          <w:rFonts w:hint="eastAsia" w:ascii="仿宋_GB2312" w:eastAsia="仿宋_GB2312"/>
          <w:color w:val="000000"/>
          <w:sz w:val="32"/>
          <w:szCs w:val="22"/>
          <w:highlight w:val="none"/>
          <w:lang w:val="en-US" w:eastAsia="zh-CN" w:bidi="ar-SA"/>
        </w:rPr>
        <w:t>（六）</w:t>
      </w:r>
      <w:r>
        <w:rPr>
          <w:rFonts w:hint="eastAsia" w:ascii="仿宋_GB2312" w:eastAsia="仿宋_GB2312"/>
          <w:color w:val="000000"/>
          <w:sz w:val="32"/>
          <w:highlight w:val="none"/>
        </w:rPr>
        <w:t>参加本次采购活动前三年内，在经营活动中没有重大违法记录</w:t>
      </w:r>
      <w:r>
        <w:rPr>
          <w:rFonts w:ascii="仿宋_GB2312" w:hAnsi="Calibri" w:eastAsia="仿宋_GB2312" w:cs="仿宋_GB2312"/>
          <w:sz w:val="32"/>
          <w:szCs w:val="32"/>
          <w:highlight w:val="none"/>
          <w:lang w:bidi="ar"/>
        </w:rPr>
        <w:t>,无市场禁入。重大违法记录，是指</w:t>
      </w:r>
      <w:r>
        <w:rPr>
          <w:rFonts w:hint="eastAsia" w:ascii="仿宋_GB2312" w:eastAsia="仿宋_GB2312" w:cs="仿宋_GB2312"/>
          <w:sz w:val="32"/>
          <w:szCs w:val="32"/>
          <w:highlight w:val="none"/>
          <w:lang w:val="en-US" w:eastAsia="zh-CN" w:bidi="ar"/>
        </w:rPr>
        <w:t>询比申请</w:t>
      </w:r>
      <w:r>
        <w:rPr>
          <w:rFonts w:ascii="仿宋_GB2312" w:hAnsi="Calibri" w:eastAsia="仿宋_GB2312" w:cs="仿宋_GB2312"/>
          <w:sz w:val="32"/>
          <w:szCs w:val="32"/>
          <w:highlight w:val="none"/>
          <w:lang w:bidi="ar"/>
        </w:rPr>
        <w:t>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s="仿宋_GB2312"/>
          <w:sz w:val="32"/>
          <w:szCs w:val="32"/>
          <w:highlight w:val="none"/>
          <w:lang w:eastAsia="zh-CN" w:bidi="ar"/>
        </w:rPr>
        <w:t>。</w:t>
      </w:r>
    </w:p>
    <w:p w14:paraId="70A7E1CF">
      <w:pPr>
        <w:pStyle w:val="16"/>
        <w:keepNext w:val="0"/>
        <w:keepLines w:val="0"/>
        <w:pageBreakBefore w:val="0"/>
        <w:numPr>
          <w:ilvl w:val="0"/>
          <w:numId w:val="0"/>
        </w:numPr>
        <w:kinsoku/>
        <w:wordWrap/>
        <w:overflowPunct/>
        <w:topLinePunct w:val="0"/>
        <w:autoSpaceDN/>
        <w:bidi w:val="0"/>
        <w:spacing w:line="560" w:lineRule="exact"/>
        <w:ind w:left="0" w:leftChars="0" w:firstLine="640" w:firstLineChars="200"/>
        <w:textAlignment w:val="auto"/>
        <w:rPr>
          <w:rFonts w:hint="eastAsia" w:ascii="仿宋_GB2312" w:eastAsia="仿宋_GB2312"/>
          <w:color w:val="000000"/>
          <w:sz w:val="32"/>
          <w:highlight w:val="none"/>
          <w:lang w:eastAsia="zh-CN"/>
        </w:rPr>
      </w:pP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s="方正仿宋_GB2312"/>
          <w:color w:val="000000"/>
          <w:kern w:val="32"/>
          <w:sz w:val="32"/>
          <w:szCs w:val="32"/>
          <w:highlight w:val="none"/>
          <w:lang w:val="en-US" w:eastAsia="zh-CN" w:bidi="ar-SA"/>
        </w:rPr>
        <w:t>七</w:t>
      </w:r>
      <w:r>
        <w:rPr>
          <w:rFonts w:hint="eastAsia" w:ascii="仿宋_GB2312" w:hAnsi="Times New Roman" w:eastAsia="仿宋_GB2312" w:cs="方正仿宋_GB2312"/>
          <w:color w:val="000000"/>
          <w:kern w:val="32"/>
          <w:sz w:val="32"/>
          <w:szCs w:val="32"/>
          <w:highlight w:val="none"/>
          <w:lang w:val="en-US" w:eastAsia="zh-CN" w:bidi="ar-SA"/>
        </w:rPr>
        <w:t>）</w:t>
      </w:r>
      <w:r>
        <w:rPr>
          <w:rFonts w:hint="eastAsia" w:ascii="仿宋_GB2312" w:eastAsia="仿宋_GB2312"/>
          <w:color w:val="000000"/>
          <w:sz w:val="32"/>
          <w:highlight w:val="none"/>
        </w:rPr>
        <w:t>参加</w:t>
      </w:r>
      <w:r>
        <w:rPr>
          <w:rFonts w:hint="eastAsia" w:ascii="仿宋_GB2312" w:eastAsia="仿宋_GB2312"/>
          <w:color w:val="000000"/>
          <w:sz w:val="32"/>
          <w:highlight w:val="none"/>
          <w:lang w:val="en-US" w:eastAsia="zh-CN"/>
        </w:rPr>
        <w:t>本项目的询比</w:t>
      </w:r>
      <w:r>
        <w:rPr>
          <w:rFonts w:hint="eastAsia" w:ascii="仿宋_GB2312" w:eastAsia="仿宋_GB2312" w:cs="仿宋_GB2312"/>
          <w:sz w:val="32"/>
          <w:szCs w:val="32"/>
          <w:highlight w:val="none"/>
          <w:lang w:val="en-US" w:eastAsia="zh-CN" w:bidi="ar"/>
        </w:rPr>
        <w:t>申请</w:t>
      </w:r>
      <w:r>
        <w:rPr>
          <w:rFonts w:ascii="仿宋_GB2312" w:hAnsi="Calibri" w:eastAsia="仿宋_GB2312" w:cs="仿宋_GB2312"/>
          <w:sz w:val="32"/>
          <w:szCs w:val="32"/>
          <w:highlight w:val="none"/>
          <w:lang w:bidi="ar"/>
        </w:rPr>
        <w:t>人</w:t>
      </w:r>
      <w:r>
        <w:rPr>
          <w:rFonts w:hint="eastAsia" w:ascii="仿宋_GB2312" w:eastAsia="仿宋_GB2312"/>
          <w:color w:val="000000"/>
          <w:sz w:val="32"/>
          <w:highlight w:val="none"/>
        </w:rPr>
        <w:t>、法定代表人(非法人负责人)在前3年内不得有犯罪记录</w:t>
      </w:r>
      <w:r>
        <w:rPr>
          <w:rFonts w:hint="eastAsia" w:ascii="仿宋_GB2312" w:eastAsia="仿宋_GB2312"/>
          <w:color w:val="000000"/>
          <w:sz w:val="32"/>
          <w:highlight w:val="none"/>
          <w:lang w:eastAsia="zh-CN"/>
        </w:rPr>
        <w:t>。</w:t>
      </w:r>
    </w:p>
    <w:p w14:paraId="318CEE0A">
      <w:pPr>
        <w:keepNext w:val="0"/>
        <w:keepLines w:val="0"/>
        <w:pageBreakBefore w:val="0"/>
        <w:numPr>
          <w:ilvl w:val="0"/>
          <w:numId w:val="0"/>
        </w:numPr>
        <w:kinsoku/>
        <w:wordWrap/>
        <w:overflowPunct/>
        <w:topLinePunct w:val="0"/>
        <w:autoSpaceDN/>
        <w:bidi w:val="0"/>
        <w:spacing w:line="560" w:lineRule="exact"/>
        <w:ind w:left="0" w:firstLine="640" w:firstLineChars="200"/>
        <w:textAlignment w:val="auto"/>
        <w:rPr>
          <w:rFonts w:hint="eastAsia" w:ascii="仿宋_GB2312" w:eastAsia="仿宋_GB2312"/>
          <w:color w:val="000000"/>
          <w:sz w:val="32"/>
          <w:highlight w:val="none"/>
          <w:lang w:eastAsia="zh-CN"/>
        </w:rPr>
      </w:pPr>
      <w:r>
        <w:rPr>
          <w:rFonts w:hint="eastAsia" w:ascii="仿宋_GB2312" w:eastAsia="仿宋_GB2312"/>
          <w:color w:val="000000"/>
          <w:sz w:val="32"/>
          <w:szCs w:val="22"/>
          <w:highlight w:val="none"/>
          <w:lang w:val="en-US" w:eastAsia="zh-CN" w:bidi="ar-SA"/>
        </w:rPr>
        <w:t>（八）</w:t>
      </w:r>
      <w:r>
        <w:rPr>
          <w:rFonts w:ascii="仿宋_GB2312" w:hAnsi="Calibri" w:eastAsia="仿宋_GB2312" w:cs="仿宋_GB2312"/>
          <w:sz w:val="32"/>
          <w:szCs w:val="32"/>
          <w:highlight w:val="none"/>
          <w:lang w:bidi="ar"/>
        </w:rPr>
        <w:t>没有处于投标禁入期内</w:t>
      </w:r>
      <w:r>
        <w:rPr>
          <w:rFonts w:hint="eastAsia" w:ascii="仿宋_GB2312" w:eastAsia="仿宋_GB2312" w:cs="仿宋_GB2312"/>
          <w:sz w:val="32"/>
          <w:szCs w:val="32"/>
          <w:highlight w:val="none"/>
          <w:lang w:eastAsia="zh-CN" w:bidi="ar"/>
        </w:rPr>
        <w:t>。</w:t>
      </w:r>
    </w:p>
    <w:p w14:paraId="6A8F6BAB">
      <w:pPr>
        <w:keepNext w:val="0"/>
        <w:keepLines w:val="0"/>
        <w:pageBreakBefore w:val="0"/>
        <w:numPr>
          <w:ilvl w:val="0"/>
          <w:numId w:val="0"/>
        </w:numPr>
        <w:kinsoku/>
        <w:wordWrap/>
        <w:overflowPunct/>
        <w:topLinePunct w:val="0"/>
        <w:autoSpaceDN/>
        <w:bidi w:val="0"/>
        <w:spacing w:line="560" w:lineRule="exact"/>
        <w:ind w:left="0" w:firstLine="640" w:firstLineChars="200"/>
        <w:textAlignment w:val="auto"/>
        <w:rPr>
          <w:rFonts w:hint="eastAsia" w:ascii="仿宋_GB2312" w:hAnsi="仿宋_GB2312" w:eastAsia="仿宋_GB2312" w:cs="仿宋_GB2312"/>
          <w:color w:val="000000"/>
          <w:sz w:val="32"/>
          <w:szCs w:val="32"/>
          <w:highlight w:val="none"/>
          <w:lang w:bidi="ar"/>
        </w:rPr>
      </w:pPr>
      <w:r>
        <w:rPr>
          <w:rFonts w:hint="eastAsia" w:ascii="仿宋_GB2312" w:hAnsi="仿宋_GB2312" w:eastAsia="仿宋_GB2312" w:cs="仿宋_GB2312"/>
          <w:color w:val="000000"/>
          <w:sz w:val="32"/>
          <w:szCs w:val="32"/>
          <w:highlight w:val="none"/>
          <w:lang w:val="en-US" w:eastAsia="zh-CN" w:bidi="ar"/>
        </w:rPr>
        <w:t>（九）</w:t>
      </w:r>
      <w:r>
        <w:rPr>
          <w:rFonts w:ascii="仿宋_GB2312" w:hAnsi="Calibri" w:eastAsia="仿宋_GB2312" w:cs="仿宋_GB2312"/>
          <w:sz w:val="32"/>
          <w:szCs w:val="32"/>
          <w:highlight w:val="none"/>
          <w:lang w:bidi="ar"/>
        </w:rPr>
        <w:t>单位负责人为同一人或者存在控股（含法定代表人控股）、管理关系的不同单位，不得同时参加本次</w:t>
      </w:r>
      <w:r>
        <w:rPr>
          <w:rFonts w:hint="eastAsia" w:ascii="仿宋_GB2312" w:hAnsi="Calibri" w:eastAsia="仿宋_GB2312" w:cs="仿宋_GB2312"/>
          <w:sz w:val="32"/>
          <w:szCs w:val="32"/>
          <w:highlight w:val="none"/>
          <w:lang w:val="en-US" w:eastAsia="zh-CN" w:bidi="ar"/>
        </w:rPr>
        <w:t>询比</w:t>
      </w:r>
      <w:r>
        <w:rPr>
          <w:rFonts w:hint="eastAsia" w:ascii="仿宋_GB2312" w:eastAsia="仿宋_GB2312"/>
          <w:color w:val="000000"/>
          <w:sz w:val="32"/>
          <w:highlight w:val="none"/>
        </w:rPr>
        <w:t>。</w:t>
      </w:r>
    </w:p>
    <w:p w14:paraId="6A3D8BA5">
      <w:pPr>
        <w:pageBreakBefore w:val="0"/>
        <w:numPr>
          <w:ilvl w:val="0"/>
          <w:numId w:val="0"/>
        </w:numPr>
        <w:kinsoku/>
        <w:wordWrap/>
        <w:overflowPunct/>
        <w:topLinePunct w:val="0"/>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sz w:val="32"/>
          <w:szCs w:val="32"/>
          <w:highlight w:val="none"/>
          <w:lang w:val="en-US" w:eastAsia="zh-CN" w:bidi="ar-SA"/>
        </w:rPr>
        <w:t>（十）</w:t>
      </w:r>
      <w:r>
        <w:rPr>
          <w:rFonts w:hint="eastAsia" w:ascii="仿宋_GB2312" w:hAnsi="仿宋_GB2312" w:eastAsia="仿宋_GB2312" w:cs="仿宋_GB2312"/>
          <w:sz w:val="32"/>
          <w:szCs w:val="32"/>
          <w:highlight w:val="none"/>
        </w:rPr>
        <w:t>不得被“信用中国”网站（www.creditchina. gov.cn</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、“中国政府采购网”网站（www.ccgp.gov.cn）等列入失信被执行人、重大税收违法案件当事人名单、政府采购严重违法失信行为记录名单。</w:t>
      </w:r>
      <w:r>
        <w:rPr>
          <w:rFonts w:hint="eastAsia" w:ascii="仿宋_GB2312" w:hAnsi="仿宋_GB2312" w:eastAsia="仿宋_GB2312" w:cs="仿宋_GB2312"/>
          <w:bCs w:val="0"/>
          <w:color w:val="000000"/>
          <w:sz w:val="32"/>
          <w:szCs w:val="32"/>
          <w:highlight w:val="none"/>
          <w:lang w:eastAsia="zh-CN"/>
        </w:rPr>
        <w:t>信用信息</w:t>
      </w:r>
      <w:r>
        <w:rPr>
          <w:rFonts w:hint="eastAsia" w:ascii="仿宋_GB2312" w:hAnsi="仿宋_GB2312" w:eastAsia="仿宋_GB2312" w:cs="仿宋_GB2312"/>
          <w:bCs w:val="0"/>
          <w:color w:val="000000"/>
          <w:sz w:val="32"/>
          <w:szCs w:val="32"/>
          <w:highlight w:val="none"/>
          <w:lang w:val="en-US" w:eastAsia="zh-CN"/>
        </w:rPr>
        <w:t>有效</w:t>
      </w:r>
      <w:r>
        <w:rPr>
          <w:rFonts w:hint="eastAsia" w:ascii="仿宋_GB2312" w:hAnsi="仿宋_GB2312" w:eastAsia="仿宋_GB2312" w:cs="仿宋_GB2312"/>
          <w:bCs w:val="0"/>
          <w:color w:val="000000"/>
          <w:sz w:val="32"/>
          <w:szCs w:val="32"/>
          <w:highlight w:val="none"/>
          <w:lang w:eastAsia="zh-CN"/>
        </w:rPr>
        <w:t>时</w:t>
      </w:r>
      <w:r>
        <w:rPr>
          <w:rFonts w:hint="eastAsia" w:ascii="仿宋_GB2312" w:hAnsi="仿宋_GB2312" w:eastAsia="仿宋_GB2312" w:cs="仿宋_GB2312"/>
          <w:bCs w:val="0"/>
          <w:color w:val="000000"/>
          <w:sz w:val="32"/>
          <w:szCs w:val="32"/>
          <w:highlight w:val="none"/>
          <w:lang w:val="en-US" w:eastAsia="zh-CN"/>
        </w:rPr>
        <w:t>间</w:t>
      </w:r>
      <w:r>
        <w:rPr>
          <w:rFonts w:hint="eastAsia" w:ascii="仿宋_GB2312" w:hAnsi="仿宋_GB2312" w:eastAsia="仿宋_GB2312" w:cs="仿宋_GB2312"/>
          <w:bCs w:val="0"/>
          <w:color w:val="000000"/>
          <w:sz w:val="32"/>
          <w:szCs w:val="32"/>
          <w:highlight w:val="none"/>
          <w:lang w:eastAsia="zh-CN"/>
        </w:rPr>
        <w:t>点为</w:t>
      </w:r>
      <w:r>
        <w:rPr>
          <w:rFonts w:hint="eastAsia" w:ascii="仿宋_GB2312" w:hAnsi="仿宋_GB2312" w:eastAsia="仿宋_GB2312" w:cs="仿宋_GB2312"/>
          <w:bCs w:val="0"/>
          <w:color w:val="000000"/>
          <w:sz w:val="32"/>
          <w:szCs w:val="32"/>
          <w:highlight w:val="none"/>
          <w:lang w:val="en-US" w:eastAsia="zh-CN"/>
        </w:rPr>
        <w:t>截止递交询比响应文件前三天</w:t>
      </w:r>
      <w:r>
        <w:rPr>
          <w:rFonts w:hint="eastAsia" w:ascii="仿宋_GB2312" w:hAnsi="仿宋_GB2312" w:eastAsia="仿宋_GB2312" w:cs="仿宋_GB2312"/>
          <w:color w:val="000000"/>
          <w:sz w:val="32"/>
          <w:szCs w:val="32"/>
          <w:highlight w:val="none"/>
          <w:lang w:val="en-US" w:eastAsia="zh-CN"/>
        </w:rPr>
        <w:t>。</w:t>
      </w:r>
    </w:p>
    <w:p w14:paraId="36CABF9D">
      <w:pPr>
        <w:pStyle w:val="19"/>
        <w:pageBreakBefore w:val="0"/>
        <w:numPr>
          <w:ilvl w:val="0"/>
          <w:numId w:val="0"/>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（十一）本项目不接受联合体参加。</w:t>
      </w:r>
    </w:p>
    <w:p w14:paraId="3F1D4A87">
      <w:pPr>
        <w:pStyle w:val="19"/>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（十二）本次询比特定资格要求：无。</w:t>
      </w:r>
    </w:p>
    <w:p w14:paraId="559AD6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三、</w:t>
      </w:r>
      <w:r>
        <w:rPr>
          <w:rFonts w:hint="eastAsia" w:ascii="黑体" w:hAnsi="黑体" w:eastAsia="黑体" w:cs="黑体"/>
          <w:b w:val="0"/>
          <w:bCs w:val="0"/>
          <w:kern w:val="2"/>
          <w:sz w:val="32"/>
          <w:szCs w:val="32"/>
          <w:lang w:val="en-US" w:eastAsia="zh-CN" w:bidi="ar-SA"/>
        </w:rPr>
        <w:t>询比文件获取</w:t>
      </w:r>
    </w:p>
    <w:p w14:paraId="66E92F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color w:val="auto"/>
          <w:spacing w:val="-11"/>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w:t>
      </w:r>
      <w:r>
        <w:rPr>
          <w:rFonts w:hint="eastAsia" w:ascii="仿宋_GB2312" w:hAnsi="仿宋_GB2312" w:eastAsia="仿宋_GB2312" w:cs="仿宋_GB2312"/>
          <w:color w:val="auto"/>
          <w:spacing w:val="-11"/>
          <w:sz w:val="32"/>
          <w:szCs w:val="32"/>
          <w:highlight w:val="none"/>
          <w:lang w:val="en-US" w:eastAsia="zh-CN"/>
        </w:rPr>
        <w:t>获取时间：自</w:t>
      </w:r>
      <w:r>
        <w:rPr>
          <w:rFonts w:hint="eastAsia" w:ascii="仿宋_GB2312" w:hAnsi="仿宋_GB2312" w:eastAsia="仿宋_GB2312" w:cs="仿宋_GB2312"/>
          <w:color w:val="auto"/>
          <w:spacing w:val="-11"/>
          <w:sz w:val="32"/>
          <w:szCs w:val="32"/>
          <w:highlight w:val="none"/>
          <w:lang w:val="en-US" w:eastAsia="zh"/>
        </w:rPr>
        <w:t>2025</w:t>
      </w:r>
      <w:r>
        <w:rPr>
          <w:rFonts w:hint="eastAsia" w:ascii="仿宋_GB2312" w:hAnsi="仿宋_GB2312" w:eastAsia="仿宋_GB2312" w:cs="仿宋_GB2312"/>
          <w:color w:val="auto"/>
          <w:spacing w:val="-11"/>
          <w:sz w:val="32"/>
          <w:szCs w:val="32"/>
          <w:highlight w:val="none"/>
          <w:lang w:val="en-US" w:eastAsia="zh-CN"/>
        </w:rPr>
        <w:t xml:space="preserve">年04月18日至 </w:t>
      </w:r>
      <w:r>
        <w:rPr>
          <w:rFonts w:hint="eastAsia" w:ascii="仿宋_GB2312" w:hAnsi="仿宋_GB2312" w:eastAsia="仿宋_GB2312" w:cs="仿宋_GB2312"/>
          <w:color w:val="auto"/>
          <w:spacing w:val="-11"/>
          <w:sz w:val="32"/>
          <w:szCs w:val="32"/>
          <w:highlight w:val="none"/>
          <w:lang w:val="en-US" w:eastAsia="zh"/>
        </w:rPr>
        <w:t>2025</w:t>
      </w:r>
      <w:r>
        <w:rPr>
          <w:rFonts w:hint="eastAsia" w:ascii="仿宋_GB2312" w:hAnsi="仿宋_GB2312" w:eastAsia="仿宋_GB2312" w:cs="仿宋_GB2312"/>
          <w:color w:val="auto"/>
          <w:spacing w:val="-11"/>
          <w:sz w:val="32"/>
          <w:szCs w:val="32"/>
          <w:highlight w:val="none"/>
          <w:lang w:val="en-US" w:eastAsia="zh-CN"/>
        </w:rPr>
        <w:t>年04月20日</w:t>
      </w:r>
    </w:p>
    <w:p w14:paraId="6461EF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default"/>
          <w:color w:val="auto"/>
          <w:highlight w:val="none"/>
          <w:lang w:val="en-US" w:eastAsia="zh-CN"/>
        </w:rPr>
      </w:pPr>
      <w:r>
        <w:rPr>
          <w:rFonts w:hint="eastAsia" w:ascii="仿宋_GB2312" w:hAnsi="仿宋_GB2312" w:eastAsia="仿宋_GB2312" w:cs="仿宋_GB2312"/>
          <w:color w:val="auto"/>
          <w:sz w:val="32"/>
          <w:szCs w:val="32"/>
          <w:highlight w:val="none"/>
          <w:lang w:val="en-US" w:eastAsia="zh-CN"/>
        </w:rPr>
        <w:t>（二）获取方式：询比文件以邮件方式发送，询比申请人报名需提供：</w:t>
      </w:r>
    </w:p>
    <w:p w14:paraId="3DE1CF57">
      <w:pPr>
        <w:keepNext w:val="0"/>
        <w:keepLines w:val="0"/>
        <w:pageBreakBefore w:val="0"/>
        <w:widowControl w:val="0"/>
        <w:numPr>
          <w:ilvl w:val="0"/>
          <w:numId w:val="0"/>
        </w:numPr>
        <w:suppressLineNumbers w:val="0"/>
        <w:tabs>
          <w:tab w:val="left" w:pos="312"/>
        </w:tabs>
        <w:kinsoku/>
        <w:wordWrap/>
        <w:overflowPunct/>
        <w:topLinePunct w:val="0"/>
        <w:autoSpaceDE/>
        <w:autoSpaceDN/>
        <w:bidi w:val="0"/>
        <w:spacing w:beforeAutospacing="0" w:after="0" w:afterAutospacing="0" w:line="560" w:lineRule="exact"/>
        <w:ind w:left="0" w:leftChars="0" w:right="0" w:firstLine="640" w:firstLineChars="200"/>
        <w:jc w:val="both"/>
        <w:textAlignment w:val="auto"/>
        <w:rPr>
          <w:rFonts w:hint="eastAsia" w:ascii="仿宋_GB2312" w:eastAsia="仿宋_GB2312" w:cs="仿宋_GB2312"/>
          <w:color w:val="auto"/>
          <w:kern w:val="0"/>
          <w:sz w:val="32"/>
          <w:szCs w:val="32"/>
          <w:highlight w:val="none"/>
          <w:shd w:val="clear" w:color="auto" w:fill="FFFFFF"/>
          <w:lang w:val="en-US" w:eastAsia="zh-CN" w:bidi="ar"/>
        </w:rPr>
      </w:pPr>
      <w:r>
        <w:rPr>
          <w:rFonts w:hint="eastAsia" w:ascii="仿宋_GB2312" w:eastAsia="仿宋_GB2312" w:cs="仿宋_GB2312"/>
          <w:color w:val="auto"/>
          <w:kern w:val="0"/>
          <w:sz w:val="32"/>
          <w:szCs w:val="32"/>
          <w:highlight w:val="none"/>
          <w:shd w:val="clear" w:color="auto" w:fill="FFFFFF"/>
          <w:lang w:val="en-US" w:eastAsia="zh-CN" w:bidi="ar"/>
        </w:rPr>
        <w:t>1. 有效的营业执照复印件；</w:t>
      </w:r>
    </w:p>
    <w:p w14:paraId="75E11D2C">
      <w:pPr>
        <w:keepNext w:val="0"/>
        <w:keepLines w:val="0"/>
        <w:pageBreakBefore w:val="0"/>
        <w:widowControl w:val="0"/>
        <w:numPr>
          <w:ilvl w:val="0"/>
          <w:numId w:val="0"/>
        </w:numPr>
        <w:suppressLineNumbers w:val="0"/>
        <w:tabs>
          <w:tab w:val="left" w:pos="312"/>
        </w:tabs>
        <w:kinsoku/>
        <w:wordWrap/>
        <w:overflowPunct/>
        <w:topLinePunct w:val="0"/>
        <w:autoSpaceDE/>
        <w:autoSpaceDN/>
        <w:bidi w:val="0"/>
        <w:spacing w:beforeAutospacing="0" w:after="0" w:afterAutospacing="0" w:line="560" w:lineRule="exact"/>
        <w:ind w:left="0" w:leftChars="0" w:right="0" w:firstLine="640" w:firstLineChars="200"/>
        <w:jc w:val="both"/>
        <w:textAlignment w:val="auto"/>
        <w:rPr>
          <w:rFonts w:hint="eastAsia" w:ascii="仿宋_GB2312" w:eastAsia="仿宋_GB2312" w:cs="仿宋_GB2312"/>
          <w:color w:val="auto"/>
          <w:kern w:val="0"/>
          <w:sz w:val="32"/>
          <w:szCs w:val="32"/>
          <w:highlight w:val="none"/>
          <w:shd w:val="clear" w:color="auto" w:fill="FFFFFF"/>
          <w:lang w:val="en-US" w:eastAsia="zh" w:bidi="ar"/>
        </w:rPr>
      </w:pPr>
      <w:r>
        <w:rPr>
          <w:rFonts w:hint="eastAsia" w:ascii="仿宋_GB2312" w:eastAsia="仿宋_GB2312" w:cs="仿宋_GB2312"/>
          <w:color w:val="auto"/>
          <w:kern w:val="0"/>
          <w:sz w:val="32"/>
          <w:szCs w:val="32"/>
          <w:highlight w:val="none"/>
          <w:shd w:val="clear" w:color="auto" w:fill="FFFFFF"/>
          <w:lang w:val="en-US" w:eastAsia="zh-CN" w:bidi="ar"/>
        </w:rPr>
        <w:t>2. 法定代表人身份证明书、法定代表人身份证</w:t>
      </w:r>
      <w:r>
        <w:rPr>
          <w:rFonts w:hint="eastAsia" w:ascii="仿宋_GB2312" w:eastAsia="仿宋_GB2312" w:cs="仿宋_GB2312"/>
          <w:color w:val="auto"/>
          <w:kern w:val="0"/>
          <w:sz w:val="32"/>
          <w:szCs w:val="32"/>
          <w:highlight w:val="none"/>
          <w:shd w:val="clear" w:color="auto" w:fill="FFFFFF"/>
          <w:lang w:val="en-US" w:eastAsia="zh" w:bidi="ar"/>
        </w:rPr>
        <w:t>或法</w:t>
      </w:r>
      <w:r>
        <w:rPr>
          <w:rFonts w:hint="eastAsia" w:ascii="仿宋_GB2312" w:eastAsia="仿宋_GB2312" w:cs="仿宋_GB2312"/>
          <w:color w:val="auto"/>
          <w:kern w:val="0"/>
          <w:sz w:val="32"/>
          <w:szCs w:val="32"/>
          <w:highlight w:val="none"/>
          <w:shd w:val="clear" w:color="auto" w:fill="FFFFFF"/>
          <w:lang w:val="en-US" w:eastAsia="zh-CN" w:bidi="ar"/>
        </w:rPr>
        <w:t>定代表人</w:t>
      </w:r>
      <w:r>
        <w:rPr>
          <w:rFonts w:hint="eastAsia" w:ascii="仿宋_GB2312" w:eastAsia="仿宋_GB2312" w:cs="仿宋_GB2312"/>
          <w:color w:val="auto"/>
          <w:kern w:val="0"/>
          <w:sz w:val="32"/>
          <w:szCs w:val="32"/>
          <w:highlight w:val="none"/>
          <w:shd w:val="clear" w:color="auto" w:fill="FFFFFF"/>
          <w:lang w:val="en-US" w:eastAsia="zh" w:bidi="ar"/>
        </w:rPr>
        <w:t>授权委托书</w:t>
      </w:r>
      <w:r>
        <w:rPr>
          <w:rFonts w:hint="eastAsia" w:ascii="仿宋_GB2312" w:eastAsia="仿宋_GB2312" w:cs="仿宋_GB2312"/>
          <w:color w:val="auto"/>
          <w:kern w:val="0"/>
          <w:sz w:val="32"/>
          <w:szCs w:val="32"/>
          <w:highlight w:val="none"/>
          <w:shd w:val="clear" w:color="auto" w:fill="FFFFFF"/>
          <w:lang w:val="en-US" w:eastAsia="zh-CN" w:bidi="ar"/>
        </w:rPr>
        <w:t>、法定代表人身份证及授权委托人身份证；</w:t>
      </w:r>
    </w:p>
    <w:p w14:paraId="4D6351B4">
      <w:pPr>
        <w:keepNext w:val="0"/>
        <w:keepLines w:val="0"/>
        <w:pageBreakBefore w:val="0"/>
        <w:widowControl w:val="0"/>
        <w:numPr>
          <w:ilvl w:val="0"/>
          <w:numId w:val="0"/>
        </w:numPr>
        <w:suppressLineNumbers w:val="0"/>
        <w:tabs>
          <w:tab w:val="left" w:pos="312"/>
        </w:tabs>
        <w:kinsoku/>
        <w:wordWrap/>
        <w:overflowPunct/>
        <w:topLinePunct w:val="0"/>
        <w:autoSpaceDE/>
        <w:autoSpaceDN/>
        <w:bidi w:val="0"/>
        <w:spacing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eastAsia="仿宋_GB2312" w:cs="仿宋_GB2312"/>
          <w:color w:val="auto"/>
          <w:kern w:val="0"/>
          <w:sz w:val="32"/>
          <w:szCs w:val="32"/>
          <w:highlight w:val="none"/>
          <w:shd w:val="clear" w:color="auto" w:fill="FFFFFF"/>
          <w:lang w:val="en-US" w:eastAsia="zh-CN" w:bidi="ar"/>
        </w:rPr>
        <w:t>3. 询比申请人采购申请书（格式见附件）</w:t>
      </w:r>
      <w:r>
        <w:rPr>
          <w:rFonts w:hint="eastAsia" w:ascii="仿宋_GB2312" w:hAnsi="仿宋_GB2312" w:eastAsia="仿宋_GB2312" w:cs="仿宋_GB2312"/>
          <w:color w:val="auto"/>
          <w:sz w:val="32"/>
          <w:szCs w:val="32"/>
          <w:highlight w:val="none"/>
          <w:lang w:val="en-US" w:eastAsia="zh-CN"/>
        </w:rPr>
        <w:t>。</w:t>
      </w:r>
    </w:p>
    <w:p w14:paraId="68F65148">
      <w:pPr>
        <w:keepNext w:val="0"/>
        <w:keepLines w:val="0"/>
        <w:pageBreakBefore w:val="0"/>
        <w:widowControl/>
        <w:suppressLineNumbers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询比申请人须将上述报名材料盖章扫描后的PDF版本，发送至询比人邮箱hezhirou@jezetek.cc进行报名。审核通过后报名成功，询比文件通过报名邮箱发送至询比申请人。</w:t>
      </w:r>
    </w:p>
    <w:p w14:paraId="15E63A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四、</w:t>
      </w:r>
      <w:r>
        <w:rPr>
          <w:rFonts w:hint="eastAsia" w:ascii="黑体" w:hAnsi="黑体" w:eastAsia="黑体" w:cs="黑体"/>
          <w:b w:val="0"/>
          <w:bCs w:val="0"/>
          <w:kern w:val="2"/>
          <w:sz w:val="32"/>
          <w:szCs w:val="32"/>
          <w:lang w:val="en-US" w:eastAsia="zh-CN" w:bidi="ar-SA"/>
        </w:rPr>
        <w:t>响应文件递交</w:t>
      </w:r>
    </w:p>
    <w:p w14:paraId="386902CC">
      <w:pPr>
        <w:pStyle w:val="9"/>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60" w:lineRule="exact"/>
        <w:ind w:left="0" w:leftChars="0" w:right="0" w:firstLine="640" w:firstLineChars="200"/>
        <w:jc w:val="both"/>
        <w:textAlignment w:val="auto"/>
        <w:outlineLvl w:val="2"/>
        <w:rPr>
          <w:rFonts w:hint="eastAsia" w:ascii="仿宋_GB2312" w:eastAsia="仿宋_GB2312" w:cs="仿宋_GB2312"/>
          <w:color w:val="auto"/>
          <w:kern w:val="0"/>
          <w:sz w:val="32"/>
          <w:szCs w:val="32"/>
          <w:highlight w:val="none"/>
          <w:lang w:val="en-US" w:eastAsia="zh-CN" w:bidi="ar"/>
        </w:rPr>
      </w:pPr>
      <w:r>
        <w:rPr>
          <w:rFonts w:hint="eastAsia" w:ascii="仿宋_GB2312" w:eastAsia="仿宋_GB2312" w:cs="仿宋_GB2312"/>
          <w:color w:val="auto"/>
          <w:kern w:val="0"/>
          <w:sz w:val="32"/>
          <w:szCs w:val="32"/>
          <w:highlight w:val="none"/>
          <w:lang w:val="en-US" w:eastAsia="zh-CN" w:bidi="ar"/>
        </w:rPr>
        <w:t>（一）递交截止时间：2025年04月2</w:t>
      </w:r>
      <w:r>
        <w:rPr>
          <w:rFonts w:hint="eastAsia" w:ascii="仿宋_GB2312" w:eastAsia="仿宋_GB2312" w:cs="仿宋_GB2312"/>
          <w:color w:val="auto"/>
          <w:kern w:val="0"/>
          <w:sz w:val="32"/>
          <w:szCs w:val="32"/>
          <w:highlight w:val="none"/>
          <w:lang w:val="en-US" w:eastAsia="zh" w:bidi="ar"/>
        </w:rPr>
        <w:t>3</w:t>
      </w:r>
      <w:r>
        <w:rPr>
          <w:rFonts w:hint="eastAsia" w:ascii="仿宋_GB2312" w:eastAsia="仿宋_GB2312" w:cs="仿宋_GB2312"/>
          <w:color w:val="auto"/>
          <w:kern w:val="0"/>
          <w:sz w:val="32"/>
          <w:szCs w:val="32"/>
          <w:highlight w:val="none"/>
          <w:lang w:val="en-US" w:eastAsia="zh-CN" w:bidi="ar"/>
        </w:rPr>
        <w:t>日09:30（北京时间）</w:t>
      </w:r>
    </w:p>
    <w:p w14:paraId="3A76BCA5">
      <w:pPr>
        <w:pStyle w:val="9"/>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60" w:lineRule="exact"/>
        <w:ind w:left="0" w:leftChars="0" w:right="0" w:firstLine="640" w:firstLineChars="200"/>
        <w:jc w:val="both"/>
        <w:textAlignment w:val="auto"/>
        <w:outlineLvl w:val="2"/>
        <w:rPr>
          <w:rFonts w:hint="eastAsia" w:ascii="仿宋_GB2312" w:hAnsi="仿宋_GB2312" w:eastAsia="仿宋_GB2312" w:cs="仿宋_GB2312"/>
          <w:color w:val="auto"/>
          <w:sz w:val="32"/>
          <w:szCs w:val="32"/>
          <w:highlight w:val="none"/>
        </w:rPr>
      </w:pPr>
      <w:r>
        <w:rPr>
          <w:rFonts w:hint="eastAsia" w:ascii="仿宋_GB2312" w:eastAsia="仿宋_GB2312" w:cs="仿宋_GB2312"/>
          <w:color w:val="auto"/>
          <w:kern w:val="0"/>
          <w:sz w:val="32"/>
          <w:szCs w:val="32"/>
          <w:highlight w:val="none"/>
          <w:lang w:val="en-US" w:eastAsia="zh-CN" w:bidi="ar"/>
        </w:rPr>
        <w:t>（二）递交方式：</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递交</w:t>
      </w:r>
    </w:p>
    <w:p w14:paraId="39CD5B5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color w:val="auto"/>
          <w:sz w:val="32"/>
          <w:highlight w:val="none"/>
          <w:lang w:val="en-US" w:eastAsia="zh-CN"/>
        </w:rPr>
      </w:pPr>
      <w:r>
        <w:rPr>
          <w:rFonts w:hint="eastAsia" w:ascii="仿宋_GB2312" w:eastAsia="仿宋_GB2312" w:cs="仿宋_GB2312"/>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 w:bidi="ar"/>
        </w:rPr>
        <w:t>三</w:t>
      </w:r>
      <w:r>
        <w:rPr>
          <w:rFonts w:hint="eastAsia" w:ascii="仿宋_GB2312" w:eastAsia="仿宋_GB2312" w:cs="仿宋_GB2312"/>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lang w:val="en-US" w:eastAsia="zh-CN"/>
        </w:rPr>
        <w:t>递交</w:t>
      </w:r>
      <w:r>
        <w:rPr>
          <w:rFonts w:hint="eastAsia" w:ascii="仿宋_GB2312" w:hAnsi="仿宋_GB2312" w:eastAsia="仿宋_GB2312" w:cs="仿宋_GB2312"/>
          <w:color w:val="auto"/>
          <w:sz w:val="32"/>
          <w:szCs w:val="32"/>
          <w:highlight w:val="none"/>
        </w:rPr>
        <w:t>地点</w:t>
      </w:r>
      <w:r>
        <w:rPr>
          <w:rFonts w:hint="eastAsia" w:ascii="仿宋_GB2312" w:hAnsi="仿宋_GB2312" w:eastAsia="仿宋_GB2312" w:cs="仿宋_GB2312"/>
          <w:color w:val="auto"/>
          <w:sz w:val="32"/>
          <w:szCs w:val="32"/>
          <w:highlight w:val="none"/>
          <w:lang w:eastAsia="zh-CN"/>
        </w:rPr>
        <w:t>：</w:t>
      </w:r>
      <w:r>
        <w:rPr>
          <w:rFonts w:hint="eastAsia" w:ascii="仿宋_GB2312" w:eastAsia="仿宋_GB2312"/>
          <w:color w:val="auto"/>
          <w:sz w:val="32"/>
          <w:highlight w:val="none"/>
        </w:rPr>
        <w:t>四川省绵阳市</w:t>
      </w:r>
      <w:r>
        <w:rPr>
          <w:rFonts w:hint="eastAsia" w:ascii="仿宋_GB2312" w:eastAsia="仿宋_GB2312"/>
          <w:color w:val="auto"/>
          <w:sz w:val="32"/>
          <w:highlight w:val="none"/>
          <w:lang w:val="en-US" w:eastAsia="zh-CN"/>
        </w:rPr>
        <w:t>九洲科技工业园</w:t>
      </w:r>
    </w:p>
    <w:p w14:paraId="28F67B3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color w:val="auto"/>
          <w:highlight w:val="none"/>
          <w:lang w:val="en-US" w:eastAsia="zh-CN"/>
        </w:rPr>
      </w:pPr>
      <w:r>
        <w:rPr>
          <w:rFonts w:hint="eastAsia" w:ascii="仿宋_GB2312" w:eastAsia="仿宋_GB2312"/>
          <w:color w:val="auto"/>
          <w:sz w:val="32"/>
          <w:highlight w:val="none"/>
          <w:lang w:val="en-US" w:eastAsia="zh-CN"/>
        </w:rPr>
        <w:t>响应</w:t>
      </w:r>
      <w:r>
        <w:rPr>
          <w:rFonts w:hint="eastAsia" w:ascii="仿宋_GB2312" w:eastAsia="仿宋_GB2312"/>
          <w:color w:val="auto"/>
          <w:sz w:val="32"/>
          <w:highlight w:val="none"/>
        </w:rPr>
        <w:t>文件必须在递交截止时间前送达递交地点，逾期送达或未送达指定地点的视为自动弃权。</w:t>
      </w:r>
    </w:p>
    <w:p w14:paraId="3F535B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黑体" w:hAnsi="黑体" w:eastAsia="黑体" w:cs="黑体"/>
          <w:b w:val="0"/>
          <w:bCs w:val="0"/>
          <w:kern w:val="2"/>
          <w:sz w:val="32"/>
          <w:szCs w:val="32"/>
          <w:lang w:val="en-US" w:eastAsia="zh-CN" w:bidi="ar-SA"/>
        </w:rPr>
      </w:pPr>
    </w:p>
    <w:p w14:paraId="36EEF65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五、</w:t>
      </w:r>
      <w:r>
        <w:rPr>
          <w:rFonts w:hint="eastAsia" w:ascii="黑体" w:hAnsi="黑体" w:eastAsia="黑体" w:cs="黑体"/>
          <w:b w:val="0"/>
          <w:bCs w:val="0"/>
          <w:kern w:val="2"/>
          <w:sz w:val="32"/>
          <w:szCs w:val="32"/>
          <w:lang w:val="en-US" w:eastAsia="zh-CN" w:bidi="ar-SA"/>
        </w:rPr>
        <w:t>询比时间</w:t>
      </w:r>
    </w:p>
    <w:p w14:paraId="42EFF2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eastAsia="仿宋_GB2312" w:cs="仿宋_GB2312"/>
          <w:color w:val="auto"/>
          <w:kern w:val="0"/>
          <w:sz w:val="32"/>
          <w:szCs w:val="32"/>
          <w:highlight w:val="none"/>
          <w:lang w:val="en-US" w:eastAsia="zh-CN" w:bidi="ar"/>
        </w:rPr>
        <w:t>2025年04月2</w:t>
      </w:r>
      <w:r>
        <w:rPr>
          <w:rFonts w:hint="eastAsia" w:ascii="仿宋_GB2312" w:eastAsia="仿宋_GB2312" w:cs="仿宋_GB2312"/>
          <w:color w:val="auto"/>
          <w:kern w:val="0"/>
          <w:sz w:val="32"/>
          <w:szCs w:val="32"/>
          <w:highlight w:val="none"/>
          <w:lang w:val="en-US" w:eastAsia="zh" w:bidi="ar"/>
        </w:rPr>
        <w:t>3</w:t>
      </w:r>
      <w:r>
        <w:rPr>
          <w:rFonts w:hint="eastAsia" w:ascii="仿宋_GB2312" w:eastAsia="仿宋_GB2312" w:cs="仿宋_GB2312"/>
          <w:color w:val="auto"/>
          <w:kern w:val="0"/>
          <w:sz w:val="32"/>
          <w:szCs w:val="32"/>
          <w:highlight w:val="none"/>
          <w:lang w:val="en-US" w:eastAsia="zh-CN" w:bidi="ar"/>
        </w:rPr>
        <w:t>日09:30</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北京时间</w:t>
      </w:r>
      <w:r>
        <w:rPr>
          <w:rFonts w:hint="eastAsia" w:ascii="仿宋_GB2312" w:hAnsi="仿宋_GB2312" w:eastAsia="仿宋_GB2312" w:cs="仿宋_GB2312"/>
          <w:color w:val="auto"/>
          <w:sz w:val="32"/>
          <w:szCs w:val="32"/>
          <w:highlight w:val="none"/>
          <w:lang w:eastAsia="zh-CN"/>
        </w:rPr>
        <w:t>）</w:t>
      </w:r>
    </w:p>
    <w:p w14:paraId="39D11C5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六、</w:t>
      </w:r>
      <w:r>
        <w:rPr>
          <w:rFonts w:hint="eastAsia" w:ascii="黑体" w:hAnsi="黑体" w:eastAsia="黑体" w:cs="黑体"/>
          <w:b w:val="0"/>
          <w:bCs w:val="0"/>
          <w:kern w:val="2"/>
          <w:sz w:val="32"/>
          <w:szCs w:val="32"/>
          <w:lang w:val="en-US" w:eastAsia="zh-CN" w:bidi="ar-SA"/>
        </w:rPr>
        <w:t>发布公告媒介</w:t>
      </w:r>
    </w:p>
    <w:p w14:paraId="2BF918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本次询比公告仅在四川九洲投资控股集团有限公司官网（www.jezetek.cc）发布。对于因其他网站转载并发布的非完整版或修改版公告，而导致误报名或无效报名的情形，</w:t>
      </w:r>
      <w:r>
        <w:rPr>
          <w:rFonts w:hint="eastAsia" w:ascii="仿宋_GB2312" w:hAnsi="仿宋_GB2312" w:eastAsia="仿宋_GB2312" w:cs="仿宋_GB2312"/>
          <w:color w:val="auto"/>
          <w:sz w:val="32"/>
          <w:szCs w:val="32"/>
          <w:highlight w:val="none"/>
          <w:lang w:eastAsia="zh-CN"/>
        </w:rPr>
        <w:t>询比人</w:t>
      </w:r>
      <w:r>
        <w:rPr>
          <w:rFonts w:hint="eastAsia" w:ascii="仿宋_GB2312" w:hAnsi="仿宋_GB2312" w:eastAsia="仿宋_GB2312" w:cs="仿宋_GB2312"/>
          <w:color w:val="auto"/>
          <w:sz w:val="32"/>
          <w:szCs w:val="32"/>
          <w:highlight w:val="none"/>
          <w:lang w:val="en-US" w:eastAsia="zh-CN"/>
        </w:rPr>
        <w:t>不予承担责任。</w:t>
      </w:r>
    </w:p>
    <w:p w14:paraId="4DC862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七、</w:t>
      </w:r>
      <w:r>
        <w:rPr>
          <w:rFonts w:hint="eastAsia" w:ascii="黑体" w:hAnsi="黑体" w:eastAsia="黑体" w:cs="黑体"/>
          <w:b w:val="0"/>
          <w:bCs w:val="0"/>
          <w:kern w:val="2"/>
          <w:sz w:val="32"/>
          <w:szCs w:val="32"/>
          <w:lang w:val="en-US" w:eastAsia="zh-CN" w:bidi="ar-SA"/>
        </w:rPr>
        <w:t>公告期限</w:t>
      </w:r>
    </w:p>
    <w:p w14:paraId="542EFD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 xml:space="preserve"> 2025年04月18日至2025年04月20日</w:t>
      </w:r>
    </w:p>
    <w:p w14:paraId="6DF1B8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八、</w:t>
      </w:r>
      <w:r>
        <w:rPr>
          <w:rFonts w:hint="eastAsia" w:ascii="黑体" w:hAnsi="黑体" w:eastAsia="黑体" w:cs="黑体"/>
          <w:b w:val="0"/>
          <w:bCs w:val="0"/>
          <w:kern w:val="2"/>
          <w:sz w:val="32"/>
          <w:szCs w:val="32"/>
          <w:lang w:val="en-US" w:eastAsia="zh-CN" w:bidi="ar-SA"/>
        </w:rPr>
        <w:t>联系方式</w:t>
      </w:r>
    </w:p>
    <w:p w14:paraId="2388AB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询比人：</w:t>
      </w:r>
      <w:r>
        <w:rPr>
          <w:rFonts w:hint="default" w:ascii="仿宋_GB2312" w:hAnsi="仿宋_GB2312" w:eastAsia="仿宋_GB2312" w:cs="仿宋_GB2312"/>
          <w:color w:val="auto"/>
          <w:sz w:val="32"/>
          <w:szCs w:val="32"/>
          <w:highlight w:val="none"/>
          <w:lang w:val="en-US" w:eastAsia="zh-CN"/>
        </w:rPr>
        <w:t>四川九洲投资控股集团有限公司</w:t>
      </w:r>
    </w:p>
    <w:p w14:paraId="4B52B7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联系人：何女士</w:t>
      </w:r>
    </w:p>
    <w:p w14:paraId="3F2722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eastAsia="zh-CN"/>
        </w:rPr>
        <w:t>联系电话：</w:t>
      </w:r>
      <w:r>
        <w:rPr>
          <w:rFonts w:hint="eastAsia" w:ascii="仿宋_GB2312" w:hAnsi="仿宋_GB2312" w:eastAsia="仿宋_GB2312" w:cs="仿宋_GB2312"/>
          <w:color w:val="auto"/>
          <w:sz w:val="32"/>
          <w:szCs w:val="32"/>
          <w:highlight w:val="none"/>
          <w:lang w:val="en-US" w:eastAsia="zh-CN"/>
        </w:rPr>
        <w:t>19881676773</w:t>
      </w:r>
    </w:p>
    <w:p w14:paraId="05804D9C">
      <w:pPr>
        <w:keepNext w:val="0"/>
        <w:keepLines w:val="0"/>
        <w:pageBreakBefore w:val="0"/>
        <w:widowControl/>
        <w:suppressLineNumbers w:val="0"/>
        <w:kinsoku/>
        <w:wordWrap/>
        <w:overflowPunct/>
        <w:topLinePunct w:val="0"/>
        <w:autoSpaceDE/>
        <w:autoSpaceDN/>
        <w:bidi w:val="0"/>
        <w:spacing w:line="560" w:lineRule="exact"/>
        <w:ind w:firstLine="640" w:firstLineChars="200"/>
        <w:jc w:val="left"/>
        <w:textAlignment w:val="auto"/>
        <w:rPr>
          <w:color w:val="auto"/>
          <w:highlight w:val="none"/>
        </w:rPr>
      </w:pPr>
      <w:r>
        <w:rPr>
          <w:rFonts w:hint="eastAsia" w:ascii="仿宋_GB2312" w:eastAsia="仿宋_GB2312"/>
          <w:color w:val="auto"/>
          <w:sz w:val="32"/>
          <w:highlight w:val="none"/>
        </w:rPr>
        <w:t>联系邮箱：</w:t>
      </w:r>
      <w:r>
        <w:rPr>
          <w:rFonts w:hint="eastAsia" w:ascii="仿宋_GB2312" w:hAnsi="仿宋_GB2312" w:eastAsia="仿宋_GB2312" w:cs="仿宋_GB2312"/>
          <w:color w:val="auto"/>
          <w:sz w:val="32"/>
          <w:szCs w:val="32"/>
          <w:highlight w:val="none"/>
          <w:lang w:val="en-US" w:eastAsia="zh-CN"/>
        </w:rPr>
        <w:t>hezhirou@jezetek.cc</w:t>
      </w:r>
    </w:p>
    <w:p w14:paraId="49B21339">
      <w:pPr>
        <w:keepNext w:val="0"/>
        <w:keepLines w:val="0"/>
        <w:pageBreakBefore w:val="0"/>
        <w:widowControl w:val="0"/>
        <w:kinsoku/>
        <w:wordWrap/>
        <w:overflowPunct/>
        <w:topLinePunct w:val="0"/>
        <w:autoSpaceDE/>
        <w:autoSpaceDN/>
        <w:bidi w:val="0"/>
        <w:adjustRightInd/>
        <w:snapToGrid/>
        <w:spacing w:line="560" w:lineRule="exact"/>
        <w:ind w:left="0" w:firstLine="420" w:firstLineChars="200"/>
        <w:textAlignment w:val="auto"/>
        <w:rPr>
          <w:rFonts w:hint="default"/>
          <w:lang w:val="en-US" w:eastAsia="zh-CN"/>
        </w:rPr>
      </w:pPr>
    </w:p>
    <w:p w14:paraId="1937C7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附件：询比申请书</w:t>
      </w:r>
    </w:p>
    <w:p w14:paraId="71928331">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eastAsia"/>
        </w:rPr>
      </w:pPr>
    </w:p>
    <w:p w14:paraId="7C000E03">
      <w:pPr>
        <w:keepNext w:val="0"/>
        <w:keepLines w:val="0"/>
        <w:pageBreakBefore w:val="0"/>
        <w:kinsoku/>
        <w:wordWrap w:val="0"/>
        <w:overflowPunct/>
        <w:topLinePunct w:val="0"/>
        <w:autoSpaceDE/>
        <w:autoSpaceDN/>
        <w:bidi w:val="0"/>
        <w:spacing w:line="560" w:lineRule="exact"/>
        <w:ind w:firstLine="640" w:firstLineChars="200"/>
        <w:jc w:val="right"/>
        <w:textAlignment w:val="auto"/>
        <w:rPr>
          <w:rFonts w:hint="default" w:ascii="仿宋_GB2312" w:hAnsi="Calibri" w:eastAsia="仿宋_GB2312" w:cs="仿宋_GB2312"/>
          <w:b w:val="0"/>
          <w:bCs w:val="0"/>
          <w:color w:val="auto"/>
          <w:kern w:val="0"/>
          <w:sz w:val="32"/>
          <w:szCs w:val="32"/>
          <w:highlight w:val="none"/>
          <w:shd w:val="clear" w:color="auto" w:fill="FFFFFF"/>
          <w:vertAlign w:val="baseline"/>
          <w:lang w:val="en-US" w:eastAsia="zh-CN" w:bidi="ar"/>
        </w:rPr>
      </w:pPr>
      <w:r>
        <w:rPr>
          <w:rFonts w:hint="default" w:ascii="仿宋_GB2312" w:hAnsi="Calibri" w:eastAsia="仿宋_GB2312" w:cs="仿宋_GB2312"/>
          <w:b w:val="0"/>
          <w:bCs w:val="0"/>
          <w:color w:val="auto"/>
          <w:kern w:val="0"/>
          <w:sz w:val="32"/>
          <w:szCs w:val="32"/>
          <w:highlight w:val="none"/>
          <w:shd w:val="clear" w:color="auto" w:fill="FFFFFF"/>
          <w:vertAlign w:val="baseline"/>
          <w:lang w:val="en-US" w:eastAsia="zh-CN" w:bidi="ar"/>
        </w:rPr>
        <w:t>四川九洲投资控股集团有限公司</w:t>
      </w:r>
      <w:r>
        <w:rPr>
          <w:rFonts w:hint="eastAsia" w:ascii="仿宋_GB2312" w:hAnsi="Calibri" w:eastAsia="仿宋_GB2312" w:cs="仿宋_GB2312"/>
          <w:b w:val="0"/>
          <w:bCs w:val="0"/>
          <w:color w:val="auto"/>
          <w:kern w:val="0"/>
          <w:sz w:val="32"/>
          <w:szCs w:val="32"/>
          <w:highlight w:val="none"/>
          <w:shd w:val="clear" w:color="auto" w:fill="FFFFFF"/>
          <w:vertAlign w:val="baseline"/>
          <w:lang w:val="en-US" w:eastAsia="zh-CN" w:bidi="ar"/>
        </w:rPr>
        <w:t xml:space="preserve">  </w:t>
      </w:r>
    </w:p>
    <w:p w14:paraId="39908510">
      <w:pPr>
        <w:keepNext w:val="0"/>
        <w:keepLines w:val="0"/>
        <w:pageBreakBefore w:val="0"/>
        <w:kinsoku/>
        <w:wordWrap w:val="0"/>
        <w:overflowPunct/>
        <w:topLinePunct w:val="0"/>
        <w:autoSpaceDE/>
        <w:autoSpaceDN/>
        <w:bidi w:val="0"/>
        <w:spacing w:line="560" w:lineRule="exact"/>
        <w:ind w:firstLine="640" w:firstLineChars="200"/>
        <w:jc w:val="right"/>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20</w:t>
      </w:r>
      <w:r>
        <w:rPr>
          <w:rFonts w:hint="eastAsia" w:ascii="仿宋_GB2312" w:hAnsi="仿宋_GB2312" w:eastAsia="仿宋_GB2312" w:cs="仿宋_GB2312"/>
          <w:sz w:val="32"/>
          <w:szCs w:val="32"/>
          <w:highlight w:val="none"/>
          <w:lang w:val="en-US" w:eastAsia="zh-CN"/>
        </w:rPr>
        <w:t>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 xml:space="preserve">         </w:t>
      </w:r>
    </w:p>
    <w:p w14:paraId="5DF4EBC7">
      <w:pPr>
        <w:rPr>
          <w:rFonts w:hint="eastAsia" w:ascii="仿宋_GB2312" w:hAnsi="仿宋_GB2312" w:eastAsia="仿宋_GB2312" w:cs="仿宋_GB2312"/>
          <w:sz w:val="32"/>
          <w:szCs w:val="32"/>
          <w:highlight w:val="yellow"/>
        </w:rPr>
      </w:pPr>
      <w:bookmarkStart w:id="0" w:name="_GoBack"/>
      <w:bookmarkEnd w:id="0"/>
    </w:p>
    <w:p w14:paraId="6F6E21A8">
      <w:pPr>
        <w:rPr>
          <w:rFonts w:hint="eastAsia" w:ascii="仿宋_GB2312" w:hAnsi="仿宋_GB2312" w:eastAsia="仿宋_GB2312" w:cs="仿宋_GB2312"/>
          <w:sz w:val="32"/>
          <w:szCs w:val="32"/>
          <w:highlight w:val="yellow"/>
        </w:rPr>
      </w:pPr>
    </w:p>
    <w:p w14:paraId="058AAF23">
      <w:pPr>
        <w:rPr>
          <w:rFonts w:hint="eastAsia" w:ascii="仿宋_GB2312" w:hAnsi="仿宋_GB2312" w:eastAsia="仿宋_GB2312" w:cs="仿宋_GB2312"/>
          <w:sz w:val="32"/>
          <w:szCs w:val="32"/>
          <w:highlight w:val="yellow"/>
        </w:rPr>
      </w:pPr>
    </w:p>
    <w:p w14:paraId="20804144">
      <w:pPr>
        <w:adjustRightInd w:val="0"/>
        <w:snapToGrid w:val="0"/>
        <w:jc w:val="left"/>
        <w:outlineLvl w:val="9"/>
        <w:rPr>
          <w:rFonts w:hint="eastAsia" w:ascii="黑体" w:hAnsi="黑体" w:eastAsia="黑体" w:cs="黑体"/>
          <w:bCs/>
          <w:kern w:val="36"/>
          <w:sz w:val="32"/>
          <w:szCs w:val="32"/>
          <w:lang w:val="en-US" w:eastAsia="zh-CN"/>
        </w:rPr>
      </w:pPr>
      <w:r>
        <w:rPr>
          <w:rFonts w:hint="eastAsia" w:ascii="黑体" w:hAnsi="黑体" w:eastAsia="黑体" w:cs="黑体"/>
          <w:bCs/>
          <w:kern w:val="36"/>
          <w:sz w:val="32"/>
          <w:szCs w:val="32"/>
          <w:lang w:val="en-US" w:eastAsia="zh-CN"/>
        </w:rPr>
        <w:t>附件</w:t>
      </w:r>
    </w:p>
    <w:p w14:paraId="511C5B87">
      <w:pPr>
        <w:adjustRightInd w:val="0"/>
        <w:snapToGrid w:val="0"/>
        <w:jc w:val="center"/>
        <w:outlineLvl w:val="9"/>
        <w:rPr>
          <w:rFonts w:hint="eastAsia" w:ascii="仿宋_GB2312" w:hAnsi="仿宋_GB2312" w:eastAsia="仿宋_GB2312" w:cs="仿宋_GB2312"/>
          <w:bCs/>
          <w:kern w:val="36"/>
          <w:sz w:val="32"/>
          <w:szCs w:val="32"/>
        </w:rPr>
      </w:pPr>
      <w:r>
        <w:rPr>
          <w:rFonts w:hint="eastAsia" w:ascii="仿宋_GB2312" w:hAnsi="仿宋_GB2312" w:eastAsia="仿宋_GB2312" w:cs="仿宋_GB2312"/>
          <w:bCs/>
          <w:kern w:val="36"/>
          <w:sz w:val="32"/>
          <w:szCs w:val="32"/>
          <w:lang w:val="en-US" w:eastAsia="zh-CN"/>
        </w:rPr>
        <w:t>询比</w:t>
      </w:r>
      <w:r>
        <w:rPr>
          <w:rFonts w:hint="eastAsia" w:ascii="仿宋_GB2312" w:hAnsi="仿宋_GB2312" w:eastAsia="仿宋_GB2312" w:cs="仿宋_GB2312"/>
          <w:bCs/>
          <w:kern w:val="36"/>
          <w:sz w:val="32"/>
          <w:szCs w:val="32"/>
        </w:rPr>
        <w:t xml:space="preserve">申请书 </w:t>
      </w:r>
    </w:p>
    <w:p w14:paraId="545502FB">
      <w:pPr>
        <w:pStyle w:val="8"/>
        <w:ind w:left="840" w:hanging="840"/>
        <w:rPr>
          <w:rFonts w:hint="eastAsia"/>
        </w:rPr>
      </w:pPr>
    </w:p>
    <w:p w14:paraId="260F3893">
      <w:pPr>
        <w:adjustRightInd w:val="0"/>
        <w:snapToGrid w:val="0"/>
        <w:spacing w:line="560" w:lineRule="exact"/>
        <w:ind w:left="640" w:hanging="640" w:hanging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XXX公司</w:t>
      </w:r>
      <w:r>
        <w:rPr>
          <w:rFonts w:hint="eastAsia" w:ascii="仿宋_GB2312" w:hAnsi="仿宋_GB2312" w:eastAsia="仿宋_GB2312" w:cs="仿宋_GB2312"/>
          <w:sz w:val="32"/>
          <w:szCs w:val="32"/>
        </w:rPr>
        <w:t>：</w:t>
      </w:r>
    </w:p>
    <w:p w14:paraId="64CD21CB">
      <w:pPr>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lang w:val="en-US" w:eastAsia="zh-CN"/>
        </w:rPr>
        <w:t>询比</w:t>
      </w:r>
      <w:r>
        <w:rPr>
          <w:rFonts w:hint="eastAsia" w:ascii="仿宋_GB2312" w:hAnsi="仿宋_GB2312" w:eastAsia="仿宋_GB2312" w:cs="仿宋_GB2312"/>
          <w:sz w:val="32"/>
          <w:szCs w:val="32"/>
          <w:u w:val="single"/>
        </w:rPr>
        <w:t>申请人名称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四川九洲投资控股集团有限公司2025年度消防系统维保服务采购</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询比</w:t>
      </w:r>
      <w:r>
        <w:rPr>
          <w:rFonts w:hint="eastAsia" w:ascii="仿宋_GB2312" w:hAnsi="仿宋_GB2312" w:eastAsia="仿宋_GB2312" w:cs="仿宋_GB2312"/>
          <w:sz w:val="32"/>
          <w:szCs w:val="32"/>
        </w:rPr>
        <w:t>公告，并充分了解贵单位发布的</w:t>
      </w:r>
      <w:r>
        <w:rPr>
          <w:rFonts w:hint="eastAsia" w:ascii="仿宋_GB2312" w:hAnsi="仿宋_GB2312" w:eastAsia="仿宋_GB2312" w:cs="仿宋_GB2312"/>
          <w:sz w:val="32"/>
          <w:szCs w:val="32"/>
          <w:lang w:val="en-US" w:eastAsia="zh-CN"/>
        </w:rPr>
        <w:t>询比</w:t>
      </w:r>
      <w:r>
        <w:rPr>
          <w:rFonts w:hint="eastAsia" w:ascii="仿宋_GB2312" w:hAnsi="仿宋_GB2312" w:eastAsia="仿宋_GB2312" w:cs="仿宋_GB2312"/>
          <w:sz w:val="32"/>
          <w:szCs w:val="32"/>
        </w:rPr>
        <w:t>内容及要求，现确认参加贵单位该项目的</w:t>
      </w:r>
      <w:r>
        <w:rPr>
          <w:rFonts w:hint="eastAsia" w:ascii="仿宋_GB2312" w:hAnsi="仿宋_GB2312" w:eastAsia="仿宋_GB2312" w:cs="仿宋_GB2312"/>
          <w:sz w:val="32"/>
          <w:szCs w:val="32"/>
          <w:lang w:val="en-US" w:eastAsia="zh-CN"/>
        </w:rPr>
        <w:t>询比</w:t>
      </w:r>
      <w:r>
        <w:rPr>
          <w:rFonts w:hint="eastAsia" w:ascii="仿宋_GB2312" w:hAnsi="仿宋_GB2312" w:eastAsia="仿宋_GB2312" w:cs="仿宋_GB2312"/>
          <w:sz w:val="32"/>
          <w:szCs w:val="32"/>
        </w:rPr>
        <w:t>。</w:t>
      </w:r>
    </w:p>
    <w:p w14:paraId="583CF681">
      <w:pPr>
        <w:adjustRightInd w:val="0"/>
        <w:snapToGrid w:val="0"/>
        <w:ind w:firstLine="640"/>
        <w:rPr>
          <w:rFonts w:hint="eastAsia" w:ascii="仿宋_GB2312" w:hAnsi="仿宋_GB2312" w:eastAsia="仿宋_GB2312" w:cs="仿宋_GB2312"/>
          <w:sz w:val="32"/>
          <w:szCs w:val="32"/>
        </w:rPr>
      </w:pPr>
    </w:p>
    <w:p w14:paraId="2C6F5316">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我单位负责本项目</w:t>
      </w:r>
      <w:r>
        <w:rPr>
          <w:rFonts w:hint="eastAsia" w:ascii="仿宋_GB2312" w:hAnsi="仿宋_GB2312" w:eastAsia="仿宋_GB2312" w:cs="仿宋_GB2312"/>
          <w:sz w:val="32"/>
          <w:szCs w:val="32"/>
          <w:lang w:val="en-US" w:eastAsia="zh-CN"/>
        </w:rPr>
        <w:t>询比</w:t>
      </w:r>
      <w:r>
        <w:rPr>
          <w:rFonts w:hint="eastAsia" w:ascii="仿宋_GB2312" w:hAnsi="仿宋_GB2312" w:eastAsia="仿宋_GB2312" w:cs="仿宋_GB2312"/>
          <w:sz w:val="32"/>
          <w:szCs w:val="32"/>
        </w:rPr>
        <w:t xml:space="preserve">的具体联系人：   </w:t>
      </w:r>
    </w:p>
    <w:p w14:paraId="330C0BCC">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联系电话： </w:t>
      </w:r>
    </w:p>
    <w:p w14:paraId="56EBFB57">
      <w:pPr>
        <w:adjustRightInd w:val="0"/>
        <w:snapToGrid w:val="0"/>
        <w:ind w:firstLine="560"/>
        <w:rPr>
          <w:rFonts w:hint="eastAsia" w:ascii="仿宋_GB2312" w:hAnsi="仿宋_GB2312" w:eastAsia="仿宋_GB2312" w:cs="仿宋_GB2312"/>
          <w:sz w:val="32"/>
          <w:szCs w:val="32"/>
        </w:rPr>
      </w:pPr>
    </w:p>
    <w:p w14:paraId="591035EB">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7603FEDB">
      <w:pPr>
        <w:adjustRightInd w:val="0"/>
        <w:snapToGrid w:val="0"/>
        <w:ind w:firstLine="3520" w:firstLineChars="1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询比</w:t>
      </w:r>
      <w:r>
        <w:rPr>
          <w:rFonts w:hint="eastAsia" w:ascii="仿宋_GB2312" w:hAnsi="仿宋_GB2312" w:eastAsia="仿宋_GB2312" w:cs="仿宋_GB2312"/>
          <w:sz w:val="32"/>
          <w:szCs w:val="32"/>
        </w:rPr>
        <w:t>申请人：（全称、盖章）</w:t>
      </w:r>
    </w:p>
    <w:p w14:paraId="0E633950">
      <w:pPr>
        <w:adjustRightInd w:val="0"/>
        <w:snapToGrid w:val="0"/>
        <w:ind w:firstLine="56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1DA74D70">
      <w:pPr>
        <w:adjustRightInd w:val="0"/>
        <w:snapToGrid w:val="0"/>
        <w:ind w:firstLine="56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法定代表人或委托代理人：（</w:t>
      </w:r>
      <w:r>
        <w:rPr>
          <w:rFonts w:hint="eastAsia" w:ascii="仿宋_GB2312" w:hAnsi="仿宋_GB2312" w:eastAsia="仿宋_GB2312" w:cs="仿宋_GB2312"/>
          <w:sz w:val="32"/>
          <w:szCs w:val="32"/>
          <w:lang w:val="en-US" w:eastAsia="zh-CN"/>
        </w:rPr>
        <w:t>签字</w:t>
      </w:r>
      <w:r>
        <w:rPr>
          <w:rFonts w:hint="eastAsia" w:ascii="仿宋_GB2312" w:hAnsi="仿宋_GB2312" w:eastAsia="仿宋_GB2312" w:cs="仿宋_GB2312"/>
          <w:sz w:val="32"/>
          <w:szCs w:val="32"/>
        </w:rPr>
        <w:t>）</w:t>
      </w:r>
    </w:p>
    <w:p w14:paraId="738278E4">
      <w:pPr>
        <w:pStyle w:val="8"/>
        <w:rPr>
          <w:rFonts w:hint="eastAsia" w:ascii="仿宋_GB2312" w:hAnsi="仿宋_GB2312" w:eastAsia="仿宋_GB2312" w:cs="仿宋_GB2312"/>
          <w:sz w:val="32"/>
          <w:szCs w:val="32"/>
        </w:rPr>
      </w:pPr>
    </w:p>
    <w:p w14:paraId="2460AF85">
      <w:pPr>
        <w:spacing w:after="120" w:line="48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14:paraId="449ED308">
      <w:pPr>
        <w:pStyle w:val="2"/>
        <w:rPr>
          <w:rFonts w:hint="eastAsia"/>
        </w:rPr>
      </w:pPr>
    </w:p>
    <w:sectPr>
      <w:headerReference r:id="rId3" w:type="default"/>
      <w:footerReference r:id="rId4"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1106266-AC36-49C4-960F-CDE772FFEB5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B48E553-109A-46A1-8021-0A557AC6B809}"/>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5360D28C-3D23-46AA-B589-34EE7FB808AA}"/>
  </w:font>
  <w:font w:name="仿宋_GB2312">
    <w:panose1 w:val="02010609030101010101"/>
    <w:charset w:val="86"/>
    <w:family w:val="auto"/>
    <w:pitch w:val="default"/>
    <w:sig w:usb0="00000001" w:usb1="080E0000" w:usb2="00000000" w:usb3="00000000" w:csb0="00040000" w:csb1="00000000"/>
    <w:embedRegular r:id="rId4" w:fontKey="{B950B198-06A5-4585-98D7-6C712160085E}"/>
  </w:font>
  <w:font w:name="方正仿宋_GB2312">
    <w:panose1 w:val="02000000000000000000"/>
    <w:charset w:val="86"/>
    <w:family w:val="auto"/>
    <w:pitch w:val="default"/>
    <w:sig w:usb0="A00002BF" w:usb1="184F6CFA" w:usb2="00000012" w:usb3="00000000" w:csb0="00040001" w:csb1="00000000"/>
    <w:embedRegular r:id="rId5" w:fontKey="{E0A1A665-4B72-4F28-B089-EA3236E4AD1A}"/>
  </w:font>
  <w:font w:name="QisiAaBanSong">
    <w:altName w:val="Noto Sans SC"/>
    <w:panose1 w:val="00020600040101010101"/>
    <w:charset w:val="80"/>
    <w:family w:val="roman"/>
    <w:pitch w:val="default"/>
    <w:sig w:usb0="00000000" w:usb1="00000000" w:usb2="00000016" w:usb3="00000000" w:csb0="0004009F" w:csb1="DFD70000"/>
    <w:embedRegular r:id="rId6" w:fontKey="{9BC1C76D-D1D9-46AC-9C78-9D20A06CE39A}"/>
  </w:font>
  <w:font w:name="HP Simplified Jpan">
    <w:panose1 w:val="020B0500000000000000"/>
    <w:charset w:val="86"/>
    <w:family w:val="auto"/>
    <w:pitch w:val="default"/>
    <w:sig w:usb0="E00002FF" w:usb1="38C7EDFA" w:usb2="00000012" w:usb3="00000000" w:csb0="2016019F" w:csb1="41000000"/>
  </w:font>
  <w:font w:name="华文新魏">
    <w:panose1 w:val="02010800040101010101"/>
    <w:charset w:val="86"/>
    <w:family w:val="auto"/>
    <w:pitch w:val="default"/>
    <w:sig w:usb0="00000001" w:usb1="080F0000" w:usb2="00000000" w:usb3="00000000" w:csb0="00040000" w:csb1="00000000"/>
    <w:embedRegular r:id="rId7" w:fontKey="{8C8A1285-9B6B-495E-BED3-9B182610C59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BFD7">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080F5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F080F5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49273">
    <w:pPr>
      <w:pStyle w:val="6"/>
      <w:pBdr>
        <w:bottom w:val="none" w:color="auto" w:sz="0" w:space="1"/>
      </w:pBdr>
      <w:spacing w:line="300" w:lineRule="exact"/>
      <w:jc w:val="right"/>
      <w:rPr>
        <w:rFonts w:hint="eastAsia" w:ascii="QisiAaBanSong" w:hAnsi="QisiAaBanSong" w:eastAsia="QisiAaBanSong" w:cs="QisiAaBanSong"/>
        <w:b/>
        <w:color w:val="637B9B"/>
        <w:spacing w:val="-20"/>
        <w:sz w:val="21"/>
        <w:szCs w:val="21"/>
      </w:rPr>
    </w:pPr>
    <w:r>
      <w:rPr>
        <w:rFonts w:hint="eastAsia" w:ascii="QisiAaBanSong" w:hAnsi="QisiAaBanSong" w:eastAsia="QisiAaBanSong" w:cs="QisiAaBanSong"/>
        <w:bCs/>
        <w:color w:val="FF0000"/>
        <w:spacing w:val="-20"/>
        <w:sz w:val="22"/>
        <w:szCs w:val="22"/>
      </w:rPr>
      <w:t xml:space="preserve">     </w:t>
    </w:r>
    <w:r>
      <w:rPr>
        <w:rFonts w:hint="eastAsia" w:ascii="仿宋_GB2312" w:hAnsi="仿宋_GB2312" w:eastAsia="仿宋_GB2312" w:cs="仿宋_GB2312"/>
        <w:b/>
        <w:color w:val="637B9B"/>
        <w:spacing w:val="-20"/>
        <w:sz w:val="21"/>
        <w:szCs w:val="21"/>
      </w:rPr>
      <w:t>客户第一  奋斗为本</w:t>
    </w:r>
  </w:p>
  <w:p w14:paraId="042FD7BF">
    <w:pPr>
      <w:pStyle w:val="6"/>
      <w:pBdr>
        <w:bottom w:val="none" w:color="auto" w:sz="0" w:space="1"/>
      </w:pBdr>
      <w:spacing w:line="300" w:lineRule="exact"/>
      <w:rPr>
        <w:rFonts w:hint="eastAsia" w:ascii="仿宋_GB2312" w:hAnsi="仿宋_GB2312" w:eastAsia="仿宋_GB2312" w:cs="仿宋_GB2312"/>
        <w:bCs/>
        <w:color w:val="637B9B"/>
        <w:spacing w:val="-20"/>
        <w:sz w:val="21"/>
        <w:szCs w:val="21"/>
      </w:rPr>
    </w:pPr>
    <w:r>
      <w:rPr>
        <w:rFonts w:hint="eastAsia" w:ascii="华文新魏" w:hAnsi="Times New Roman" w:eastAsia="华文新魏"/>
        <w:b/>
        <w:color w:val="FF0000"/>
        <w:spacing w:val="-20"/>
        <w:sz w:val="44"/>
        <w:szCs w:val="44"/>
      </w:rPr>
      <w:drawing>
        <wp:anchor distT="0" distB="0" distL="114300" distR="114300" simplePos="0" relativeHeight="251660288" behindDoc="1" locked="0" layoutInCell="1" allowOverlap="1">
          <wp:simplePos x="0" y="0"/>
          <wp:positionH relativeFrom="column">
            <wp:posOffset>-29210</wp:posOffset>
          </wp:positionH>
          <wp:positionV relativeFrom="paragraph">
            <wp:posOffset>10795</wp:posOffset>
          </wp:positionV>
          <wp:extent cx="1913890" cy="241935"/>
          <wp:effectExtent l="0" t="0" r="6350" b="1905"/>
          <wp:wrapTight wrapText="bothSides">
            <wp:wrapPolygon>
              <wp:start x="172" y="0"/>
              <wp:lineTo x="0" y="4082"/>
              <wp:lineTo x="0" y="16328"/>
              <wp:lineTo x="172" y="20409"/>
              <wp:lineTo x="2236" y="20409"/>
              <wp:lineTo x="21500" y="17688"/>
              <wp:lineTo x="21500" y="4082"/>
              <wp:lineTo x="2236" y="0"/>
              <wp:lineTo x="172" y="0"/>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637B9B"/>
        <w:spacing w:val="-20"/>
        <w:sz w:val="21"/>
        <w:szCs w:val="21"/>
      </w:rPr>
      <w:t xml:space="preserve">                                                                                                                 </w:t>
    </w:r>
    <w:r>
      <w:rPr>
        <w:rFonts w:hint="eastAsia" w:ascii="仿宋_GB2312" w:hAnsi="仿宋_GB2312" w:eastAsia="仿宋_GB2312" w:cs="仿宋_GB2312"/>
        <w:b/>
        <w:color w:val="637B9B"/>
        <w:spacing w:val="-20"/>
        <w:sz w:val="21"/>
        <w:szCs w:val="21"/>
      </w:rPr>
      <w:t>整体至上  团结协作</w:t>
    </w:r>
  </w:p>
  <w:p w14:paraId="25AD2927">
    <w:pPr>
      <w:pStyle w:val="6"/>
      <w:pBdr>
        <w:bottom w:val="single" w:color="auto" w:sz="4" w:space="1"/>
      </w:pBdr>
      <w:spacing w:line="300" w:lineRule="exact"/>
      <w:jc w:val="right"/>
    </w:pPr>
    <w:r>
      <w:rPr>
        <w:rFonts w:hint="eastAsia" w:ascii="仿宋_GB2312" w:hAnsi="仿宋_GB2312" w:eastAsia="仿宋_GB2312" w:cs="仿宋_GB2312"/>
        <w:b/>
        <w:color w:val="637B9B"/>
        <w:spacing w:val="-20"/>
        <w:sz w:val="21"/>
        <w:szCs w:val="21"/>
      </w:rPr>
      <w:t>自我革新  开放包容</w:t>
    </w:r>
  </w:p>
  <w:p w14:paraId="65160909">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wZmI3ZGRjZjQ3YjgwYTQzMGYwZjdjNDI0ZWJiZjYifQ=="/>
  </w:docVars>
  <w:rsids>
    <w:rsidRoot w:val="47BD71D3"/>
    <w:rsid w:val="00013396"/>
    <w:rsid w:val="000E65E6"/>
    <w:rsid w:val="001D5FB4"/>
    <w:rsid w:val="005A0FB6"/>
    <w:rsid w:val="007D6B5B"/>
    <w:rsid w:val="00B406C6"/>
    <w:rsid w:val="00C8241B"/>
    <w:rsid w:val="01352B1D"/>
    <w:rsid w:val="0136557F"/>
    <w:rsid w:val="019D55FE"/>
    <w:rsid w:val="02230245"/>
    <w:rsid w:val="024122AA"/>
    <w:rsid w:val="03FA477C"/>
    <w:rsid w:val="04310280"/>
    <w:rsid w:val="044B0A09"/>
    <w:rsid w:val="04F33787"/>
    <w:rsid w:val="06A34201"/>
    <w:rsid w:val="07527D83"/>
    <w:rsid w:val="08793FA4"/>
    <w:rsid w:val="08E763EE"/>
    <w:rsid w:val="092B1742"/>
    <w:rsid w:val="095F763D"/>
    <w:rsid w:val="097C1F9D"/>
    <w:rsid w:val="09CD0A4B"/>
    <w:rsid w:val="0A0124A3"/>
    <w:rsid w:val="0ACF218C"/>
    <w:rsid w:val="0ADA341F"/>
    <w:rsid w:val="0BBC48D3"/>
    <w:rsid w:val="0CD22F7B"/>
    <w:rsid w:val="0D272220"/>
    <w:rsid w:val="0D6945E7"/>
    <w:rsid w:val="0D7C6234"/>
    <w:rsid w:val="0E0B38F0"/>
    <w:rsid w:val="0FFC1742"/>
    <w:rsid w:val="103E1D5B"/>
    <w:rsid w:val="104135F9"/>
    <w:rsid w:val="10671134"/>
    <w:rsid w:val="107B2FAF"/>
    <w:rsid w:val="10C4777B"/>
    <w:rsid w:val="112371A2"/>
    <w:rsid w:val="11561326"/>
    <w:rsid w:val="118E286E"/>
    <w:rsid w:val="11BD7734"/>
    <w:rsid w:val="11C12C43"/>
    <w:rsid w:val="12C30C3D"/>
    <w:rsid w:val="13143247"/>
    <w:rsid w:val="135D4BEE"/>
    <w:rsid w:val="13A445CA"/>
    <w:rsid w:val="14000250"/>
    <w:rsid w:val="14BE09E0"/>
    <w:rsid w:val="14E37374"/>
    <w:rsid w:val="152E771F"/>
    <w:rsid w:val="15E038B4"/>
    <w:rsid w:val="160C0D2A"/>
    <w:rsid w:val="16227070"/>
    <w:rsid w:val="167F30CD"/>
    <w:rsid w:val="16FC6B52"/>
    <w:rsid w:val="18AC5CCF"/>
    <w:rsid w:val="18D07C10"/>
    <w:rsid w:val="19063631"/>
    <w:rsid w:val="19104E64"/>
    <w:rsid w:val="193C34F7"/>
    <w:rsid w:val="195F17CA"/>
    <w:rsid w:val="199724DC"/>
    <w:rsid w:val="19CC03D7"/>
    <w:rsid w:val="1A6F5A33"/>
    <w:rsid w:val="1A911AB2"/>
    <w:rsid w:val="1AB175CD"/>
    <w:rsid w:val="1B1262BE"/>
    <w:rsid w:val="1BAA4748"/>
    <w:rsid w:val="1C273FEB"/>
    <w:rsid w:val="1C79197A"/>
    <w:rsid w:val="1C7E1D4C"/>
    <w:rsid w:val="1C7F3E27"/>
    <w:rsid w:val="1CC96E50"/>
    <w:rsid w:val="1CD51C99"/>
    <w:rsid w:val="1D2324A8"/>
    <w:rsid w:val="1DE81558"/>
    <w:rsid w:val="1E5156AA"/>
    <w:rsid w:val="1E9A6CF6"/>
    <w:rsid w:val="1F1C595D"/>
    <w:rsid w:val="1F9D5760"/>
    <w:rsid w:val="1FD224BF"/>
    <w:rsid w:val="200306A3"/>
    <w:rsid w:val="204C4020"/>
    <w:rsid w:val="20B9542D"/>
    <w:rsid w:val="21297B66"/>
    <w:rsid w:val="21DB0403"/>
    <w:rsid w:val="221C3EC6"/>
    <w:rsid w:val="22BB548D"/>
    <w:rsid w:val="22C548FF"/>
    <w:rsid w:val="22DB168B"/>
    <w:rsid w:val="22E76282"/>
    <w:rsid w:val="232B2612"/>
    <w:rsid w:val="238B4E5F"/>
    <w:rsid w:val="23E80503"/>
    <w:rsid w:val="24B34F85"/>
    <w:rsid w:val="24BE1264"/>
    <w:rsid w:val="25733DFD"/>
    <w:rsid w:val="25AD37B3"/>
    <w:rsid w:val="26981CD4"/>
    <w:rsid w:val="269E134D"/>
    <w:rsid w:val="26A64D3D"/>
    <w:rsid w:val="26D1527F"/>
    <w:rsid w:val="26D60AE7"/>
    <w:rsid w:val="26F64CE5"/>
    <w:rsid w:val="274041B2"/>
    <w:rsid w:val="27570214"/>
    <w:rsid w:val="28F62E40"/>
    <w:rsid w:val="298016AC"/>
    <w:rsid w:val="29A053DC"/>
    <w:rsid w:val="2C2D1B34"/>
    <w:rsid w:val="2CA60F5C"/>
    <w:rsid w:val="2CAD4098"/>
    <w:rsid w:val="2CF46CAB"/>
    <w:rsid w:val="2D0068BE"/>
    <w:rsid w:val="2D4D587B"/>
    <w:rsid w:val="2E2A1718"/>
    <w:rsid w:val="2E326BAA"/>
    <w:rsid w:val="2E9516D1"/>
    <w:rsid w:val="2F0D52C2"/>
    <w:rsid w:val="2F8A06C1"/>
    <w:rsid w:val="2FC040E2"/>
    <w:rsid w:val="30395C43"/>
    <w:rsid w:val="312608BD"/>
    <w:rsid w:val="32087FC3"/>
    <w:rsid w:val="325F5E35"/>
    <w:rsid w:val="32794A1C"/>
    <w:rsid w:val="32BA5629"/>
    <w:rsid w:val="33D66175"/>
    <w:rsid w:val="33E81E5A"/>
    <w:rsid w:val="34586FDF"/>
    <w:rsid w:val="346C65E7"/>
    <w:rsid w:val="34790D04"/>
    <w:rsid w:val="34A74B0A"/>
    <w:rsid w:val="34C93A39"/>
    <w:rsid w:val="34D643A8"/>
    <w:rsid w:val="351F18AB"/>
    <w:rsid w:val="35A676A4"/>
    <w:rsid w:val="35F04DB1"/>
    <w:rsid w:val="36575075"/>
    <w:rsid w:val="36E6534F"/>
    <w:rsid w:val="37173EFD"/>
    <w:rsid w:val="37922808"/>
    <w:rsid w:val="37E42938"/>
    <w:rsid w:val="37FA03AE"/>
    <w:rsid w:val="381256F7"/>
    <w:rsid w:val="38364DA6"/>
    <w:rsid w:val="3A414072"/>
    <w:rsid w:val="3A4C0AA5"/>
    <w:rsid w:val="3B196D9D"/>
    <w:rsid w:val="3BC74A4B"/>
    <w:rsid w:val="3D6549A6"/>
    <w:rsid w:val="3E2E79D4"/>
    <w:rsid w:val="3F184E82"/>
    <w:rsid w:val="3F604F9A"/>
    <w:rsid w:val="40CB6D8B"/>
    <w:rsid w:val="40D0614F"/>
    <w:rsid w:val="41494A72"/>
    <w:rsid w:val="41650F8E"/>
    <w:rsid w:val="4171348E"/>
    <w:rsid w:val="41A01FC6"/>
    <w:rsid w:val="41B810BD"/>
    <w:rsid w:val="41EA1493"/>
    <w:rsid w:val="42AF7038"/>
    <w:rsid w:val="42B86E9B"/>
    <w:rsid w:val="432F3601"/>
    <w:rsid w:val="434A21E9"/>
    <w:rsid w:val="43853071"/>
    <w:rsid w:val="43BB30E7"/>
    <w:rsid w:val="43CC4A70"/>
    <w:rsid w:val="43E66BC8"/>
    <w:rsid w:val="43F8510F"/>
    <w:rsid w:val="443C4228"/>
    <w:rsid w:val="44892E49"/>
    <w:rsid w:val="45332386"/>
    <w:rsid w:val="45E61AFA"/>
    <w:rsid w:val="45E71F71"/>
    <w:rsid w:val="47555600"/>
    <w:rsid w:val="478163F5"/>
    <w:rsid w:val="47BD71D3"/>
    <w:rsid w:val="47EA7AF7"/>
    <w:rsid w:val="483D4A92"/>
    <w:rsid w:val="486F26F2"/>
    <w:rsid w:val="48D92391"/>
    <w:rsid w:val="48DE5452"/>
    <w:rsid w:val="493E4A48"/>
    <w:rsid w:val="49DB2BCE"/>
    <w:rsid w:val="4A317C5F"/>
    <w:rsid w:val="4A407EA2"/>
    <w:rsid w:val="4A631F37"/>
    <w:rsid w:val="4B6C26CB"/>
    <w:rsid w:val="4C18530C"/>
    <w:rsid w:val="4C48536F"/>
    <w:rsid w:val="4D086393"/>
    <w:rsid w:val="4D1A0C09"/>
    <w:rsid w:val="4D3C32C3"/>
    <w:rsid w:val="4E102281"/>
    <w:rsid w:val="4E784D0F"/>
    <w:rsid w:val="4EE334F2"/>
    <w:rsid w:val="4F05790C"/>
    <w:rsid w:val="4F7D56F4"/>
    <w:rsid w:val="4F912F4E"/>
    <w:rsid w:val="4FA46B11"/>
    <w:rsid w:val="4FC926E8"/>
    <w:rsid w:val="4FFC0D0F"/>
    <w:rsid w:val="501B58FD"/>
    <w:rsid w:val="50446212"/>
    <w:rsid w:val="506B4697"/>
    <w:rsid w:val="50830AE8"/>
    <w:rsid w:val="50E53551"/>
    <w:rsid w:val="517B6D54"/>
    <w:rsid w:val="51CA3B87"/>
    <w:rsid w:val="51FD25A3"/>
    <w:rsid w:val="52214A5D"/>
    <w:rsid w:val="525564B4"/>
    <w:rsid w:val="52E46954"/>
    <w:rsid w:val="532145E9"/>
    <w:rsid w:val="533832FB"/>
    <w:rsid w:val="535D3873"/>
    <w:rsid w:val="539F3E8B"/>
    <w:rsid w:val="55025193"/>
    <w:rsid w:val="55564A1D"/>
    <w:rsid w:val="55F54236"/>
    <w:rsid w:val="564D4072"/>
    <w:rsid w:val="56C642AE"/>
    <w:rsid w:val="57A71560"/>
    <w:rsid w:val="57EA58F1"/>
    <w:rsid w:val="57F30C49"/>
    <w:rsid w:val="587144D9"/>
    <w:rsid w:val="58F95484"/>
    <w:rsid w:val="594F1EAF"/>
    <w:rsid w:val="595B0854"/>
    <w:rsid w:val="59AE3C95"/>
    <w:rsid w:val="59F842F5"/>
    <w:rsid w:val="5A4E507C"/>
    <w:rsid w:val="5A821E11"/>
    <w:rsid w:val="5A8653FA"/>
    <w:rsid w:val="5AA47FD9"/>
    <w:rsid w:val="5BC30933"/>
    <w:rsid w:val="5D267DAB"/>
    <w:rsid w:val="5D2951CD"/>
    <w:rsid w:val="5D2E44D2"/>
    <w:rsid w:val="5E046A15"/>
    <w:rsid w:val="5E4F64AE"/>
    <w:rsid w:val="5E8E3115"/>
    <w:rsid w:val="5EB10F16"/>
    <w:rsid w:val="5F1B7866"/>
    <w:rsid w:val="5F772160"/>
    <w:rsid w:val="60787F3E"/>
    <w:rsid w:val="61C80A51"/>
    <w:rsid w:val="62373E29"/>
    <w:rsid w:val="62A212A2"/>
    <w:rsid w:val="62A56FE4"/>
    <w:rsid w:val="63CC5822"/>
    <w:rsid w:val="64416899"/>
    <w:rsid w:val="64923638"/>
    <w:rsid w:val="64A37553"/>
    <w:rsid w:val="64A65B4C"/>
    <w:rsid w:val="64E61059"/>
    <w:rsid w:val="655606BC"/>
    <w:rsid w:val="65BA6903"/>
    <w:rsid w:val="65DD6A95"/>
    <w:rsid w:val="66246472"/>
    <w:rsid w:val="66694FD9"/>
    <w:rsid w:val="67024A05"/>
    <w:rsid w:val="67202EAC"/>
    <w:rsid w:val="672F3320"/>
    <w:rsid w:val="67465CEF"/>
    <w:rsid w:val="681A7B2C"/>
    <w:rsid w:val="69AC2A06"/>
    <w:rsid w:val="69E00902"/>
    <w:rsid w:val="6A9E175E"/>
    <w:rsid w:val="6B513865"/>
    <w:rsid w:val="6B8A4FC9"/>
    <w:rsid w:val="6C9F6852"/>
    <w:rsid w:val="6CB542C8"/>
    <w:rsid w:val="6D505D9E"/>
    <w:rsid w:val="6D594C53"/>
    <w:rsid w:val="6DB60CC8"/>
    <w:rsid w:val="6E0F7A08"/>
    <w:rsid w:val="6EA105B1"/>
    <w:rsid w:val="6EB02F99"/>
    <w:rsid w:val="6ED53C62"/>
    <w:rsid w:val="6F347726"/>
    <w:rsid w:val="6FA10B33"/>
    <w:rsid w:val="702A6D7B"/>
    <w:rsid w:val="70383246"/>
    <w:rsid w:val="707149AA"/>
    <w:rsid w:val="70814BED"/>
    <w:rsid w:val="71386C6A"/>
    <w:rsid w:val="71397275"/>
    <w:rsid w:val="72023B0B"/>
    <w:rsid w:val="72413E80"/>
    <w:rsid w:val="73012015"/>
    <w:rsid w:val="73530396"/>
    <w:rsid w:val="743F1AD1"/>
    <w:rsid w:val="7487654A"/>
    <w:rsid w:val="74DD43BC"/>
    <w:rsid w:val="74EA0887"/>
    <w:rsid w:val="74EC1B95"/>
    <w:rsid w:val="75263FB5"/>
    <w:rsid w:val="757C1E26"/>
    <w:rsid w:val="75D05CCE"/>
    <w:rsid w:val="76DB2B7D"/>
    <w:rsid w:val="77617526"/>
    <w:rsid w:val="787B63C5"/>
    <w:rsid w:val="787E5C9B"/>
    <w:rsid w:val="795123BD"/>
    <w:rsid w:val="796C3F60"/>
    <w:rsid w:val="79870D9A"/>
    <w:rsid w:val="7A2D1941"/>
    <w:rsid w:val="7A8552D9"/>
    <w:rsid w:val="7A8A6D94"/>
    <w:rsid w:val="7AF4420D"/>
    <w:rsid w:val="7B560A24"/>
    <w:rsid w:val="7B8E4662"/>
    <w:rsid w:val="7D197F5B"/>
    <w:rsid w:val="7D6C4E49"/>
    <w:rsid w:val="7D99109C"/>
    <w:rsid w:val="7DF54524"/>
    <w:rsid w:val="7DF804B8"/>
    <w:rsid w:val="7E036BED"/>
    <w:rsid w:val="7E2272E3"/>
    <w:rsid w:val="7E2412AD"/>
    <w:rsid w:val="7E3037AE"/>
    <w:rsid w:val="7E7C69F3"/>
    <w:rsid w:val="7EB65E72"/>
    <w:rsid w:val="7EED7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qFormat/>
    <w:uiPriority w:val="0"/>
    <w:pPr>
      <w:keepNext/>
      <w:keepLines/>
      <w:spacing w:before="260" w:after="260" w:line="280" w:lineRule="exact"/>
      <w:jc w:val="left"/>
      <w:outlineLvl w:val="1"/>
    </w:pPr>
    <w:rPr>
      <w:rFonts w:ascii="Arial" w:hAnsi="Arial"/>
      <w:b/>
      <w:bCs/>
      <w:kern w:val="0"/>
      <w:sz w:val="28"/>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index 5"/>
    <w:basedOn w:val="1"/>
    <w:next w:val="1"/>
    <w:qFormat/>
    <w:uiPriority w:val="0"/>
    <w:pPr>
      <w:ind w:left="1680"/>
    </w:pPr>
  </w:style>
  <w:style w:type="paragraph" w:styleId="4">
    <w:name w:val="Body Text"/>
    <w:basedOn w:val="1"/>
    <w:next w:val="1"/>
    <w:autoRedefine/>
    <w:unhideWhenUsed/>
    <w:qFormat/>
    <w:uiPriority w:val="99"/>
    <w:rPr>
      <w:rFonts w:ascii="Times New Roman" w:hAnsi="Times New Roman"/>
      <w:sz w:val="28"/>
      <w:szCs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List"/>
    <w:basedOn w:val="1"/>
    <w:autoRedefine/>
    <w:qFormat/>
    <w:uiPriority w:val="0"/>
    <w:pPr>
      <w:adjustRightInd w:val="0"/>
      <w:spacing w:line="360" w:lineRule="atLeast"/>
      <w:ind w:left="420" w:hanging="420"/>
      <w:jc w:val="left"/>
    </w:pPr>
    <w:rPr>
      <w:rFonts w:hint="eastAsia" w:ascii="宋体" w:hAnsi="Calibri" w:cs="Calibri"/>
      <w:kern w:val="0"/>
      <w:sz w:val="24"/>
    </w:rPr>
  </w:style>
  <w:style w:type="paragraph" w:styleId="8">
    <w:name w:val="Body Text 2"/>
    <w:basedOn w:val="1"/>
    <w:next w:val="3"/>
    <w:qFormat/>
    <w:uiPriority w:val="0"/>
    <w:pPr>
      <w:widowControl w:val="0"/>
      <w:kinsoku/>
      <w:autoSpaceDE/>
      <w:autoSpaceDN/>
      <w:spacing w:line="600" w:lineRule="exact"/>
      <w:ind w:left="1280" w:hanging="1280" w:hangingChars="400"/>
      <w:textAlignment w:val="auto"/>
    </w:pPr>
  </w:style>
  <w:style w:type="paragraph" w:styleId="9">
    <w:name w:val="Normal (Web)"/>
    <w:basedOn w:val="1"/>
    <w:autoRedefine/>
    <w:qFormat/>
    <w:uiPriority w:val="0"/>
    <w:pPr>
      <w:spacing w:beforeAutospacing="1" w:afterAutospacing="1"/>
      <w:jc w:val="left"/>
    </w:pPr>
    <w:rPr>
      <w:rFonts w:cs="Times New Roman"/>
      <w:kern w:val="0"/>
      <w:sz w:val="24"/>
    </w:rPr>
  </w:style>
  <w:style w:type="character" w:styleId="12">
    <w:name w:val="Strong"/>
    <w:basedOn w:val="11"/>
    <w:autoRedefine/>
    <w:qFormat/>
    <w:uiPriority w:val="0"/>
    <w:rPr>
      <w:b/>
    </w:rPr>
  </w:style>
  <w:style w:type="character" w:styleId="13">
    <w:name w:val="Hyperlink"/>
    <w:basedOn w:val="11"/>
    <w:qFormat/>
    <w:uiPriority w:val="0"/>
    <w:rPr>
      <w:color w:val="0000FF"/>
      <w:u w:val="single"/>
    </w:rPr>
  </w:style>
  <w:style w:type="paragraph" w:customStyle="1" w:styleId="14">
    <w:name w:val="Default"/>
    <w:autoRedefine/>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table" w:customStyle="1" w:styleId="15">
    <w:name w:val="Table Normal"/>
    <w:autoRedefine/>
    <w:semiHidden/>
    <w:unhideWhenUsed/>
    <w:qFormat/>
    <w:uiPriority w:val="0"/>
    <w:tblPr>
      <w:tblCellMar>
        <w:top w:w="0" w:type="dxa"/>
        <w:left w:w="0" w:type="dxa"/>
        <w:bottom w:w="0" w:type="dxa"/>
        <w:right w:w="0" w:type="dxa"/>
      </w:tblCellMar>
    </w:tblPr>
  </w:style>
  <w:style w:type="paragraph" w:customStyle="1" w:styleId="16">
    <w:name w:val="正文-Y"/>
    <w:basedOn w:val="1"/>
    <w:qFormat/>
    <w:uiPriority w:val="0"/>
    <w:pPr>
      <w:spacing w:line="360" w:lineRule="auto"/>
      <w:ind w:firstLine="560" w:firstLineChars="200"/>
    </w:pPr>
    <w:rPr>
      <w:rFonts w:ascii="Times New Roman" w:hAnsi="Times New Roman" w:eastAsia="仿宋" w:cs="Times New Roman"/>
      <w:kern w:val="32"/>
      <w:sz w:val="28"/>
      <w:szCs w:val="28"/>
    </w:rPr>
  </w:style>
  <w:style w:type="paragraph" w:customStyle="1" w:styleId="17">
    <w:name w:val="表格-y"/>
    <w:qFormat/>
    <w:uiPriority w:val="0"/>
    <w:pPr>
      <w:widowControl w:val="0"/>
    </w:pPr>
    <w:rPr>
      <w:rFonts w:ascii="Times New Roman" w:hAnsi="Times New Roman" w:eastAsia="仿宋" w:cs="Times New Roman"/>
      <w:kern w:val="32"/>
      <w:sz w:val="28"/>
      <w:szCs w:val="28"/>
      <w:lang w:val="en-US" w:eastAsia="zh-CN" w:bidi="ar-SA"/>
    </w:rPr>
  </w:style>
  <w:style w:type="paragraph" w:customStyle="1" w:styleId="18">
    <w:name w:val="标题2-Y"/>
    <w:qFormat/>
    <w:uiPriority w:val="0"/>
    <w:pPr>
      <w:keepNext/>
      <w:keepLines/>
      <w:widowControl w:val="0"/>
      <w:spacing w:before="50" w:beforeLines="50" w:after="50" w:afterLines="50" w:line="360" w:lineRule="auto"/>
      <w:outlineLvl w:val="1"/>
    </w:pPr>
    <w:rPr>
      <w:rFonts w:hint="eastAsia" w:ascii="黑体" w:hAnsi="Arial" w:eastAsia="黑体" w:cs="Times New Roman"/>
      <w:bCs/>
      <w:kern w:val="2"/>
      <w:sz w:val="30"/>
      <w:szCs w:val="30"/>
      <w:lang w:val="en-US" w:eastAsia="zh-CN" w:bidi="ar-SA"/>
    </w:rPr>
  </w:style>
  <w:style w:type="paragraph" w:styleId="1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1528</Words>
  <Characters>1707</Characters>
  <Lines>11</Lines>
  <Paragraphs>3</Paragraphs>
  <TotalTime>2</TotalTime>
  <ScaleCrop>false</ScaleCrop>
  <LinksUpToDate>false</LinksUpToDate>
  <CharactersWithSpaces>1786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2024-05-08T00:55:00Z</dcterms:created>
  <dc:creator>admin</dc:creator>
  <cp:lastModifiedBy>Gnail</cp:lastModifiedBy>
  <dcterms:modified xsi:type="dcterms:W3CDTF">2025-04-18T00:46:30Z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E7DC69279D11473E9E83C4D72343C462_13</vt:lpwstr>
  </property>
  <property fmtid="{D5CDD505-2E9C-101B-9397-08002B2CF9AE}" pid="4" name="KSOTemplateDocerSaveRecord">
    <vt:lpwstr>eyJoZGlkIjoiMWMxMDE2NjgwNjE5MzQwNjYzN2RjZGI1MzUwMjllYzciLCJ1c2VySWQiOiI3MTQzNDIwMjEifQ==</vt:lpwstr>
  </property>
</Properties>
</file>