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40" w:lineRule="exact"/>
        <w:ind w:right="1365" w:rightChars="650"/>
        <w:jc w:val="left"/>
      </w:pPr>
      <w:bookmarkStart w:id="0" w:name="_Toc154327277"/>
    </w:p>
    <w:p>
      <w:pPr>
        <w:spacing w:line="540" w:lineRule="exact"/>
        <w:ind w:right="1365" w:rightChars="650"/>
        <w:jc w:val="left"/>
        <w:rPr>
          <w:rFonts w:ascii="Arial" w:hAnsi="Arial" w:eastAsia="仿宋_GB2312" w:cs="Arial"/>
          <w:sz w:val="32"/>
          <w:szCs w:val="32"/>
        </w:rPr>
      </w:pPr>
    </w:p>
    <w:p>
      <w:pPr>
        <w:pStyle w:val="26"/>
        <w:spacing w:beforeLines="100" w:afterLines="100" w:line="360" w:lineRule="auto"/>
        <w:jc w:val="center"/>
        <w:outlineLvl w:val="0"/>
        <w:rPr>
          <w:rFonts w:ascii="Arial" w:hAnsi="Arial" w:eastAsia="黑体" w:cs="Arial"/>
          <w:sz w:val="36"/>
          <w:szCs w:val="36"/>
        </w:rPr>
      </w:pPr>
      <w:bookmarkStart w:id="1" w:name="_Toc25100"/>
      <w:r>
        <w:rPr>
          <w:rFonts w:ascii="Arial" w:hAnsi="Arial" w:eastAsia="黑体" w:cs="Arial"/>
          <w:sz w:val="36"/>
          <w:szCs w:val="36"/>
        </w:rPr>
        <w:t>四川</w:t>
      </w:r>
      <w:r>
        <w:rPr>
          <w:rFonts w:hint="eastAsia" w:ascii="Arial" w:hAnsi="Arial" w:eastAsia="黑体" w:cs="Arial"/>
          <w:sz w:val="36"/>
          <w:szCs w:val="36"/>
        </w:rPr>
        <w:t>九州光电子技术</w:t>
      </w:r>
      <w:r>
        <w:rPr>
          <w:rFonts w:ascii="Arial" w:hAnsi="Arial" w:eastAsia="黑体" w:cs="Arial"/>
          <w:sz w:val="36"/>
          <w:szCs w:val="36"/>
        </w:rPr>
        <w:t>有限公司</w:t>
      </w:r>
      <w:bookmarkEnd w:id="1"/>
    </w:p>
    <w:p>
      <w:pPr>
        <w:pStyle w:val="26"/>
        <w:spacing w:beforeLines="100" w:afterLines="100" w:line="360" w:lineRule="auto"/>
        <w:jc w:val="center"/>
        <w:outlineLvl w:val="0"/>
        <w:rPr>
          <w:rFonts w:ascii="Arial" w:hAnsi="Arial" w:eastAsia="黑体" w:cs="Arial"/>
          <w:sz w:val="36"/>
          <w:szCs w:val="36"/>
        </w:rPr>
      </w:pPr>
      <w:r>
        <w:rPr>
          <w:rFonts w:hint="eastAsia" w:ascii="Arial" w:hAnsi="Arial" w:eastAsia="黑体" w:cs="Arial"/>
          <w:sz w:val="36"/>
          <w:szCs w:val="36"/>
          <w:lang w:val="en-US" w:eastAsia="zh-CN"/>
        </w:rPr>
        <w:t>四川九州光电子</w:t>
      </w:r>
      <w:r>
        <w:rPr>
          <w:rFonts w:hint="eastAsia" w:ascii="Arial" w:hAnsi="Arial" w:eastAsia="黑体" w:cs="Arial"/>
          <w:sz w:val="36"/>
          <w:szCs w:val="36"/>
        </w:rPr>
        <w:t>生产及研发基地项目</w:t>
      </w:r>
    </w:p>
    <w:p>
      <w:pPr>
        <w:pStyle w:val="26"/>
        <w:spacing w:beforeLines="100" w:afterLines="100" w:line="360" w:lineRule="auto"/>
        <w:jc w:val="center"/>
        <w:outlineLvl w:val="0"/>
        <w:rPr>
          <w:rFonts w:ascii="Arial" w:hAnsi="Arial" w:eastAsia="黑体" w:cs="Arial"/>
          <w:sz w:val="36"/>
          <w:szCs w:val="36"/>
        </w:rPr>
      </w:pPr>
      <w:r>
        <w:rPr>
          <w:rFonts w:hint="eastAsia" w:ascii="Arial" w:hAnsi="Arial" w:eastAsia="黑体" w:cs="Arial"/>
          <w:sz w:val="36"/>
          <w:szCs w:val="36"/>
        </w:rPr>
        <w:t>二次装修及机电安装工程</w:t>
      </w:r>
    </w:p>
    <w:p>
      <w:pPr>
        <w:pStyle w:val="26"/>
        <w:spacing w:beforeLines="100" w:afterLines="100" w:line="360" w:lineRule="auto"/>
        <w:jc w:val="center"/>
        <w:outlineLvl w:val="0"/>
        <w:rPr>
          <w:rFonts w:ascii="Arial" w:hAnsi="Arial" w:eastAsia="黑体" w:cs="Arial"/>
          <w:sz w:val="36"/>
          <w:szCs w:val="36"/>
        </w:rPr>
      </w:pPr>
      <w:r>
        <w:rPr>
          <w:rFonts w:ascii="Arial" w:hAnsi="Arial" w:eastAsia="黑体" w:cs="Arial"/>
          <w:sz w:val="36"/>
          <w:szCs w:val="36"/>
        </w:rPr>
        <w:t>技 术 规 格 书</w:t>
      </w:r>
    </w:p>
    <w:p>
      <w:pPr>
        <w:pStyle w:val="26"/>
        <w:spacing w:before="480"/>
        <w:jc w:val="center"/>
        <w:rPr>
          <w:rFonts w:ascii="Arial" w:hAnsi="Arial" w:eastAsia="黑体" w:cs="Arial"/>
        </w:rPr>
      </w:pPr>
    </w:p>
    <w:p>
      <w:pPr>
        <w:pStyle w:val="26"/>
        <w:spacing w:before="480"/>
        <w:jc w:val="center"/>
        <w:rPr>
          <w:rFonts w:ascii="Arial" w:hAnsi="Arial" w:eastAsia="黑体" w:cs="Arial"/>
        </w:rPr>
      </w:pPr>
    </w:p>
    <w:p>
      <w:pPr>
        <w:pStyle w:val="26"/>
        <w:spacing w:before="480"/>
        <w:jc w:val="center"/>
        <w:rPr>
          <w:rFonts w:ascii="Arial" w:hAnsi="Arial" w:eastAsia="黑体" w:cs="Arial"/>
        </w:rPr>
      </w:pPr>
    </w:p>
    <w:p>
      <w:pPr>
        <w:pStyle w:val="26"/>
        <w:spacing w:before="480"/>
        <w:jc w:val="both"/>
        <w:rPr>
          <w:rFonts w:ascii="Arial" w:hAnsi="Arial" w:eastAsia="黑体" w:cs="Arial"/>
        </w:rPr>
      </w:pPr>
    </w:p>
    <w:p>
      <w:pPr>
        <w:pStyle w:val="26"/>
        <w:spacing w:before="480"/>
        <w:jc w:val="center"/>
        <w:rPr>
          <w:rFonts w:ascii="Arial" w:hAnsi="Arial" w:eastAsia="黑体" w:cs="Arial"/>
        </w:rPr>
      </w:pPr>
    </w:p>
    <w:p>
      <w:pPr>
        <w:pStyle w:val="26"/>
        <w:spacing w:before="480"/>
        <w:jc w:val="center"/>
        <w:rPr>
          <w:rFonts w:ascii="Arial" w:hAnsi="Arial" w:eastAsia="黑体" w:cs="Arial"/>
        </w:rPr>
      </w:pPr>
    </w:p>
    <w:p>
      <w:pPr>
        <w:pStyle w:val="26"/>
        <w:spacing w:before="480"/>
        <w:jc w:val="center"/>
        <w:rPr>
          <w:rFonts w:ascii="Arial" w:hAnsi="Arial" w:eastAsia="黑体" w:cs="Arial"/>
        </w:rPr>
      </w:pPr>
    </w:p>
    <w:p>
      <w:pPr>
        <w:pStyle w:val="26"/>
        <w:spacing w:line="360" w:lineRule="auto"/>
        <w:jc w:val="right"/>
        <w:rPr>
          <w:rFonts w:hint="eastAsia" w:ascii="Arial" w:hAnsi="Arial" w:eastAsia="黑体" w:cs="Arial"/>
          <w:sz w:val="28"/>
          <w:szCs w:val="28"/>
          <w:lang w:val="en-US" w:eastAsia="zh-CN"/>
        </w:rPr>
      </w:pPr>
      <w:r>
        <w:rPr>
          <w:rFonts w:ascii="Arial" w:hAnsi="Arial" w:eastAsia="黑体" w:cs="Arial"/>
          <w:sz w:val="28"/>
          <w:szCs w:val="28"/>
        </w:rPr>
        <w:t>编号：GDGS -</w:t>
      </w:r>
      <w:r>
        <w:rPr>
          <w:rFonts w:hint="eastAsia" w:ascii="Arial" w:hAnsi="Arial" w:eastAsia="黑体" w:cs="Arial"/>
          <w:sz w:val="28"/>
          <w:szCs w:val="28"/>
          <w:lang w:val="en-US" w:eastAsia="zh-CN"/>
        </w:rPr>
        <w:t>YB</w:t>
      </w:r>
      <w:r>
        <w:rPr>
          <w:rFonts w:ascii="Arial" w:hAnsi="Arial" w:eastAsia="黑体" w:cs="Arial"/>
          <w:sz w:val="28"/>
          <w:szCs w:val="28"/>
        </w:rPr>
        <w:t>-202</w:t>
      </w:r>
      <w:r>
        <w:rPr>
          <w:rFonts w:hint="eastAsia" w:ascii="Arial" w:hAnsi="Arial" w:eastAsia="黑体" w:cs="Arial"/>
          <w:sz w:val="28"/>
          <w:szCs w:val="28"/>
          <w:lang w:val="en-US" w:eastAsia="zh-CN"/>
        </w:rPr>
        <w:t>4</w:t>
      </w:r>
      <w:r>
        <w:rPr>
          <w:rFonts w:ascii="Arial" w:hAnsi="Arial" w:eastAsia="黑体" w:cs="Arial"/>
          <w:sz w:val="28"/>
          <w:szCs w:val="28"/>
        </w:rPr>
        <w:t>-000</w:t>
      </w:r>
      <w:r>
        <w:rPr>
          <w:rFonts w:hint="eastAsia" w:ascii="Arial" w:hAnsi="Arial" w:eastAsia="黑体" w:cs="Arial"/>
          <w:sz w:val="28"/>
          <w:szCs w:val="28"/>
          <w:lang w:val="en-US" w:eastAsia="zh-CN"/>
        </w:rPr>
        <w:t>1</w:t>
      </w:r>
    </w:p>
    <w:p>
      <w:pPr>
        <w:pStyle w:val="26"/>
        <w:spacing w:line="360" w:lineRule="auto"/>
        <w:jc w:val="right"/>
        <w:rPr>
          <w:rFonts w:ascii="Arial" w:hAnsi="Arial" w:eastAsia="黑体" w:cs="Arial"/>
          <w:sz w:val="28"/>
          <w:szCs w:val="28"/>
        </w:rPr>
      </w:pPr>
      <w:r>
        <w:rPr>
          <w:rFonts w:ascii="Arial" w:hAnsi="Arial" w:eastAsia="黑体" w:cs="Arial"/>
          <w:sz w:val="28"/>
          <w:szCs w:val="28"/>
        </w:rPr>
        <w:t>版本号：202</w:t>
      </w:r>
      <w:r>
        <w:rPr>
          <w:rFonts w:hint="eastAsia" w:ascii="Arial" w:hAnsi="Arial" w:eastAsia="黑体" w:cs="Arial"/>
          <w:sz w:val="28"/>
          <w:szCs w:val="28"/>
          <w:lang w:val="en-US" w:eastAsia="zh-CN"/>
        </w:rPr>
        <w:t>4</w:t>
      </w:r>
      <w:r>
        <w:rPr>
          <w:rFonts w:ascii="Arial" w:hAnsi="Arial" w:eastAsia="黑体" w:cs="Arial"/>
          <w:sz w:val="28"/>
          <w:szCs w:val="28"/>
        </w:rPr>
        <w:t>（01）版</w:t>
      </w:r>
    </w:p>
    <w:p>
      <w:pPr>
        <w:tabs>
          <w:tab w:val="left" w:pos="7369"/>
        </w:tabs>
        <w:jc w:val="right"/>
        <w:rPr>
          <w:rFonts w:ascii="Arial" w:hAnsi="Arial" w:eastAsia="黑体" w:cs="Arial"/>
          <w:sz w:val="28"/>
          <w:szCs w:val="28"/>
        </w:rPr>
        <w:sectPr>
          <w:headerReference r:id="rId5" w:type="first"/>
          <w:headerReference r:id="rId3" w:type="default"/>
          <w:footerReference r:id="rId6" w:type="default"/>
          <w:headerReference r:id="rId4" w:type="even"/>
          <w:footerReference r:id="rId7" w:type="even"/>
          <w:pgSz w:w="11906" w:h="16838"/>
          <w:pgMar w:top="2098" w:right="1474" w:bottom="1984" w:left="1587" w:header="1134" w:footer="1531" w:gutter="0"/>
          <w:pgNumType w:fmt="numberInDash" w:start="0"/>
          <w:cols w:space="0" w:num="1"/>
          <w:titlePg/>
          <w:docGrid w:type="lines" w:linePitch="312" w:charSpace="0"/>
        </w:sectPr>
      </w:pPr>
      <w:r>
        <w:rPr>
          <w:rFonts w:ascii="Arial" w:hAnsi="Arial" w:eastAsia="黑体" w:cs="Arial"/>
          <w:sz w:val="28"/>
          <w:szCs w:val="28"/>
        </w:rPr>
        <w:t>生效日期：202</w:t>
      </w:r>
      <w:r>
        <w:rPr>
          <w:rFonts w:hint="eastAsia" w:ascii="Arial" w:hAnsi="Arial" w:eastAsia="黑体" w:cs="Arial"/>
          <w:sz w:val="28"/>
          <w:szCs w:val="28"/>
          <w:lang w:val="en-US" w:eastAsia="zh-CN"/>
        </w:rPr>
        <w:t>4</w:t>
      </w:r>
      <w:r>
        <w:rPr>
          <w:rFonts w:ascii="Arial" w:hAnsi="Arial" w:eastAsia="黑体" w:cs="Arial"/>
          <w:sz w:val="28"/>
          <w:szCs w:val="28"/>
        </w:rPr>
        <w:t>年</w:t>
      </w:r>
      <w:r>
        <w:rPr>
          <w:rFonts w:hint="eastAsia" w:ascii="Arial" w:hAnsi="Arial" w:eastAsia="黑体" w:cs="Arial"/>
          <w:sz w:val="28"/>
          <w:szCs w:val="28"/>
          <w:lang w:val="en-US" w:eastAsia="zh-CN"/>
        </w:rPr>
        <w:t>X</w:t>
      </w:r>
      <w:r>
        <w:rPr>
          <w:rFonts w:ascii="Arial" w:hAnsi="Arial" w:eastAsia="黑体" w:cs="Arial"/>
          <w:sz w:val="28"/>
          <w:szCs w:val="28"/>
        </w:rPr>
        <w:t>月</w:t>
      </w:r>
      <w:r>
        <w:rPr>
          <w:rFonts w:hint="eastAsia" w:ascii="Arial" w:hAnsi="Arial" w:eastAsia="黑体" w:cs="Arial"/>
          <w:sz w:val="28"/>
          <w:szCs w:val="28"/>
          <w:lang w:val="en-US" w:eastAsia="zh-CN"/>
        </w:rPr>
        <w:t>X</w:t>
      </w:r>
      <w:r>
        <w:rPr>
          <w:rFonts w:ascii="Arial" w:hAnsi="Arial" w:eastAsia="黑体" w:cs="Arial"/>
          <w:sz w:val="28"/>
          <w:szCs w:val="28"/>
        </w:rPr>
        <w:t>日</w:t>
      </w:r>
    </w:p>
    <w:p>
      <w:pPr>
        <w:tabs>
          <w:tab w:val="left" w:pos="7369"/>
        </w:tabs>
        <w:jc w:val="center"/>
        <w:outlineLvl w:val="0"/>
        <w:rPr>
          <w:rFonts w:ascii="Arial" w:hAnsi="Arial" w:eastAsia="仿宋_GB2312" w:cs="Arial"/>
          <w:szCs w:val="21"/>
        </w:rPr>
      </w:pPr>
      <w:bookmarkStart w:id="2" w:name="_Toc8042"/>
      <w:r>
        <w:rPr>
          <w:rFonts w:ascii="Arial" w:hAnsi="Arial" w:eastAsia="仿宋_GB2312" w:cs="Arial"/>
          <w:sz w:val="24"/>
          <w:szCs w:val="24"/>
        </w:rPr>
        <w:t>制度履历表</w:t>
      </w:r>
      <w:bookmarkEnd w:id="2"/>
    </w:p>
    <w:p>
      <w:pPr>
        <w:tabs>
          <w:tab w:val="left" w:pos="7369"/>
        </w:tabs>
        <w:ind w:firstLine="6960" w:firstLineChars="2900"/>
        <w:rPr>
          <w:rFonts w:ascii="Arial" w:hAnsi="Arial" w:eastAsia="仿宋_GB2312" w:cs="Arial"/>
          <w:sz w:val="24"/>
          <w:szCs w:val="24"/>
        </w:rPr>
      </w:pPr>
    </w:p>
    <w:tbl>
      <w:tblPr>
        <w:tblStyle w:val="10"/>
        <w:tblW w:w="906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34"/>
        <w:gridCol w:w="1202"/>
        <w:gridCol w:w="620"/>
        <w:gridCol w:w="620"/>
        <w:gridCol w:w="1349"/>
        <w:gridCol w:w="937"/>
        <w:gridCol w:w="709"/>
        <w:gridCol w:w="228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1334" w:type="dxa"/>
            <w:tcBorders>
              <w:top w:val="single" w:color="auto" w:sz="12" w:space="0"/>
              <w:left w:val="single" w:color="auto" w:sz="12" w:space="0"/>
              <w:bottom w:val="single" w:color="auto" w:sz="6" w:space="0"/>
              <w:right w:val="single" w:color="auto" w:sz="6" w:space="0"/>
            </w:tcBorders>
            <w:vAlign w:val="center"/>
          </w:tcPr>
          <w:p>
            <w:pPr>
              <w:pStyle w:val="5"/>
              <w:adjustRightInd w:val="0"/>
              <w:snapToGrid w:val="0"/>
              <w:spacing w:after="0"/>
              <w:ind w:left="0" w:leftChars="0"/>
              <w:jc w:val="center"/>
              <w:rPr>
                <w:rFonts w:ascii="Arial" w:hAnsi="Arial" w:eastAsia="仿宋_GB2312" w:cs="Arial"/>
                <w:szCs w:val="21"/>
              </w:rPr>
            </w:pPr>
            <w:r>
              <w:rPr>
                <w:rFonts w:ascii="Arial" w:hAnsi="Arial" w:eastAsia="仿宋_GB2312" w:cs="Arial"/>
                <w:szCs w:val="21"/>
              </w:rPr>
              <w:t>制度名称</w:t>
            </w:r>
          </w:p>
        </w:tc>
        <w:tc>
          <w:tcPr>
            <w:tcW w:w="1202" w:type="dxa"/>
            <w:tcBorders>
              <w:top w:val="single" w:color="auto" w:sz="12" w:space="0"/>
              <w:left w:val="single" w:color="auto" w:sz="6" w:space="0"/>
              <w:bottom w:val="single" w:color="auto" w:sz="6" w:space="0"/>
              <w:right w:val="single" w:color="auto" w:sz="6" w:space="0"/>
            </w:tcBorders>
            <w:vAlign w:val="center"/>
          </w:tcPr>
          <w:p>
            <w:pPr>
              <w:pStyle w:val="5"/>
              <w:adjustRightInd w:val="0"/>
              <w:snapToGrid w:val="0"/>
              <w:spacing w:after="0"/>
              <w:ind w:left="0" w:leftChars="0"/>
              <w:jc w:val="center"/>
              <w:rPr>
                <w:rFonts w:ascii="Arial" w:hAnsi="Arial" w:eastAsia="仿宋_GB2312" w:cs="Arial"/>
                <w:szCs w:val="21"/>
              </w:rPr>
            </w:pPr>
            <w:r>
              <w:rPr>
                <w:rFonts w:ascii="Arial" w:hAnsi="Arial" w:eastAsia="仿宋_GB2312" w:cs="Arial"/>
                <w:szCs w:val="21"/>
              </w:rPr>
              <w:t>编制(修改)时间</w:t>
            </w:r>
          </w:p>
        </w:tc>
        <w:tc>
          <w:tcPr>
            <w:tcW w:w="620" w:type="dxa"/>
            <w:tcBorders>
              <w:top w:val="single" w:color="auto" w:sz="12" w:space="0"/>
              <w:left w:val="single" w:color="auto" w:sz="6" w:space="0"/>
              <w:bottom w:val="single" w:color="auto" w:sz="6" w:space="0"/>
              <w:right w:val="single" w:color="auto" w:sz="6" w:space="0"/>
            </w:tcBorders>
            <w:vAlign w:val="center"/>
          </w:tcPr>
          <w:p>
            <w:pPr>
              <w:pStyle w:val="5"/>
              <w:adjustRightInd w:val="0"/>
              <w:snapToGrid w:val="0"/>
              <w:spacing w:after="0"/>
              <w:ind w:left="0" w:leftChars="0"/>
              <w:jc w:val="center"/>
              <w:rPr>
                <w:rFonts w:ascii="Arial" w:hAnsi="Arial" w:eastAsia="仿宋_GB2312" w:cs="Arial"/>
                <w:szCs w:val="21"/>
              </w:rPr>
            </w:pPr>
            <w:r>
              <w:rPr>
                <w:rFonts w:ascii="Arial" w:hAnsi="Arial" w:eastAsia="仿宋_GB2312" w:cs="Arial"/>
                <w:szCs w:val="21"/>
              </w:rPr>
              <w:t>首次编制</w:t>
            </w:r>
          </w:p>
        </w:tc>
        <w:tc>
          <w:tcPr>
            <w:tcW w:w="620" w:type="dxa"/>
            <w:tcBorders>
              <w:top w:val="single" w:color="auto" w:sz="12" w:space="0"/>
              <w:left w:val="single" w:color="auto" w:sz="6" w:space="0"/>
              <w:bottom w:val="single" w:color="auto" w:sz="6" w:space="0"/>
              <w:right w:val="single" w:color="auto" w:sz="6" w:space="0"/>
            </w:tcBorders>
            <w:vAlign w:val="center"/>
          </w:tcPr>
          <w:p>
            <w:pPr>
              <w:pStyle w:val="5"/>
              <w:adjustRightInd w:val="0"/>
              <w:snapToGrid w:val="0"/>
              <w:spacing w:after="0"/>
              <w:ind w:left="0" w:leftChars="0"/>
              <w:jc w:val="center"/>
              <w:rPr>
                <w:rFonts w:ascii="Arial" w:hAnsi="Arial" w:eastAsia="仿宋_GB2312" w:cs="Arial"/>
                <w:szCs w:val="21"/>
              </w:rPr>
            </w:pPr>
            <w:r>
              <w:rPr>
                <w:rFonts w:ascii="Arial" w:hAnsi="Arial" w:eastAsia="仿宋_GB2312" w:cs="Arial"/>
                <w:szCs w:val="21"/>
              </w:rPr>
              <w:t>修订编制</w:t>
            </w:r>
          </w:p>
        </w:tc>
        <w:tc>
          <w:tcPr>
            <w:tcW w:w="1349" w:type="dxa"/>
            <w:tcBorders>
              <w:top w:val="single" w:color="auto" w:sz="12" w:space="0"/>
              <w:left w:val="single" w:color="auto" w:sz="6" w:space="0"/>
              <w:bottom w:val="single" w:color="auto" w:sz="6" w:space="0"/>
              <w:right w:val="single" w:color="auto" w:sz="6" w:space="0"/>
            </w:tcBorders>
            <w:vAlign w:val="center"/>
          </w:tcPr>
          <w:p>
            <w:pPr>
              <w:pStyle w:val="5"/>
              <w:adjustRightInd w:val="0"/>
              <w:snapToGrid w:val="0"/>
              <w:spacing w:after="0"/>
              <w:ind w:left="0" w:leftChars="0"/>
              <w:jc w:val="center"/>
              <w:rPr>
                <w:rFonts w:ascii="Arial" w:hAnsi="Arial" w:eastAsia="仿宋_GB2312" w:cs="Arial"/>
                <w:szCs w:val="21"/>
              </w:rPr>
            </w:pPr>
            <w:r>
              <w:rPr>
                <w:rFonts w:ascii="Arial" w:hAnsi="Arial" w:eastAsia="仿宋_GB2312" w:cs="Arial"/>
                <w:szCs w:val="21"/>
              </w:rPr>
              <w:t>编制部门</w:t>
            </w:r>
          </w:p>
        </w:tc>
        <w:tc>
          <w:tcPr>
            <w:tcW w:w="937" w:type="dxa"/>
            <w:tcBorders>
              <w:top w:val="single" w:color="auto" w:sz="12" w:space="0"/>
              <w:left w:val="single" w:color="auto" w:sz="6" w:space="0"/>
              <w:bottom w:val="single" w:color="auto" w:sz="6" w:space="0"/>
              <w:right w:val="single" w:color="auto" w:sz="6" w:space="0"/>
            </w:tcBorders>
            <w:vAlign w:val="center"/>
          </w:tcPr>
          <w:p>
            <w:pPr>
              <w:pStyle w:val="5"/>
              <w:adjustRightInd w:val="0"/>
              <w:snapToGrid w:val="0"/>
              <w:spacing w:after="0"/>
              <w:ind w:left="0" w:leftChars="0"/>
              <w:jc w:val="center"/>
              <w:rPr>
                <w:rFonts w:ascii="Arial" w:hAnsi="Arial" w:eastAsia="仿宋_GB2312" w:cs="Arial"/>
                <w:szCs w:val="21"/>
              </w:rPr>
            </w:pPr>
            <w:r>
              <w:rPr>
                <w:rFonts w:ascii="Arial" w:hAnsi="Arial" w:eastAsia="仿宋_GB2312" w:cs="Arial"/>
                <w:szCs w:val="21"/>
              </w:rPr>
              <w:t>审批</w:t>
            </w:r>
          </w:p>
        </w:tc>
        <w:tc>
          <w:tcPr>
            <w:tcW w:w="709" w:type="dxa"/>
            <w:tcBorders>
              <w:top w:val="single" w:color="auto" w:sz="12" w:space="0"/>
              <w:left w:val="single" w:color="auto" w:sz="6" w:space="0"/>
              <w:bottom w:val="single" w:color="auto" w:sz="6" w:space="0"/>
              <w:right w:val="single" w:color="auto" w:sz="6" w:space="0"/>
            </w:tcBorders>
            <w:vAlign w:val="center"/>
          </w:tcPr>
          <w:p>
            <w:pPr>
              <w:pStyle w:val="5"/>
              <w:adjustRightInd w:val="0"/>
              <w:snapToGrid w:val="0"/>
              <w:spacing w:after="0"/>
              <w:ind w:left="0" w:leftChars="0"/>
              <w:jc w:val="center"/>
              <w:rPr>
                <w:rFonts w:ascii="Arial" w:hAnsi="Arial" w:eastAsia="仿宋_GB2312" w:cs="Arial"/>
                <w:szCs w:val="21"/>
              </w:rPr>
            </w:pPr>
            <w:r>
              <w:rPr>
                <w:rFonts w:ascii="Arial" w:hAnsi="Arial" w:eastAsia="仿宋_GB2312" w:cs="Arial"/>
                <w:szCs w:val="21"/>
              </w:rPr>
              <w:t>废止</w:t>
            </w:r>
          </w:p>
        </w:tc>
        <w:tc>
          <w:tcPr>
            <w:tcW w:w="2289" w:type="dxa"/>
            <w:tcBorders>
              <w:top w:val="single" w:color="auto" w:sz="12" w:space="0"/>
              <w:left w:val="single" w:color="auto" w:sz="6" w:space="0"/>
              <w:bottom w:val="single" w:color="auto" w:sz="6" w:space="0"/>
              <w:right w:val="single" w:color="auto" w:sz="12" w:space="0"/>
            </w:tcBorders>
            <w:vAlign w:val="center"/>
          </w:tcPr>
          <w:p>
            <w:pPr>
              <w:pStyle w:val="5"/>
              <w:adjustRightInd w:val="0"/>
              <w:snapToGrid w:val="0"/>
              <w:spacing w:after="0"/>
              <w:ind w:left="0" w:leftChars="0"/>
              <w:jc w:val="center"/>
              <w:rPr>
                <w:rFonts w:ascii="Arial" w:hAnsi="Arial" w:eastAsia="仿宋_GB2312" w:cs="Arial"/>
                <w:szCs w:val="21"/>
              </w:rPr>
            </w:pPr>
            <w:r>
              <w:rPr>
                <w:rFonts w:ascii="Arial" w:hAnsi="Arial" w:eastAsia="仿宋_GB2312" w:cs="Arial"/>
                <w:szCs w:val="21"/>
              </w:rPr>
              <w:t>编号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334" w:type="dxa"/>
            <w:vMerge w:val="restart"/>
            <w:tcBorders>
              <w:top w:val="single" w:color="auto" w:sz="6" w:space="0"/>
              <w:left w:val="single" w:color="auto" w:sz="12" w:space="0"/>
              <w:right w:val="single" w:color="auto" w:sz="6" w:space="0"/>
            </w:tcBorders>
            <w:vAlign w:val="center"/>
          </w:tcPr>
          <w:p>
            <w:pPr>
              <w:pStyle w:val="5"/>
              <w:adjustRightInd w:val="0"/>
              <w:snapToGrid w:val="0"/>
              <w:spacing w:after="0"/>
              <w:ind w:left="0" w:leftChars="0"/>
              <w:jc w:val="left"/>
              <w:rPr>
                <w:rFonts w:ascii="Arial" w:hAnsi="Arial" w:eastAsia="仿宋_GB2312" w:cs="Arial"/>
                <w:szCs w:val="21"/>
              </w:rPr>
            </w:pPr>
            <w:r>
              <w:rPr>
                <w:rFonts w:ascii="Arial" w:hAnsi="Arial" w:eastAsia="仿宋_GB2312" w:cs="Arial"/>
                <w:szCs w:val="21"/>
              </w:rPr>
              <w:t>制度管理办法</w:t>
            </w:r>
          </w:p>
        </w:tc>
        <w:tc>
          <w:tcPr>
            <w:tcW w:w="1202" w:type="dxa"/>
            <w:tcBorders>
              <w:top w:val="single" w:color="auto" w:sz="6" w:space="0"/>
              <w:left w:val="single" w:color="auto" w:sz="6" w:space="0"/>
              <w:bottom w:val="single" w:color="auto" w:sz="6" w:space="0"/>
              <w:right w:val="single" w:color="auto" w:sz="6" w:space="0"/>
            </w:tcBorders>
            <w:vAlign w:val="center"/>
          </w:tcPr>
          <w:p>
            <w:pPr>
              <w:pStyle w:val="5"/>
              <w:adjustRightInd w:val="0"/>
              <w:snapToGrid w:val="0"/>
              <w:spacing w:after="0"/>
              <w:ind w:left="0" w:leftChars="0"/>
              <w:jc w:val="center"/>
              <w:rPr>
                <w:rFonts w:ascii="Arial" w:hAnsi="Arial" w:eastAsia="仿宋_GB2312" w:cs="Arial"/>
                <w:szCs w:val="21"/>
              </w:rPr>
            </w:pPr>
            <w:r>
              <w:rPr>
                <w:rFonts w:ascii="Arial" w:hAnsi="Arial" w:eastAsia="仿宋_GB2312" w:cs="Arial"/>
                <w:szCs w:val="21"/>
              </w:rPr>
              <w:t>20</w:t>
            </w:r>
            <w:r>
              <w:rPr>
                <w:rFonts w:hint="eastAsia" w:ascii="Arial" w:hAnsi="Arial" w:eastAsia="仿宋_GB2312" w:cs="Arial"/>
                <w:szCs w:val="21"/>
              </w:rPr>
              <w:t>2</w:t>
            </w:r>
            <w:r>
              <w:rPr>
                <w:rFonts w:hint="eastAsia" w:ascii="Arial" w:hAnsi="Arial" w:eastAsia="仿宋_GB2312" w:cs="Arial"/>
                <w:szCs w:val="21"/>
                <w:lang w:val="en-US" w:eastAsia="zh-CN"/>
              </w:rPr>
              <w:t>4</w:t>
            </w:r>
            <w:r>
              <w:rPr>
                <w:rFonts w:ascii="Arial" w:hAnsi="Arial" w:eastAsia="仿宋_GB2312" w:cs="Arial"/>
                <w:szCs w:val="21"/>
              </w:rPr>
              <w:t>年</w:t>
            </w:r>
          </w:p>
        </w:tc>
        <w:tc>
          <w:tcPr>
            <w:tcW w:w="620" w:type="dxa"/>
            <w:tcBorders>
              <w:top w:val="single" w:color="auto" w:sz="6" w:space="0"/>
              <w:left w:val="single" w:color="auto" w:sz="6" w:space="0"/>
              <w:bottom w:val="single" w:color="auto" w:sz="6" w:space="0"/>
              <w:right w:val="single" w:color="auto" w:sz="6" w:space="0"/>
            </w:tcBorders>
            <w:vAlign w:val="center"/>
          </w:tcPr>
          <w:p>
            <w:pPr>
              <w:pStyle w:val="5"/>
              <w:adjustRightInd w:val="0"/>
              <w:snapToGrid w:val="0"/>
              <w:spacing w:after="0"/>
              <w:ind w:left="0" w:leftChars="0"/>
              <w:jc w:val="center"/>
              <w:rPr>
                <w:rFonts w:ascii="Arial" w:hAnsi="Arial" w:eastAsia="仿宋_GB2312" w:cs="Arial"/>
                <w:szCs w:val="21"/>
              </w:rPr>
            </w:pPr>
            <w:r>
              <w:rPr>
                <w:rFonts w:ascii="Arial" w:hAnsi="Arial" w:eastAsia="微软雅黑" w:cs="Arial"/>
                <w:szCs w:val="21"/>
              </w:rPr>
              <w:t>√</w:t>
            </w:r>
          </w:p>
        </w:tc>
        <w:tc>
          <w:tcPr>
            <w:tcW w:w="620" w:type="dxa"/>
            <w:tcBorders>
              <w:top w:val="single" w:color="auto" w:sz="6" w:space="0"/>
              <w:left w:val="single" w:color="auto" w:sz="6" w:space="0"/>
              <w:bottom w:val="single" w:color="auto" w:sz="6" w:space="0"/>
              <w:right w:val="single" w:color="auto" w:sz="6" w:space="0"/>
            </w:tcBorders>
            <w:vAlign w:val="center"/>
          </w:tcPr>
          <w:p>
            <w:pPr>
              <w:pStyle w:val="5"/>
              <w:adjustRightInd w:val="0"/>
              <w:snapToGrid w:val="0"/>
              <w:spacing w:after="0"/>
              <w:ind w:left="0" w:leftChars="0"/>
              <w:jc w:val="center"/>
              <w:rPr>
                <w:rFonts w:ascii="Arial" w:hAnsi="Arial" w:eastAsia="仿宋_GB2312" w:cs="Arial"/>
                <w:szCs w:val="21"/>
              </w:rPr>
            </w:pPr>
          </w:p>
        </w:tc>
        <w:tc>
          <w:tcPr>
            <w:tcW w:w="1349" w:type="dxa"/>
            <w:tcBorders>
              <w:top w:val="single" w:color="auto" w:sz="6" w:space="0"/>
              <w:left w:val="single" w:color="auto" w:sz="6" w:space="0"/>
              <w:bottom w:val="single" w:color="auto" w:sz="6" w:space="0"/>
              <w:right w:val="single" w:color="auto" w:sz="6" w:space="0"/>
            </w:tcBorders>
            <w:vAlign w:val="center"/>
          </w:tcPr>
          <w:p>
            <w:pPr>
              <w:pStyle w:val="5"/>
              <w:adjustRightInd w:val="0"/>
              <w:snapToGrid w:val="0"/>
              <w:spacing w:after="0"/>
              <w:ind w:left="0" w:leftChars="0"/>
              <w:jc w:val="center"/>
              <w:rPr>
                <w:rFonts w:hint="default" w:ascii="Arial" w:hAnsi="Arial" w:eastAsia="仿宋_GB2312" w:cs="Arial"/>
                <w:szCs w:val="21"/>
                <w:lang w:val="en-US" w:eastAsia="zh-CN"/>
              </w:rPr>
            </w:pPr>
            <w:r>
              <w:rPr>
                <w:rFonts w:hint="eastAsia" w:ascii="Arial" w:hAnsi="Arial" w:eastAsia="仿宋_GB2312" w:cs="Arial"/>
                <w:szCs w:val="21"/>
                <w:lang w:val="en-US" w:eastAsia="zh-CN"/>
              </w:rPr>
              <w:t>生产运营保障部</w:t>
            </w:r>
          </w:p>
        </w:tc>
        <w:tc>
          <w:tcPr>
            <w:tcW w:w="937" w:type="dxa"/>
            <w:tcBorders>
              <w:top w:val="single" w:color="auto" w:sz="6" w:space="0"/>
              <w:left w:val="single" w:color="auto" w:sz="6" w:space="0"/>
              <w:bottom w:val="single" w:color="auto" w:sz="6" w:space="0"/>
              <w:right w:val="single" w:color="auto" w:sz="6" w:space="0"/>
            </w:tcBorders>
            <w:vAlign w:val="center"/>
          </w:tcPr>
          <w:p>
            <w:pPr>
              <w:pStyle w:val="5"/>
              <w:adjustRightInd w:val="0"/>
              <w:snapToGrid w:val="0"/>
              <w:spacing w:after="0"/>
              <w:ind w:left="0" w:leftChars="0"/>
              <w:jc w:val="center"/>
              <w:rPr>
                <w:rFonts w:ascii="Arial" w:hAnsi="Arial" w:eastAsia="仿宋_GB2312" w:cs="Arial"/>
                <w:szCs w:val="21"/>
              </w:rPr>
            </w:pPr>
            <w:r>
              <w:rPr>
                <w:rFonts w:ascii="Arial" w:hAnsi="Arial" w:eastAsia="仿宋_GB2312" w:cs="Arial"/>
                <w:szCs w:val="21"/>
              </w:rPr>
              <w:t>总经理</w:t>
            </w:r>
          </w:p>
        </w:tc>
        <w:tc>
          <w:tcPr>
            <w:tcW w:w="709" w:type="dxa"/>
            <w:tcBorders>
              <w:top w:val="single" w:color="auto" w:sz="6" w:space="0"/>
              <w:left w:val="single" w:color="auto" w:sz="6" w:space="0"/>
              <w:bottom w:val="single" w:color="auto" w:sz="6" w:space="0"/>
              <w:right w:val="single" w:color="auto" w:sz="6" w:space="0"/>
            </w:tcBorders>
            <w:vAlign w:val="center"/>
          </w:tcPr>
          <w:p>
            <w:pPr>
              <w:pStyle w:val="5"/>
              <w:adjustRightInd w:val="0"/>
              <w:snapToGrid w:val="0"/>
              <w:spacing w:after="0"/>
              <w:ind w:left="0" w:leftChars="0"/>
              <w:jc w:val="center"/>
              <w:rPr>
                <w:rFonts w:ascii="Arial" w:hAnsi="Arial" w:eastAsia="仿宋_GB2312" w:cs="Arial"/>
                <w:szCs w:val="21"/>
              </w:rPr>
            </w:pPr>
          </w:p>
        </w:tc>
        <w:tc>
          <w:tcPr>
            <w:tcW w:w="2289" w:type="dxa"/>
            <w:tcBorders>
              <w:top w:val="single" w:color="auto" w:sz="6" w:space="0"/>
              <w:left w:val="single" w:color="auto" w:sz="6" w:space="0"/>
              <w:bottom w:val="single" w:color="auto" w:sz="6" w:space="0"/>
              <w:right w:val="single" w:color="auto" w:sz="12" w:space="0"/>
            </w:tcBorders>
            <w:vAlign w:val="center"/>
          </w:tcPr>
          <w:p>
            <w:pPr>
              <w:pStyle w:val="5"/>
              <w:adjustRightInd w:val="0"/>
              <w:snapToGrid w:val="0"/>
              <w:spacing w:after="0"/>
              <w:ind w:left="0" w:leftChars="0"/>
              <w:jc w:val="left"/>
              <w:rPr>
                <w:rFonts w:ascii="Arial" w:hAnsi="Arial" w:eastAsia="仿宋_GB2312"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33" w:hRule="atLeast"/>
          <w:jc w:val="center"/>
        </w:trPr>
        <w:tc>
          <w:tcPr>
            <w:tcW w:w="1334" w:type="dxa"/>
            <w:vMerge w:val="continue"/>
            <w:tcBorders>
              <w:left w:val="single" w:color="auto" w:sz="12" w:space="0"/>
              <w:right w:val="single" w:color="auto" w:sz="6" w:space="0"/>
            </w:tcBorders>
            <w:vAlign w:val="center"/>
          </w:tcPr>
          <w:p>
            <w:pPr>
              <w:widowControl/>
              <w:spacing w:beforeAutospacing="1" w:afterAutospacing="1"/>
              <w:jc w:val="left"/>
              <w:rPr>
                <w:rFonts w:ascii="Arial" w:hAnsi="Arial" w:eastAsia="仿宋_GB2312" w:cs="Arial"/>
                <w:szCs w:val="21"/>
              </w:rPr>
            </w:pPr>
          </w:p>
        </w:tc>
        <w:tc>
          <w:tcPr>
            <w:tcW w:w="7726" w:type="dxa"/>
            <w:gridSpan w:val="7"/>
            <w:tcBorders>
              <w:top w:val="single" w:color="auto" w:sz="6" w:space="0"/>
              <w:left w:val="single" w:color="auto" w:sz="6" w:space="0"/>
              <w:bottom w:val="single" w:color="auto" w:sz="6" w:space="0"/>
              <w:right w:val="single" w:color="auto" w:sz="12" w:space="0"/>
            </w:tcBorders>
            <w:vAlign w:val="center"/>
          </w:tcPr>
          <w:p>
            <w:pPr>
              <w:adjustRightInd w:val="0"/>
              <w:snapToGrid w:val="0"/>
              <w:jc w:val="left"/>
              <w:rPr>
                <w:rFonts w:ascii="Arial" w:hAnsi="Arial" w:eastAsia="仿宋_GB2312" w:cs="Arial"/>
                <w:szCs w:val="21"/>
              </w:rPr>
            </w:pPr>
            <w:r>
              <w:rPr>
                <w:rFonts w:ascii="Arial" w:hAnsi="Arial" w:eastAsia="仿宋_GB2312" w:cs="Arial"/>
                <w:szCs w:val="21"/>
              </w:rPr>
              <w:t>说明：</w:t>
            </w:r>
          </w:p>
          <w:p>
            <w:pPr>
              <w:adjustRightInd w:val="0"/>
              <w:snapToGrid w:val="0"/>
              <w:jc w:val="left"/>
              <w:rPr>
                <w:rFonts w:hint="default" w:ascii="Arial" w:hAnsi="Arial" w:eastAsia="仿宋_GB2312" w:cs="Arial"/>
                <w:szCs w:val="21"/>
                <w:lang w:val="en-US" w:eastAsia="zh-CN"/>
              </w:rPr>
            </w:pPr>
            <w:r>
              <w:rPr>
                <w:rFonts w:ascii="Arial" w:hAnsi="Arial" w:eastAsia="仿宋_GB2312" w:cs="Arial"/>
                <w:szCs w:val="21"/>
              </w:rPr>
              <w:t>1、</w:t>
            </w:r>
            <w:r>
              <w:rPr>
                <w:rFonts w:hint="eastAsia" w:ascii="Arial" w:hAnsi="Arial" w:eastAsia="仿宋_GB2312" w:cs="Arial"/>
                <w:szCs w:val="21"/>
                <w:lang w:val="en-US" w:eastAsia="zh-CN"/>
              </w:rPr>
              <w:t>为项目启动和规范项目要求</w:t>
            </w:r>
          </w:p>
          <w:p>
            <w:pPr>
              <w:pStyle w:val="5"/>
              <w:adjustRightInd w:val="0"/>
              <w:snapToGrid w:val="0"/>
              <w:spacing w:after="0"/>
              <w:ind w:left="0" w:leftChars="0"/>
              <w:jc w:val="left"/>
              <w:rPr>
                <w:rFonts w:ascii="Arial" w:hAnsi="Arial" w:eastAsia="仿宋_GB2312"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1334" w:type="dxa"/>
            <w:vMerge w:val="continue"/>
            <w:tcBorders>
              <w:left w:val="single" w:color="auto" w:sz="12" w:space="0"/>
              <w:right w:val="single" w:color="auto" w:sz="6" w:space="0"/>
            </w:tcBorders>
            <w:vAlign w:val="center"/>
          </w:tcPr>
          <w:p>
            <w:pPr>
              <w:pStyle w:val="5"/>
              <w:adjustRightInd w:val="0"/>
              <w:snapToGrid w:val="0"/>
              <w:spacing w:after="0"/>
              <w:ind w:left="0" w:leftChars="0"/>
              <w:jc w:val="left"/>
              <w:rPr>
                <w:rFonts w:ascii="Arial" w:hAnsi="Arial" w:eastAsia="仿宋_GB2312" w:cs="Arial"/>
                <w:szCs w:val="21"/>
              </w:rPr>
            </w:pPr>
          </w:p>
        </w:tc>
        <w:tc>
          <w:tcPr>
            <w:tcW w:w="1202" w:type="dxa"/>
            <w:tcBorders>
              <w:top w:val="single" w:color="auto" w:sz="6" w:space="0"/>
              <w:left w:val="single" w:color="auto" w:sz="6" w:space="0"/>
              <w:bottom w:val="single" w:color="auto" w:sz="6" w:space="0"/>
              <w:right w:val="single" w:color="auto" w:sz="6" w:space="0"/>
            </w:tcBorders>
            <w:vAlign w:val="center"/>
          </w:tcPr>
          <w:p>
            <w:pPr>
              <w:pStyle w:val="5"/>
              <w:adjustRightInd w:val="0"/>
              <w:snapToGrid w:val="0"/>
              <w:spacing w:after="0"/>
              <w:ind w:left="0" w:leftChars="0"/>
              <w:jc w:val="left"/>
              <w:rPr>
                <w:rFonts w:ascii="Arial" w:hAnsi="Arial" w:eastAsia="仿宋_GB2312" w:cs="Arial"/>
                <w:szCs w:val="21"/>
              </w:rPr>
            </w:pPr>
          </w:p>
        </w:tc>
        <w:tc>
          <w:tcPr>
            <w:tcW w:w="620" w:type="dxa"/>
            <w:tcBorders>
              <w:top w:val="single" w:color="auto" w:sz="6" w:space="0"/>
              <w:left w:val="single" w:color="auto" w:sz="6" w:space="0"/>
              <w:bottom w:val="single" w:color="auto" w:sz="6" w:space="0"/>
              <w:right w:val="single" w:color="auto" w:sz="6" w:space="0"/>
            </w:tcBorders>
            <w:vAlign w:val="center"/>
          </w:tcPr>
          <w:p>
            <w:pPr>
              <w:pStyle w:val="5"/>
              <w:adjustRightInd w:val="0"/>
              <w:snapToGrid w:val="0"/>
              <w:spacing w:after="0"/>
              <w:ind w:left="0" w:leftChars="0"/>
              <w:jc w:val="left"/>
              <w:rPr>
                <w:rFonts w:ascii="Arial" w:hAnsi="Arial" w:eastAsia="仿宋_GB2312" w:cs="Arial"/>
                <w:szCs w:val="21"/>
              </w:rPr>
            </w:pPr>
          </w:p>
        </w:tc>
        <w:tc>
          <w:tcPr>
            <w:tcW w:w="620" w:type="dxa"/>
            <w:tcBorders>
              <w:top w:val="single" w:color="auto" w:sz="6" w:space="0"/>
              <w:left w:val="single" w:color="auto" w:sz="6" w:space="0"/>
              <w:bottom w:val="single" w:color="auto" w:sz="6" w:space="0"/>
              <w:right w:val="single" w:color="auto" w:sz="6" w:space="0"/>
            </w:tcBorders>
            <w:vAlign w:val="center"/>
          </w:tcPr>
          <w:p>
            <w:pPr>
              <w:pStyle w:val="5"/>
              <w:adjustRightInd w:val="0"/>
              <w:snapToGrid w:val="0"/>
              <w:spacing w:after="0"/>
              <w:ind w:left="0" w:leftChars="0"/>
              <w:jc w:val="center"/>
              <w:rPr>
                <w:rFonts w:ascii="Arial" w:hAnsi="Arial" w:eastAsia="仿宋_GB2312" w:cs="Arial"/>
                <w:szCs w:val="21"/>
              </w:rPr>
            </w:pPr>
          </w:p>
        </w:tc>
        <w:tc>
          <w:tcPr>
            <w:tcW w:w="1349" w:type="dxa"/>
            <w:tcBorders>
              <w:top w:val="single" w:color="auto" w:sz="6" w:space="0"/>
              <w:left w:val="single" w:color="auto" w:sz="6" w:space="0"/>
              <w:bottom w:val="single" w:color="auto" w:sz="6" w:space="0"/>
              <w:right w:val="single" w:color="auto" w:sz="6" w:space="0"/>
            </w:tcBorders>
            <w:vAlign w:val="center"/>
          </w:tcPr>
          <w:p>
            <w:pPr>
              <w:pStyle w:val="5"/>
              <w:adjustRightInd w:val="0"/>
              <w:snapToGrid w:val="0"/>
              <w:spacing w:after="0"/>
              <w:ind w:left="0" w:leftChars="0"/>
              <w:jc w:val="left"/>
              <w:rPr>
                <w:rFonts w:ascii="Arial" w:hAnsi="Arial" w:eastAsia="仿宋_GB2312" w:cs="Arial"/>
                <w:szCs w:val="21"/>
              </w:rPr>
            </w:pPr>
          </w:p>
        </w:tc>
        <w:tc>
          <w:tcPr>
            <w:tcW w:w="937" w:type="dxa"/>
            <w:tcBorders>
              <w:top w:val="single" w:color="auto" w:sz="6" w:space="0"/>
              <w:left w:val="single" w:color="auto" w:sz="6" w:space="0"/>
              <w:bottom w:val="single" w:color="auto" w:sz="6" w:space="0"/>
              <w:right w:val="single" w:color="auto" w:sz="6" w:space="0"/>
            </w:tcBorders>
            <w:vAlign w:val="center"/>
          </w:tcPr>
          <w:p>
            <w:pPr>
              <w:pStyle w:val="5"/>
              <w:adjustRightInd w:val="0"/>
              <w:snapToGrid w:val="0"/>
              <w:spacing w:after="0"/>
              <w:ind w:left="0" w:leftChars="0"/>
              <w:jc w:val="center"/>
              <w:rPr>
                <w:rFonts w:ascii="Arial" w:hAnsi="Arial" w:eastAsia="仿宋_GB2312" w:cs="Arial"/>
                <w:szCs w:val="21"/>
              </w:rPr>
            </w:pPr>
          </w:p>
        </w:tc>
        <w:tc>
          <w:tcPr>
            <w:tcW w:w="709" w:type="dxa"/>
            <w:tcBorders>
              <w:top w:val="single" w:color="auto" w:sz="6" w:space="0"/>
              <w:left w:val="single" w:color="auto" w:sz="6" w:space="0"/>
              <w:bottom w:val="single" w:color="auto" w:sz="6" w:space="0"/>
              <w:right w:val="single" w:color="auto" w:sz="6" w:space="0"/>
            </w:tcBorders>
            <w:vAlign w:val="center"/>
          </w:tcPr>
          <w:p>
            <w:pPr>
              <w:pStyle w:val="5"/>
              <w:adjustRightInd w:val="0"/>
              <w:snapToGrid w:val="0"/>
              <w:spacing w:after="0"/>
              <w:ind w:left="0" w:leftChars="0"/>
              <w:jc w:val="left"/>
              <w:rPr>
                <w:rFonts w:ascii="Arial" w:hAnsi="Arial" w:eastAsia="仿宋_GB2312" w:cs="Arial"/>
                <w:szCs w:val="21"/>
              </w:rPr>
            </w:pPr>
          </w:p>
        </w:tc>
        <w:tc>
          <w:tcPr>
            <w:tcW w:w="2289" w:type="dxa"/>
            <w:tcBorders>
              <w:top w:val="single" w:color="auto" w:sz="6" w:space="0"/>
              <w:left w:val="single" w:color="auto" w:sz="6" w:space="0"/>
              <w:bottom w:val="single" w:color="auto" w:sz="6" w:space="0"/>
              <w:right w:val="single" w:color="auto" w:sz="12" w:space="0"/>
            </w:tcBorders>
            <w:vAlign w:val="center"/>
          </w:tcPr>
          <w:p>
            <w:pPr>
              <w:pStyle w:val="5"/>
              <w:adjustRightInd w:val="0"/>
              <w:snapToGrid w:val="0"/>
              <w:spacing w:after="0"/>
              <w:ind w:left="0" w:leftChars="0"/>
              <w:jc w:val="left"/>
              <w:rPr>
                <w:rFonts w:ascii="Arial" w:hAnsi="Arial" w:eastAsia="仿宋_GB2312"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807" w:hRule="atLeast"/>
          <w:jc w:val="center"/>
        </w:trPr>
        <w:tc>
          <w:tcPr>
            <w:tcW w:w="1334" w:type="dxa"/>
            <w:vMerge w:val="continue"/>
            <w:tcBorders>
              <w:left w:val="single" w:color="auto" w:sz="12" w:space="0"/>
              <w:right w:val="single" w:color="auto" w:sz="6" w:space="0"/>
            </w:tcBorders>
            <w:vAlign w:val="center"/>
          </w:tcPr>
          <w:p>
            <w:pPr>
              <w:widowControl/>
              <w:spacing w:beforeAutospacing="1" w:afterAutospacing="1"/>
              <w:jc w:val="left"/>
              <w:rPr>
                <w:rFonts w:ascii="Arial" w:hAnsi="Arial" w:eastAsia="仿宋_GB2312" w:cs="Arial"/>
                <w:szCs w:val="21"/>
              </w:rPr>
            </w:pPr>
          </w:p>
        </w:tc>
        <w:tc>
          <w:tcPr>
            <w:tcW w:w="7726" w:type="dxa"/>
            <w:gridSpan w:val="7"/>
            <w:tcBorders>
              <w:top w:val="single" w:color="auto" w:sz="6" w:space="0"/>
              <w:left w:val="single" w:color="auto" w:sz="6" w:space="0"/>
              <w:bottom w:val="single" w:color="auto" w:sz="6" w:space="0"/>
              <w:right w:val="single" w:color="auto" w:sz="12" w:space="0"/>
            </w:tcBorders>
            <w:vAlign w:val="center"/>
          </w:tcPr>
          <w:p>
            <w:pPr>
              <w:adjustRightInd w:val="0"/>
              <w:snapToGrid w:val="0"/>
              <w:jc w:val="left"/>
              <w:rPr>
                <w:rFonts w:ascii="Arial" w:hAnsi="Arial" w:eastAsia="黑体" w:cs="Arial"/>
                <w:szCs w:val="21"/>
              </w:rPr>
            </w:pPr>
            <w:r>
              <w:rPr>
                <w:rFonts w:ascii="Arial" w:hAnsi="Arial" w:eastAsia="仿宋_GB2312" w:cs="Arial"/>
                <w:szCs w:val="21"/>
              </w:rPr>
              <w:t>说明：</w:t>
            </w:r>
          </w:p>
          <w:p>
            <w:pPr>
              <w:adjustRightInd w:val="0"/>
              <w:snapToGrid w:val="0"/>
              <w:jc w:val="left"/>
              <w:rPr>
                <w:rFonts w:ascii="Arial" w:hAnsi="Arial" w:eastAsia="仿宋_GB2312"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34" w:hRule="atLeast"/>
          <w:jc w:val="center"/>
        </w:trPr>
        <w:tc>
          <w:tcPr>
            <w:tcW w:w="1334" w:type="dxa"/>
            <w:vMerge w:val="continue"/>
            <w:tcBorders>
              <w:left w:val="single" w:color="auto" w:sz="12" w:space="0"/>
              <w:right w:val="single" w:color="auto" w:sz="6" w:space="0"/>
            </w:tcBorders>
            <w:vAlign w:val="center"/>
          </w:tcPr>
          <w:p>
            <w:pPr>
              <w:widowControl/>
              <w:spacing w:beforeAutospacing="1" w:afterAutospacing="1"/>
              <w:jc w:val="left"/>
              <w:rPr>
                <w:rFonts w:ascii="Arial" w:hAnsi="Arial" w:eastAsia="仿宋_GB2312" w:cs="Arial"/>
                <w:szCs w:val="21"/>
              </w:rPr>
            </w:pPr>
          </w:p>
        </w:tc>
        <w:tc>
          <w:tcPr>
            <w:tcW w:w="1202" w:type="dxa"/>
            <w:tcBorders>
              <w:top w:val="single" w:color="auto" w:sz="6" w:space="0"/>
              <w:left w:val="single" w:color="auto" w:sz="6" w:space="0"/>
              <w:bottom w:val="single" w:color="auto" w:sz="6" w:space="0"/>
              <w:right w:val="single" w:color="auto" w:sz="6" w:space="0"/>
            </w:tcBorders>
            <w:vAlign w:val="center"/>
          </w:tcPr>
          <w:p>
            <w:pPr>
              <w:pStyle w:val="5"/>
              <w:adjustRightInd w:val="0"/>
              <w:snapToGrid w:val="0"/>
              <w:spacing w:after="0"/>
              <w:ind w:left="0" w:leftChars="0"/>
              <w:jc w:val="left"/>
              <w:rPr>
                <w:rFonts w:ascii="Arial" w:hAnsi="Arial" w:eastAsia="仿宋_GB2312" w:cs="Arial"/>
                <w:szCs w:val="21"/>
              </w:rPr>
            </w:pPr>
          </w:p>
        </w:tc>
        <w:tc>
          <w:tcPr>
            <w:tcW w:w="620" w:type="dxa"/>
            <w:tcBorders>
              <w:top w:val="single" w:color="auto" w:sz="6" w:space="0"/>
              <w:left w:val="single" w:color="auto" w:sz="6" w:space="0"/>
              <w:bottom w:val="single" w:color="auto" w:sz="6" w:space="0"/>
              <w:right w:val="single" w:color="auto" w:sz="6" w:space="0"/>
            </w:tcBorders>
            <w:vAlign w:val="center"/>
          </w:tcPr>
          <w:p>
            <w:pPr>
              <w:pStyle w:val="5"/>
              <w:adjustRightInd w:val="0"/>
              <w:snapToGrid w:val="0"/>
              <w:spacing w:after="0"/>
              <w:ind w:left="0" w:leftChars="0"/>
              <w:jc w:val="left"/>
              <w:rPr>
                <w:rFonts w:ascii="Arial" w:hAnsi="Arial" w:eastAsia="仿宋_GB2312" w:cs="Arial"/>
                <w:szCs w:val="21"/>
              </w:rPr>
            </w:pPr>
          </w:p>
        </w:tc>
        <w:tc>
          <w:tcPr>
            <w:tcW w:w="620" w:type="dxa"/>
            <w:tcBorders>
              <w:top w:val="single" w:color="auto" w:sz="6" w:space="0"/>
              <w:left w:val="single" w:color="auto" w:sz="6" w:space="0"/>
              <w:bottom w:val="single" w:color="auto" w:sz="6" w:space="0"/>
              <w:right w:val="single" w:color="auto" w:sz="6" w:space="0"/>
            </w:tcBorders>
            <w:vAlign w:val="center"/>
          </w:tcPr>
          <w:p>
            <w:pPr>
              <w:pStyle w:val="5"/>
              <w:adjustRightInd w:val="0"/>
              <w:snapToGrid w:val="0"/>
              <w:spacing w:after="0"/>
              <w:ind w:left="0" w:leftChars="0"/>
              <w:jc w:val="left"/>
              <w:rPr>
                <w:rFonts w:ascii="Arial" w:hAnsi="Arial" w:eastAsia="仿宋_GB2312" w:cs="Arial"/>
                <w:szCs w:val="21"/>
              </w:rPr>
            </w:pPr>
          </w:p>
        </w:tc>
        <w:tc>
          <w:tcPr>
            <w:tcW w:w="1349" w:type="dxa"/>
            <w:tcBorders>
              <w:top w:val="single" w:color="auto" w:sz="6" w:space="0"/>
              <w:left w:val="single" w:color="auto" w:sz="6" w:space="0"/>
              <w:bottom w:val="single" w:color="auto" w:sz="6" w:space="0"/>
              <w:right w:val="single" w:color="auto" w:sz="6" w:space="0"/>
            </w:tcBorders>
            <w:vAlign w:val="center"/>
          </w:tcPr>
          <w:p>
            <w:pPr>
              <w:pStyle w:val="5"/>
              <w:adjustRightInd w:val="0"/>
              <w:snapToGrid w:val="0"/>
              <w:spacing w:after="0"/>
              <w:ind w:left="0" w:leftChars="0"/>
              <w:jc w:val="left"/>
              <w:rPr>
                <w:rFonts w:ascii="Arial" w:hAnsi="Arial" w:eastAsia="仿宋_GB2312" w:cs="Arial"/>
                <w:szCs w:val="21"/>
              </w:rPr>
            </w:pPr>
          </w:p>
        </w:tc>
        <w:tc>
          <w:tcPr>
            <w:tcW w:w="937" w:type="dxa"/>
            <w:tcBorders>
              <w:top w:val="single" w:color="auto" w:sz="6" w:space="0"/>
              <w:left w:val="single" w:color="auto" w:sz="6" w:space="0"/>
              <w:bottom w:val="single" w:color="auto" w:sz="6" w:space="0"/>
              <w:right w:val="single" w:color="auto" w:sz="6" w:space="0"/>
            </w:tcBorders>
            <w:vAlign w:val="center"/>
          </w:tcPr>
          <w:p>
            <w:pPr>
              <w:pStyle w:val="5"/>
              <w:adjustRightInd w:val="0"/>
              <w:snapToGrid w:val="0"/>
              <w:spacing w:after="0"/>
              <w:ind w:left="0" w:leftChars="0"/>
              <w:jc w:val="left"/>
              <w:rPr>
                <w:rFonts w:ascii="Arial" w:hAnsi="Arial" w:eastAsia="仿宋_GB2312" w:cs="Arial"/>
                <w:szCs w:val="21"/>
              </w:rPr>
            </w:pPr>
          </w:p>
        </w:tc>
        <w:tc>
          <w:tcPr>
            <w:tcW w:w="709" w:type="dxa"/>
            <w:tcBorders>
              <w:top w:val="single" w:color="auto" w:sz="6" w:space="0"/>
              <w:left w:val="single" w:color="auto" w:sz="6" w:space="0"/>
              <w:bottom w:val="single" w:color="auto" w:sz="6" w:space="0"/>
              <w:right w:val="single" w:color="auto" w:sz="6" w:space="0"/>
            </w:tcBorders>
            <w:vAlign w:val="center"/>
          </w:tcPr>
          <w:p>
            <w:pPr>
              <w:pStyle w:val="5"/>
              <w:adjustRightInd w:val="0"/>
              <w:snapToGrid w:val="0"/>
              <w:spacing w:after="0"/>
              <w:ind w:left="0" w:leftChars="0"/>
              <w:jc w:val="left"/>
              <w:rPr>
                <w:rFonts w:ascii="Arial" w:hAnsi="Arial" w:eastAsia="仿宋_GB2312" w:cs="Arial"/>
                <w:szCs w:val="21"/>
              </w:rPr>
            </w:pPr>
          </w:p>
        </w:tc>
        <w:tc>
          <w:tcPr>
            <w:tcW w:w="2289" w:type="dxa"/>
            <w:tcBorders>
              <w:top w:val="single" w:color="auto" w:sz="6" w:space="0"/>
              <w:left w:val="single" w:color="auto" w:sz="6" w:space="0"/>
              <w:bottom w:val="single" w:color="auto" w:sz="6" w:space="0"/>
              <w:right w:val="single" w:color="auto" w:sz="12" w:space="0"/>
            </w:tcBorders>
            <w:vAlign w:val="center"/>
          </w:tcPr>
          <w:p>
            <w:pPr>
              <w:pStyle w:val="5"/>
              <w:adjustRightInd w:val="0"/>
              <w:snapToGrid w:val="0"/>
              <w:spacing w:after="0"/>
              <w:ind w:left="0" w:leftChars="0" w:firstLine="507"/>
              <w:jc w:val="left"/>
              <w:rPr>
                <w:rFonts w:ascii="Arial" w:hAnsi="Arial" w:eastAsia="仿宋_GB2312" w:cs="Arial"/>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34" w:hRule="atLeast"/>
          <w:jc w:val="center"/>
        </w:trPr>
        <w:tc>
          <w:tcPr>
            <w:tcW w:w="1334" w:type="dxa"/>
            <w:vMerge w:val="continue"/>
            <w:tcBorders>
              <w:left w:val="single" w:color="auto" w:sz="12" w:space="0"/>
              <w:bottom w:val="single" w:color="auto" w:sz="12" w:space="0"/>
              <w:right w:val="single" w:color="auto" w:sz="6" w:space="0"/>
            </w:tcBorders>
            <w:vAlign w:val="center"/>
          </w:tcPr>
          <w:p>
            <w:pPr>
              <w:widowControl/>
              <w:spacing w:beforeAutospacing="1" w:afterAutospacing="1"/>
              <w:jc w:val="left"/>
              <w:rPr>
                <w:rFonts w:ascii="Arial" w:hAnsi="Arial" w:eastAsia="仿宋_GB2312" w:cs="Arial"/>
                <w:szCs w:val="21"/>
              </w:rPr>
            </w:pPr>
          </w:p>
        </w:tc>
        <w:tc>
          <w:tcPr>
            <w:tcW w:w="7726" w:type="dxa"/>
            <w:gridSpan w:val="7"/>
            <w:tcBorders>
              <w:top w:val="single" w:color="auto" w:sz="6" w:space="0"/>
              <w:left w:val="single" w:color="auto" w:sz="6" w:space="0"/>
              <w:bottom w:val="single" w:color="auto" w:sz="12" w:space="0"/>
              <w:right w:val="single" w:color="auto" w:sz="12" w:space="0"/>
            </w:tcBorders>
            <w:vAlign w:val="center"/>
          </w:tcPr>
          <w:p>
            <w:pPr>
              <w:pStyle w:val="5"/>
              <w:adjustRightInd w:val="0"/>
              <w:snapToGrid w:val="0"/>
              <w:spacing w:after="0"/>
              <w:ind w:left="0" w:leftChars="0"/>
              <w:jc w:val="left"/>
              <w:rPr>
                <w:rFonts w:ascii="Arial" w:hAnsi="Arial" w:eastAsia="黑体" w:cs="Arial"/>
                <w:szCs w:val="21"/>
              </w:rPr>
            </w:pPr>
            <w:r>
              <w:rPr>
                <w:rFonts w:ascii="Arial" w:hAnsi="Arial" w:eastAsia="仿宋_GB2312" w:cs="Arial"/>
                <w:szCs w:val="21"/>
              </w:rPr>
              <w:t>说明：</w:t>
            </w:r>
          </w:p>
          <w:p>
            <w:pPr>
              <w:pStyle w:val="5"/>
              <w:adjustRightInd w:val="0"/>
              <w:snapToGrid w:val="0"/>
              <w:spacing w:after="0"/>
              <w:ind w:left="0" w:leftChars="0"/>
              <w:jc w:val="left"/>
              <w:rPr>
                <w:rFonts w:ascii="Arial" w:hAnsi="Arial" w:eastAsia="仿宋_GB2312" w:cs="Arial"/>
                <w:szCs w:val="21"/>
              </w:rPr>
            </w:pPr>
          </w:p>
        </w:tc>
      </w:tr>
    </w:tbl>
    <w:p>
      <w:pPr>
        <w:pStyle w:val="5"/>
        <w:spacing w:line="560" w:lineRule="exact"/>
        <w:ind w:left="0" w:leftChars="0"/>
        <w:rPr>
          <w:rFonts w:hint="eastAsia" w:ascii="Arial" w:hAnsi="Arial" w:eastAsia="仿宋_GB2312" w:cs="Arial"/>
          <w:szCs w:val="21"/>
          <w:lang w:val="en-US" w:eastAsia="zh-CN"/>
        </w:rPr>
      </w:pPr>
      <w:r>
        <w:rPr>
          <w:rFonts w:ascii="Arial" w:hAnsi="Arial" w:eastAsia="仿宋_GB2312" w:cs="Arial"/>
          <w:szCs w:val="21"/>
        </w:rPr>
        <w:t>注：“说明”阐述修改的主要内容。</w:t>
      </w:r>
      <w:r>
        <w:rPr>
          <w:rFonts w:hint="eastAsia" w:ascii="Arial" w:hAnsi="Arial" w:eastAsia="仿宋_GB2312" w:cs="Arial"/>
          <w:szCs w:val="21"/>
          <w:lang w:val="en-US" w:eastAsia="zh-CN"/>
        </w:rPr>
        <w:t xml:space="preserve">        </w:t>
      </w:r>
    </w:p>
    <w:p>
      <w:pPr>
        <w:pStyle w:val="5"/>
        <w:spacing w:line="560" w:lineRule="exact"/>
        <w:ind w:left="0" w:leftChars="0"/>
        <w:rPr>
          <w:rFonts w:hint="eastAsia" w:ascii="Arial" w:hAnsi="Arial" w:eastAsia="仿宋_GB2312" w:cs="Arial"/>
          <w:szCs w:val="21"/>
          <w:lang w:val="en-US" w:eastAsia="zh-CN"/>
        </w:rPr>
      </w:pPr>
    </w:p>
    <w:p>
      <w:pPr>
        <w:pStyle w:val="5"/>
        <w:spacing w:line="560" w:lineRule="exact"/>
        <w:ind w:left="0" w:leftChars="0"/>
        <w:rPr>
          <w:rFonts w:hint="eastAsia" w:ascii="Arial" w:hAnsi="Arial" w:eastAsia="仿宋_GB2312" w:cs="Arial"/>
          <w:szCs w:val="21"/>
          <w:lang w:val="en-US" w:eastAsia="zh-CN"/>
        </w:rPr>
      </w:pPr>
    </w:p>
    <w:p>
      <w:pPr>
        <w:pStyle w:val="2"/>
        <w:tabs>
          <w:tab w:val="left" w:pos="3687"/>
        </w:tabs>
        <w:spacing w:line="360" w:lineRule="auto"/>
        <w:jc w:val="left"/>
        <w:rPr>
          <w:rFonts w:hint="eastAsia" w:ascii="仿宋_GB2312" w:hAnsi="仿宋_GB2312" w:eastAsia="仿宋_GB2312" w:cs="仿宋_GB2312"/>
          <w:color w:val="000000"/>
          <w:sz w:val="28"/>
          <w:szCs w:val="24"/>
        </w:rPr>
      </w:pPr>
      <w:r>
        <w:rPr>
          <w:rFonts w:hint="eastAsia" w:ascii="Arial" w:hAnsi="Arial" w:eastAsia="仿宋_GB2312" w:cs="Arial"/>
          <w:szCs w:val="21"/>
          <w:lang w:val="en-US" w:eastAsia="zh-CN"/>
        </w:rPr>
        <w:t xml:space="preserve">             </w:t>
      </w:r>
      <w:r>
        <w:rPr>
          <w:rFonts w:ascii="Arial" w:hAnsi="Arial" w:eastAsia="黑体" w:cs="Arial"/>
          <w:lang w:val="zh-CN"/>
        </w:rPr>
        <w:br w:type="page"/>
      </w:r>
    </w:p>
    <w:p>
      <w:pPr>
        <w:pStyle w:val="2"/>
        <w:spacing w:line="360" w:lineRule="auto"/>
        <w:jc w:val="center"/>
        <w:rPr>
          <w:rFonts w:hint="eastAsia" w:ascii="仿宋_GB2312" w:hAnsi="仿宋_GB2312" w:eastAsia="仿宋_GB2312" w:cs="仿宋_GB2312"/>
          <w:color w:val="000000"/>
          <w:sz w:val="28"/>
          <w:szCs w:val="24"/>
        </w:rPr>
      </w:pPr>
      <w:r>
        <w:rPr>
          <w:rFonts w:hint="eastAsia" w:ascii="仿宋_GB2312" w:hAnsi="仿宋_GB2312" w:eastAsia="仿宋_GB2312" w:cs="仿宋_GB2312"/>
          <w:color w:val="000000"/>
          <w:sz w:val="28"/>
          <w:szCs w:val="24"/>
        </w:rPr>
        <w:t>第一部分 工程范围</w:t>
      </w:r>
      <w:bookmarkEnd w:id="0"/>
    </w:p>
    <w:p>
      <w:pPr>
        <w:spacing w:before="240" w:after="240" w:line="360" w:lineRule="auto"/>
        <w:outlineLvl w:val="1"/>
        <w:rPr>
          <w:rFonts w:hint="eastAsia" w:ascii="仿宋_GB2312" w:hAnsi="仿宋_GB2312" w:eastAsia="仿宋_GB2312" w:cs="仿宋_GB2312"/>
          <w:b/>
          <w:bCs/>
          <w:color w:val="000000"/>
          <w:sz w:val="24"/>
        </w:rPr>
      </w:pPr>
      <w:bookmarkStart w:id="3" w:name="_Toc154327278"/>
      <w:r>
        <w:rPr>
          <w:rFonts w:hint="eastAsia" w:ascii="仿宋_GB2312" w:hAnsi="仿宋_GB2312" w:eastAsia="仿宋_GB2312" w:cs="仿宋_GB2312"/>
          <w:b/>
          <w:bCs/>
          <w:color w:val="000000"/>
          <w:sz w:val="24"/>
        </w:rPr>
        <w:t>一、工程概况</w:t>
      </w:r>
      <w:bookmarkEnd w:id="3"/>
    </w:p>
    <w:p>
      <w:pPr>
        <w:spacing w:line="360" w:lineRule="auto"/>
        <w:ind w:firstLine="540" w:firstLineChars="225"/>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rPr>
        <w:t>项目位于</w:t>
      </w:r>
      <w:r>
        <w:rPr>
          <w:rFonts w:hint="eastAsia" w:ascii="仿宋_GB2312" w:hAnsi="仿宋_GB2312" w:eastAsia="仿宋_GB2312" w:cs="仿宋_GB2312"/>
          <w:color w:val="000000"/>
          <w:sz w:val="24"/>
          <w:lang w:val="en-US" w:eastAsia="zh-CN"/>
        </w:rPr>
        <w:t>绵阳市九洲集团工业园113号厂房</w:t>
      </w:r>
      <w:r>
        <w:rPr>
          <w:rFonts w:hint="eastAsia" w:ascii="仿宋_GB2312" w:hAnsi="仿宋_GB2312" w:eastAsia="仿宋_GB2312" w:cs="仿宋_GB2312"/>
          <w:color w:val="000000"/>
          <w:sz w:val="24"/>
        </w:rPr>
        <w:t>，项目总用地面积约为</w:t>
      </w:r>
      <w:r>
        <w:rPr>
          <w:rFonts w:hint="eastAsia" w:ascii="仿宋_GB2312" w:hAnsi="仿宋_GB2312" w:eastAsia="仿宋_GB2312" w:cs="仿宋_GB2312"/>
          <w:color w:val="000000"/>
          <w:sz w:val="24"/>
          <w:lang w:val="en-US" w:eastAsia="zh-CN"/>
        </w:rPr>
        <w:t>XXX</w:t>
      </w:r>
      <w:r>
        <w:rPr>
          <w:rFonts w:hint="eastAsia" w:ascii="仿宋_GB2312" w:hAnsi="仿宋_GB2312" w:eastAsia="仿宋_GB2312" w:cs="仿宋_GB2312"/>
          <w:color w:val="000000"/>
          <w:sz w:val="24"/>
        </w:rPr>
        <w:t>亩，项目建成达产</w:t>
      </w:r>
      <w:r>
        <w:rPr>
          <w:rFonts w:hint="eastAsia" w:ascii="仿宋_GB2312" w:hAnsi="仿宋_GB2312" w:eastAsia="仿宋_GB2312" w:cs="仿宋_GB2312"/>
          <w:color w:val="000000"/>
          <w:sz w:val="24"/>
          <w:lang w:val="en-US" w:eastAsia="zh-CN"/>
        </w:rPr>
        <w:t>xx</w:t>
      </w:r>
      <w:r>
        <w:rPr>
          <w:rFonts w:hint="eastAsia" w:ascii="仿宋_GB2312" w:hAnsi="仿宋_GB2312" w:eastAsia="仿宋_GB2312" w:cs="仿宋_GB2312"/>
          <w:color w:val="000000"/>
          <w:sz w:val="24"/>
        </w:rPr>
        <w:t>模组。项目包含以下建构筑物：</w:t>
      </w:r>
      <w:r>
        <w:rPr>
          <w:rFonts w:hint="eastAsia" w:ascii="仿宋_GB2312" w:hAnsi="仿宋_GB2312" w:eastAsia="仿宋_GB2312" w:cs="仿宋_GB2312"/>
          <w:color w:val="000000"/>
          <w:sz w:val="24"/>
          <w:lang w:val="en-US" w:eastAsia="zh-CN"/>
        </w:rPr>
        <w:t>113号厂房。</w:t>
      </w:r>
    </w:p>
    <w:p>
      <w:pPr>
        <w:spacing w:before="240" w:after="240" w:line="360" w:lineRule="auto"/>
        <w:outlineLvl w:val="1"/>
        <w:rPr>
          <w:rFonts w:hint="eastAsia" w:ascii="仿宋_GB2312" w:hAnsi="仿宋_GB2312" w:eastAsia="仿宋_GB2312" w:cs="仿宋_GB2312"/>
          <w:b/>
          <w:bCs/>
          <w:color w:val="000000"/>
          <w:sz w:val="24"/>
        </w:rPr>
      </w:pPr>
      <w:bookmarkStart w:id="4" w:name="_Toc154327279"/>
      <w:r>
        <w:rPr>
          <w:rFonts w:hint="eastAsia" w:ascii="仿宋_GB2312" w:hAnsi="仿宋_GB2312" w:eastAsia="仿宋_GB2312" w:cs="仿宋_GB2312"/>
          <w:b/>
          <w:bCs/>
          <w:color w:val="000000"/>
          <w:sz w:val="24"/>
        </w:rPr>
        <w:t>二、工程范围</w:t>
      </w:r>
      <w:bookmarkEnd w:id="4"/>
    </w:p>
    <w:p>
      <w:pPr>
        <w:spacing w:line="360" w:lineRule="auto"/>
        <w:ind w:firstLine="480" w:firstLineChars="200"/>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本次招标范围主要为工厂</w:t>
      </w:r>
      <w:r>
        <w:rPr>
          <w:rFonts w:hint="eastAsia" w:ascii="仿宋_GB2312" w:hAnsi="仿宋_GB2312" w:eastAsia="仿宋_GB2312" w:cs="仿宋_GB2312"/>
          <w:color w:val="000000"/>
          <w:sz w:val="24"/>
          <w:lang w:val="en-US" w:eastAsia="zh-CN"/>
        </w:rPr>
        <w:t>建设动态万级无尘车间、仓库、办公室装修、真空泵系统、CDA系统、HAVC系统、</w:t>
      </w:r>
      <w:r>
        <w:rPr>
          <w:rFonts w:hint="eastAsia" w:ascii="仿宋_GB2312" w:hAnsi="仿宋_GB2312" w:eastAsia="仿宋_GB2312" w:cs="仿宋_GB2312"/>
          <w:color w:val="000000"/>
          <w:sz w:val="24"/>
        </w:rPr>
        <w:t>给排水工程（除污水处理及雨水之外的部分）、电气工程（不含10kV外网及变配电设备、各单体生活办公用辅房配电）、暖通工程、动力工程、消防工程、弱电工程、智能厂务管理系统工程等，以及各</w:t>
      </w:r>
      <w:r>
        <w:rPr>
          <w:rFonts w:hint="eastAsia" w:ascii="仿宋_GB2312" w:hAnsi="仿宋_GB2312" w:eastAsia="仿宋_GB2312" w:cs="仿宋_GB2312"/>
          <w:color w:val="000000"/>
          <w:sz w:val="24"/>
          <w:lang w:val="en-US" w:eastAsia="zh-CN"/>
        </w:rPr>
        <w:t>车间</w:t>
      </w:r>
      <w:r>
        <w:rPr>
          <w:rFonts w:hint="eastAsia" w:ascii="仿宋_GB2312" w:hAnsi="仿宋_GB2312" w:eastAsia="仿宋_GB2312" w:cs="仿宋_GB2312"/>
          <w:color w:val="000000"/>
          <w:sz w:val="24"/>
        </w:rPr>
        <w:t>内配套的</w:t>
      </w:r>
      <w:r>
        <w:rPr>
          <w:rFonts w:hint="eastAsia" w:ascii="仿宋_GB2312" w:hAnsi="仿宋_GB2312" w:eastAsia="仿宋_GB2312" w:cs="仿宋_GB2312"/>
          <w:color w:val="000000"/>
          <w:sz w:val="24"/>
          <w:lang w:val="en-US" w:eastAsia="zh-CN"/>
        </w:rPr>
        <w:t>线槽、插座、网络</w:t>
      </w:r>
      <w:r>
        <w:rPr>
          <w:rFonts w:hint="eastAsia" w:ascii="仿宋_GB2312" w:hAnsi="仿宋_GB2312" w:eastAsia="仿宋_GB2312" w:cs="仿宋_GB2312"/>
          <w:color w:val="000000"/>
          <w:sz w:val="24"/>
        </w:rPr>
        <w:t>，具体工程量以施工蓝图和技术规格书为准，本工程招标工程量清单仅供参考，投标人投标过程中需仔细核实招标人提供的工程量清单，定标后中标人不得以招标工程量清单有错、漏项为由申请追加费用，本项目采用总价包干模式。包含以上招标范围内的设备及材料采购、人工、运输及卸货、安装、调试、验收、质保，以及供</w:t>
      </w:r>
      <w:r>
        <w:rPr>
          <w:rFonts w:hint="eastAsia" w:ascii="仿宋_GB2312" w:hAnsi="仿宋_GB2312" w:eastAsia="仿宋_GB2312" w:cs="仿宋_GB2312"/>
          <w:color w:val="000000"/>
          <w:sz w:val="24"/>
          <w:lang w:val="en-US" w:eastAsia="zh-CN"/>
        </w:rPr>
        <w:t>应</w:t>
      </w:r>
      <w:r>
        <w:rPr>
          <w:rFonts w:hint="eastAsia" w:ascii="仿宋_GB2312" w:hAnsi="仿宋_GB2312" w:eastAsia="仿宋_GB2312" w:cs="仿宋_GB2312"/>
          <w:color w:val="000000"/>
          <w:sz w:val="24"/>
        </w:rPr>
        <w:t>设备制冷机组、空压机、干燥机、制氮机、真空泵、除湿机、组合式空调机组、冷却塔、水泵、风机</w:t>
      </w:r>
      <w:r>
        <w:rPr>
          <w:rFonts w:hint="eastAsia" w:ascii="仿宋_GB2312" w:hAnsi="仿宋_GB2312" w:eastAsia="仿宋_GB2312" w:cs="仿宋_GB2312"/>
          <w:color w:val="000000"/>
          <w:sz w:val="24"/>
          <w:lang w:val="en-US" w:eastAsia="zh-CN"/>
        </w:rPr>
        <w:t>等</w:t>
      </w:r>
      <w:r>
        <w:rPr>
          <w:rFonts w:hint="eastAsia" w:ascii="仿宋_GB2312" w:hAnsi="仿宋_GB2312" w:eastAsia="仿宋_GB2312" w:cs="仿宋_GB2312"/>
          <w:color w:val="000000"/>
          <w:sz w:val="24"/>
        </w:rPr>
        <w:t>的人工、卸货（含卸货用到的机器、工具、辅助器材等）、到货验收（参与协调确认）、转运、保管保护、定位、安装、单机调试配合、组织负责完成系统调试等全部工作。包含需要进行专业深化设计的工作（比如抗震支架、消防系统、自控系统、管线管路布置、施工BIM等，</w:t>
      </w:r>
      <w:r>
        <w:rPr>
          <w:rFonts w:hint="eastAsia" w:ascii="仿宋_GB2312" w:hAnsi="仿宋_GB2312" w:eastAsia="仿宋_GB2312" w:cs="仿宋_GB2312"/>
          <w:b/>
          <w:bCs/>
          <w:color w:val="000000"/>
          <w:sz w:val="24"/>
        </w:rPr>
        <w:t>深化图纸需经招标人人及机电设计单位的确认同意后方可施工），深化设计需达到招标人施工图图纸设计、国家及行业相关标准规范及技术规格书表达的内容、功能及质量要求。并承担本项目施工过程中发生的临电临水等临时能源费用，以及为了完成本项目的施工或验收的相关协调费用，违规或者质量问题而造成的罚款、返工、复检等费用</w:t>
      </w:r>
      <w:r>
        <w:rPr>
          <w:rFonts w:hint="eastAsia" w:ascii="仿宋_GB2312" w:hAnsi="仿宋_GB2312" w:eastAsia="仿宋_GB2312" w:cs="仿宋_GB2312"/>
          <w:color w:val="000000"/>
          <w:sz w:val="24"/>
        </w:rPr>
        <w:t>。</w:t>
      </w:r>
    </w:p>
    <w:p>
      <w:pPr>
        <w:spacing w:line="360" w:lineRule="auto"/>
        <w:ind w:firstLine="540" w:firstLineChars="225"/>
        <w:rPr>
          <w:rFonts w:hint="eastAsia" w:ascii="仿宋_GB2312" w:hAnsi="仿宋_GB2312" w:eastAsia="仿宋_GB2312" w:cs="仿宋_GB2312"/>
          <w:color w:val="000000"/>
          <w:sz w:val="24"/>
          <w:lang w:eastAsia="zh-CN"/>
        </w:rPr>
      </w:pPr>
      <w:r>
        <w:rPr>
          <w:rFonts w:hint="eastAsia" w:ascii="仿宋_GB2312" w:hAnsi="仿宋_GB2312" w:eastAsia="仿宋_GB2312" w:cs="仿宋_GB2312"/>
          <w:color w:val="000000"/>
          <w:sz w:val="24"/>
        </w:rPr>
        <w:t>具体招标内容包括但不限于以下内容（内容只属一般性的概述，中标人须包含工程标准规范、招标文件、施工图纸内的所有工作内容。任何未有详细叙述、设计和显示的工程，如为完成及启动整个工程所需要的工作，亦须包括在此工程范围内）</w:t>
      </w:r>
      <w:r>
        <w:rPr>
          <w:rFonts w:hint="eastAsia" w:ascii="仿宋_GB2312" w:hAnsi="仿宋_GB2312" w:eastAsia="仿宋_GB2312" w:cs="仿宋_GB2312"/>
          <w:color w:val="000000"/>
          <w:sz w:val="24"/>
          <w:lang w:eastAsia="zh-CN"/>
        </w:rPr>
        <w:t>。</w:t>
      </w:r>
    </w:p>
    <w:p>
      <w:pPr>
        <w:spacing w:line="360" w:lineRule="auto"/>
        <w:jc w:val="left"/>
        <w:rPr>
          <w:rFonts w:hint="eastAsia"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所设计满足</w:t>
      </w:r>
      <w:r>
        <w:rPr>
          <w:rFonts w:hint="eastAsia" w:ascii="仿宋_GB2312" w:hAnsi="仿宋_GB2312" w:eastAsia="仿宋_GB2312" w:cs="仿宋_GB2312"/>
          <w:color w:val="000000"/>
          <w:sz w:val="24"/>
        </w:rPr>
        <w:t>GB/T36132绿色工厂评价通则</w:t>
      </w:r>
      <w:r>
        <w:rPr>
          <w:rFonts w:hint="eastAsia" w:ascii="仿宋_GB2312" w:hAnsi="仿宋_GB2312" w:eastAsia="仿宋_GB2312" w:cs="仿宋_GB2312"/>
          <w:color w:val="000000"/>
          <w:sz w:val="24"/>
          <w:lang w:eastAsia="zh-CN"/>
        </w:rPr>
        <w:t>；</w:t>
      </w:r>
      <w:r>
        <w:rPr>
          <w:rFonts w:hint="eastAsia" w:ascii="仿宋_GB2312" w:hAnsi="仿宋_GB2312" w:eastAsia="仿宋_GB2312" w:cs="仿宋_GB2312"/>
          <w:color w:val="000000"/>
          <w:sz w:val="24"/>
          <w:lang w:val="en-US" w:eastAsia="zh-CN"/>
        </w:rPr>
        <w:t>通用设备应符合以下要求：</w:t>
      </w:r>
    </w:p>
    <w:p>
      <w:pPr>
        <w:numPr>
          <w:ilvl w:val="0"/>
          <w:numId w:val="2"/>
        </w:numPr>
        <w:spacing w:line="360" w:lineRule="auto"/>
        <w:ind w:left="420" w:leftChars="0" w:hanging="420" w:firstLineChars="0"/>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适用时，通用设备应采用效率高、能耗低、水耗低、物耗低的产品；</w:t>
      </w:r>
    </w:p>
    <w:p>
      <w:pPr>
        <w:numPr>
          <w:ilvl w:val="0"/>
          <w:numId w:val="2"/>
        </w:numPr>
        <w:spacing w:line="360" w:lineRule="auto"/>
        <w:ind w:left="420" w:leftChars="0" w:hanging="420" w:firstLineChars="0"/>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已命令禁止生产、使用的和能耗高、效率低的设备应禁止使用；</w:t>
      </w:r>
    </w:p>
    <w:p>
      <w:pPr>
        <w:numPr>
          <w:ilvl w:val="0"/>
          <w:numId w:val="2"/>
        </w:numPr>
        <w:spacing w:line="360" w:lineRule="auto"/>
        <w:ind w:left="420" w:leftChars="0" w:hanging="420" w:firstLineChars="0"/>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通用设备或其系统的实际运行效率或主要运行参数应符合该设备经济运行的要求；</w:t>
      </w:r>
    </w:p>
    <w:p>
      <w:pPr>
        <w:spacing w:before="240" w:after="240" w:line="360" w:lineRule="auto"/>
        <w:outlineLvl w:val="1"/>
        <w:rPr>
          <w:rFonts w:hint="eastAsia" w:ascii="仿宋_GB2312" w:hAnsi="仿宋_GB2312" w:eastAsia="仿宋_GB2312" w:cs="仿宋_GB2312"/>
          <w:b/>
          <w:bCs/>
          <w:color w:val="000000"/>
          <w:sz w:val="24"/>
        </w:rPr>
      </w:pPr>
      <w:r>
        <w:rPr>
          <w:rFonts w:hint="eastAsia" w:ascii="仿宋_GB2312" w:hAnsi="仿宋_GB2312" w:eastAsia="仿宋_GB2312" w:cs="仿宋_GB2312"/>
          <w:b/>
          <w:bCs/>
          <w:color w:val="000000"/>
          <w:sz w:val="24"/>
          <w:lang w:val="en-US" w:eastAsia="zh-CN"/>
        </w:rPr>
        <w:t>三、净化间</w:t>
      </w:r>
      <w:r>
        <w:rPr>
          <w:rFonts w:hint="eastAsia" w:ascii="仿宋_GB2312" w:hAnsi="仿宋_GB2312" w:eastAsia="仿宋_GB2312" w:cs="仿宋_GB2312"/>
          <w:b/>
          <w:bCs/>
          <w:color w:val="000000"/>
          <w:sz w:val="24"/>
        </w:rPr>
        <w:t>厂房环境管控规格汇总表</w:t>
      </w:r>
    </w:p>
    <w:p>
      <w:pPr>
        <w:widowControl w:val="0"/>
        <w:topLinePunct w:val="0"/>
        <w:autoSpaceDE w:val="0"/>
        <w:autoSpaceDN w:val="0"/>
        <w:snapToGrid/>
        <w:spacing w:before="0" w:after="0" w:line="360" w:lineRule="exact"/>
        <w:ind w:left="0"/>
        <w:jc w:val="center"/>
        <w:rPr>
          <w:rFonts w:hint="eastAsia" w:ascii="仿宋_GB2312" w:hAnsi="仿宋_GB2312" w:eastAsia="仿宋_GB2312" w:cs="仿宋_GB2312"/>
          <w:kern w:val="0"/>
          <w:sz w:val="18"/>
          <w:szCs w:val="18"/>
        </w:rPr>
      </w:pPr>
      <w:r>
        <w:rPr>
          <w:rFonts w:hint="eastAsia" w:ascii="仿宋_GB2312" w:hAnsi="仿宋_GB2312" w:eastAsia="仿宋_GB2312" w:cs="仿宋_GB2312"/>
          <w:kern w:val="0"/>
          <w:sz w:val="18"/>
          <w:szCs w:val="18"/>
          <w:lang w:val="en-US" w:eastAsia="zh-CN"/>
        </w:rPr>
        <w:t>净化间</w:t>
      </w:r>
      <w:r>
        <w:rPr>
          <w:rFonts w:hint="eastAsia" w:ascii="仿宋_GB2312" w:hAnsi="仿宋_GB2312" w:eastAsia="仿宋_GB2312" w:cs="仿宋_GB2312"/>
          <w:kern w:val="0"/>
          <w:sz w:val="18"/>
          <w:szCs w:val="18"/>
        </w:rPr>
        <w:t>厂房环境管控规格汇总表</w:t>
      </w:r>
    </w:p>
    <w:tbl>
      <w:tblPr>
        <w:tblStyle w:val="10"/>
        <w:tblW w:w="98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7"/>
        <w:gridCol w:w="15"/>
        <w:gridCol w:w="1373"/>
        <w:gridCol w:w="4042"/>
        <w:gridCol w:w="4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1765" w:type="dxa"/>
            <w:gridSpan w:val="3"/>
            <w:vMerge w:val="restart"/>
            <w:vAlign w:val="center"/>
          </w:tcPr>
          <w:p>
            <w:pPr>
              <w:widowControl w:val="0"/>
              <w:topLinePunct w:val="0"/>
              <w:autoSpaceDE w:val="0"/>
              <w:autoSpaceDN w:val="0"/>
              <w:snapToGrid/>
              <w:spacing w:before="0" w:after="0" w:line="240" w:lineRule="auto"/>
              <w:ind w:left="0"/>
              <w:jc w:val="center"/>
              <w:rPr>
                <w:rFonts w:hint="eastAsia" w:ascii="仿宋_GB2312" w:hAnsi="仿宋_GB2312" w:eastAsia="仿宋_GB2312" w:cs="仿宋_GB2312"/>
                <w:b/>
                <w:kern w:val="0"/>
                <w:sz w:val="16"/>
                <w:szCs w:val="16"/>
              </w:rPr>
            </w:pPr>
            <w:r>
              <w:rPr>
                <w:rFonts w:hint="eastAsia" w:ascii="仿宋_GB2312" w:hAnsi="仿宋_GB2312" w:eastAsia="仿宋_GB2312" w:cs="仿宋_GB2312"/>
                <w:b/>
                <w:kern w:val="0"/>
                <w:sz w:val="16"/>
                <w:szCs w:val="16"/>
              </w:rPr>
              <w:t>项目</w:t>
            </w:r>
          </w:p>
        </w:tc>
        <w:tc>
          <w:tcPr>
            <w:tcW w:w="8081" w:type="dxa"/>
            <w:gridSpan w:val="2"/>
            <w:vAlign w:val="center"/>
          </w:tcPr>
          <w:p>
            <w:pPr>
              <w:widowControl w:val="0"/>
              <w:topLinePunct w:val="0"/>
              <w:autoSpaceDE w:val="0"/>
              <w:autoSpaceDN w:val="0"/>
              <w:snapToGrid/>
              <w:spacing w:before="0" w:after="0" w:line="240" w:lineRule="auto"/>
              <w:ind w:left="0"/>
              <w:jc w:val="center"/>
              <w:rPr>
                <w:rFonts w:hint="eastAsia" w:ascii="仿宋_GB2312" w:hAnsi="仿宋_GB2312" w:eastAsia="仿宋_GB2312" w:cs="仿宋_GB2312"/>
                <w:b/>
                <w:kern w:val="0"/>
                <w:sz w:val="16"/>
                <w:szCs w:val="16"/>
              </w:rPr>
            </w:pPr>
            <w:r>
              <w:rPr>
                <w:rFonts w:hint="eastAsia" w:ascii="仿宋_GB2312" w:hAnsi="仿宋_GB2312" w:eastAsia="仿宋_GB2312" w:cs="仿宋_GB2312"/>
                <w:b/>
                <w:kern w:val="0"/>
                <w:sz w:val="16"/>
                <w:szCs w:val="16"/>
                <w:lang w:val="en-US" w:eastAsia="zh-CN"/>
              </w:rPr>
              <w:t>净化间</w:t>
            </w:r>
            <w:r>
              <w:rPr>
                <w:rFonts w:hint="eastAsia" w:ascii="仿宋_GB2312" w:hAnsi="仿宋_GB2312" w:eastAsia="仿宋_GB2312" w:cs="仿宋_GB2312"/>
                <w:b/>
                <w:kern w:val="0"/>
                <w:sz w:val="16"/>
                <w:szCs w:val="16"/>
              </w:rPr>
              <w:t>厂房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1765" w:type="dxa"/>
            <w:gridSpan w:val="3"/>
            <w:vMerge w:val="continue"/>
            <w:vAlign w:val="center"/>
          </w:tcPr>
          <w:p>
            <w:pPr>
              <w:widowControl w:val="0"/>
              <w:topLinePunct w:val="0"/>
              <w:autoSpaceDE w:val="0"/>
              <w:autoSpaceDN w:val="0"/>
              <w:snapToGrid/>
              <w:spacing w:before="0" w:after="0" w:line="240" w:lineRule="auto"/>
              <w:ind w:left="0"/>
              <w:jc w:val="center"/>
              <w:rPr>
                <w:rFonts w:hint="eastAsia" w:ascii="仿宋_GB2312" w:hAnsi="仿宋_GB2312" w:eastAsia="仿宋_GB2312" w:cs="仿宋_GB2312"/>
                <w:b/>
                <w:kern w:val="0"/>
                <w:sz w:val="16"/>
                <w:szCs w:val="16"/>
              </w:rPr>
            </w:pPr>
          </w:p>
        </w:tc>
        <w:tc>
          <w:tcPr>
            <w:tcW w:w="4042" w:type="dxa"/>
            <w:vAlign w:val="center"/>
          </w:tcPr>
          <w:p>
            <w:pPr>
              <w:widowControl w:val="0"/>
              <w:topLinePunct w:val="0"/>
              <w:autoSpaceDE w:val="0"/>
              <w:autoSpaceDN w:val="0"/>
              <w:snapToGrid/>
              <w:spacing w:before="0" w:after="0" w:line="240" w:lineRule="auto"/>
              <w:ind w:left="0"/>
              <w:jc w:val="center"/>
              <w:rPr>
                <w:rFonts w:hint="eastAsia" w:ascii="仿宋_GB2312" w:hAnsi="仿宋_GB2312" w:eastAsia="仿宋_GB2312" w:cs="仿宋_GB2312"/>
                <w:b/>
                <w:kern w:val="0"/>
                <w:sz w:val="16"/>
                <w:szCs w:val="16"/>
              </w:rPr>
            </w:pPr>
            <w:r>
              <w:rPr>
                <w:rFonts w:hint="eastAsia" w:ascii="仿宋_GB2312" w:hAnsi="仿宋_GB2312" w:eastAsia="仿宋_GB2312" w:cs="仿宋_GB2312"/>
                <w:b/>
                <w:kern w:val="0"/>
                <w:sz w:val="16"/>
                <w:szCs w:val="16"/>
              </w:rPr>
              <w:t>生产加工作业区</w:t>
            </w:r>
          </w:p>
        </w:tc>
        <w:tc>
          <w:tcPr>
            <w:tcW w:w="4039" w:type="dxa"/>
            <w:vAlign w:val="center"/>
          </w:tcPr>
          <w:p>
            <w:pPr>
              <w:widowControl w:val="0"/>
              <w:topLinePunct w:val="0"/>
              <w:autoSpaceDE w:val="0"/>
              <w:autoSpaceDN w:val="0"/>
              <w:snapToGrid/>
              <w:spacing w:before="0" w:after="0" w:line="240" w:lineRule="auto"/>
              <w:ind w:left="0"/>
              <w:jc w:val="center"/>
              <w:rPr>
                <w:rFonts w:hint="eastAsia" w:ascii="仿宋_GB2312" w:hAnsi="仿宋_GB2312" w:eastAsia="仿宋_GB2312" w:cs="仿宋_GB2312"/>
                <w:b/>
                <w:kern w:val="0"/>
                <w:sz w:val="16"/>
                <w:szCs w:val="16"/>
              </w:rPr>
            </w:pPr>
            <w:r>
              <w:rPr>
                <w:rFonts w:hint="eastAsia" w:ascii="仿宋_GB2312" w:hAnsi="仿宋_GB2312" w:eastAsia="仿宋_GB2312" w:cs="仿宋_GB2312"/>
                <w:b/>
                <w:kern w:val="0"/>
                <w:sz w:val="16"/>
                <w:szCs w:val="16"/>
              </w:rPr>
              <w:t>功能测试/辅房区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1765" w:type="dxa"/>
            <w:gridSpan w:val="3"/>
            <w:vAlign w:val="center"/>
          </w:tcPr>
          <w:p>
            <w:pPr>
              <w:widowControl w:val="0"/>
              <w:topLinePunct w:val="0"/>
              <w:autoSpaceDE w:val="0"/>
              <w:autoSpaceDN w:val="0"/>
              <w:snapToGrid/>
              <w:spacing w:before="0" w:after="0" w:line="360" w:lineRule="exact"/>
              <w:ind w:left="0"/>
              <w:jc w:val="center"/>
              <w:rPr>
                <w:rFonts w:hint="eastAsia" w:ascii="仿宋_GB2312" w:hAnsi="仿宋_GB2312" w:eastAsia="仿宋_GB2312" w:cs="仿宋_GB2312"/>
                <w:b/>
                <w:kern w:val="0"/>
                <w:sz w:val="16"/>
                <w:szCs w:val="16"/>
              </w:rPr>
            </w:pPr>
            <w:r>
              <w:rPr>
                <w:rFonts w:hint="eastAsia" w:ascii="仿宋_GB2312" w:hAnsi="仿宋_GB2312" w:eastAsia="仿宋_GB2312" w:cs="仿宋_GB2312"/>
                <w:b/>
                <w:kern w:val="0"/>
                <w:sz w:val="16"/>
                <w:szCs w:val="16"/>
              </w:rPr>
              <w:t>温度</w:t>
            </w:r>
            <w:r>
              <w:rPr>
                <w:rFonts w:hint="eastAsia" w:ascii="仿宋_GB2312" w:hAnsi="仿宋_GB2312" w:eastAsia="仿宋_GB2312" w:cs="仿宋_GB2312"/>
                <w:b/>
                <w:kern w:val="0"/>
                <w:sz w:val="16"/>
                <w:szCs w:val="16"/>
                <w:vertAlign w:val="superscript"/>
              </w:rPr>
              <w:t>[1]</w:t>
            </w:r>
            <w:r>
              <w:rPr>
                <w:rFonts w:hint="eastAsia" w:ascii="仿宋_GB2312" w:hAnsi="仿宋_GB2312" w:eastAsia="仿宋_GB2312" w:cs="仿宋_GB2312"/>
                <w:b/>
                <w:kern w:val="0"/>
                <w:sz w:val="16"/>
                <w:szCs w:val="16"/>
              </w:rPr>
              <w:t>(℃)</w:t>
            </w:r>
          </w:p>
        </w:tc>
        <w:tc>
          <w:tcPr>
            <w:tcW w:w="4042" w:type="dxa"/>
            <w:vAlign w:val="center"/>
          </w:tcPr>
          <w:p>
            <w:pPr>
              <w:spacing w:before="0" w:after="0" w:line="360" w:lineRule="auto"/>
              <w:ind w:left="0"/>
              <w:jc w:val="center"/>
              <w:rPr>
                <w:rFonts w:hint="eastAsia" w:ascii="仿宋_GB2312" w:hAnsi="仿宋_GB2312" w:eastAsia="仿宋_GB2312" w:cs="仿宋_GB2312"/>
                <w:sz w:val="16"/>
                <w:szCs w:val="16"/>
              </w:rPr>
            </w:pPr>
            <w:r>
              <w:rPr>
                <w:rFonts w:hint="eastAsia" w:ascii="仿宋_GB2312" w:hAnsi="仿宋_GB2312" w:eastAsia="仿宋_GB2312" w:cs="仿宋_GB2312"/>
                <w:sz w:val="16"/>
                <w:szCs w:val="16"/>
              </w:rPr>
              <w:t>23±2</w:t>
            </w:r>
          </w:p>
        </w:tc>
        <w:tc>
          <w:tcPr>
            <w:tcW w:w="4039" w:type="dxa"/>
            <w:vAlign w:val="center"/>
          </w:tcPr>
          <w:p>
            <w:pPr>
              <w:spacing w:before="0" w:after="0" w:line="360" w:lineRule="auto"/>
              <w:ind w:left="0"/>
              <w:jc w:val="center"/>
              <w:rPr>
                <w:rFonts w:hint="eastAsia" w:ascii="仿宋_GB2312" w:hAnsi="仿宋_GB2312" w:eastAsia="仿宋_GB2312" w:cs="仿宋_GB2312"/>
                <w:sz w:val="16"/>
                <w:szCs w:val="16"/>
              </w:rPr>
            </w:pPr>
            <w:r>
              <w:rPr>
                <w:rFonts w:hint="eastAsia" w:ascii="仿宋_GB2312" w:hAnsi="仿宋_GB2312" w:eastAsia="仿宋_GB2312" w:cs="仿宋_GB2312"/>
                <w:sz w:val="16"/>
                <w:szCs w:val="16"/>
              </w:rPr>
              <w:t>23±2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1765" w:type="dxa"/>
            <w:gridSpan w:val="3"/>
            <w:vAlign w:val="center"/>
          </w:tcPr>
          <w:p>
            <w:pPr>
              <w:widowControl w:val="0"/>
              <w:topLinePunct w:val="0"/>
              <w:autoSpaceDE w:val="0"/>
              <w:autoSpaceDN w:val="0"/>
              <w:snapToGrid/>
              <w:spacing w:before="0" w:after="0" w:line="360" w:lineRule="exact"/>
              <w:ind w:left="0"/>
              <w:jc w:val="center"/>
              <w:rPr>
                <w:rFonts w:hint="eastAsia" w:ascii="仿宋_GB2312" w:hAnsi="仿宋_GB2312" w:eastAsia="仿宋_GB2312" w:cs="仿宋_GB2312"/>
                <w:b/>
                <w:kern w:val="0"/>
                <w:sz w:val="16"/>
                <w:szCs w:val="16"/>
              </w:rPr>
            </w:pPr>
            <w:r>
              <w:rPr>
                <w:rFonts w:hint="eastAsia" w:ascii="仿宋_GB2312" w:hAnsi="仿宋_GB2312" w:eastAsia="仿宋_GB2312" w:cs="仿宋_GB2312"/>
                <w:b/>
                <w:kern w:val="0"/>
                <w:sz w:val="16"/>
                <w:szCs w:val="16"/>
              </w:rPr>
              <w:t>相对湿度</w:t>
            </w:r>
            <w:r>
              <w:rPr>
                <w:rFonts w:hint="eastAsia" w:ascii="仿宋_GB2312" w:hAnsi="仿宋_GB2312" w:eastAsia="仿宋_GB2312" w:cs="仿宋_GB2312"/>
                <w:b/>
                <w:kern w:val="0"/>
                <w:sz w:val="16"/>
                <w:szCs w:val="16"/>
                <w:vertAlign w:val="superscript"/>
              </w:rPr>
              <w:t>[1]</w:t>
            </w:r>
            <w:r>
              <w:rPr>
                <w:rFonts w:hint="eastAsia" w:ascii="仿宋_GB2312" w:hAnsi="仿宋_GB2312" w:eastAsia="仿宋_GB2312" w:cs="仿宋_GB2312"/>
                <w:b/>
                <w:kern w:val="0"/>
                <w:sz w:val="16"/>
                <w:szCs w:val="16"/>
              </w:rPr>
              <w:t>(%RH)</w:t>
            </w:r>
          </w:p>
        </w:tc>
        <w:tc>
          <w:tcPr>
            <w:tcW w:w="4042" w:type="dxa"/>
            <w:vAlign w:val="center"/>
          </w:tcPr>
          <w:p>
            <w:pPr>
              <w:spacing w:before="0" w:after="0" w:line="360" w:lineRule="auto"/>
              <w:ind w:left="0"/>
              <w:jc w:val="center"/>
              <w:rPr>
                <w:rFonts w:hint="default" w:ascii="仿宋_GB2312" w:hAnsi="仿宋_GB2312" w:eastAsia="仿宋_GB2312" w:cs="仿宋_GB2312"/>
                <w:sz w:val="16"/>
                <w:szCs w:val="16"/>
                <w:lang w:val="en-US" w:eastAsia="zh-CN"/>
              </w:rPr>
            </w:pPr>
            <w:r>
              <w:rPr>
                <w:rFonts w:hint="eastAsia" w:ascii="仿宋_GB2312" w:hAnsi="仿宋_GB2312" w:eastAsia="仿宋_GB2312" w:cs="仿宋_GB2312"/>
                <w:sz w:val="16"/>
                <w:szCs w:val="16"/>
                <w:lang w:val="en-US" w:eastAsia="zh-CN"/>
              </w:rPr>
              <w:t>45</w:t>
            </w:r>
            <w:r>
              <w:rPr>
                <w:rFonts w:hint="eastAsia" w:ascii="仿宋_GB2312" w:hAnsi="仿宋_GB2312" w:eastAsia="仿宋_GB2312" w:cs="仿宋_GB2312"/>
                <w:sz w:val="16"/>
                <w:szCs w:val="16"/>
              </w:rPr>
              <w:t>～75</w:t>
            </w:r>
          </w:p>
        </w:tc>
        <w:tc>
          <w:tcPr>
            <w:tcW w:w="4039" w:type="dxa"/>
            <w:vAlign w:val="center"/>
          </w:tcPr>
          <w:p>
            <w:pPr>
              <w:spacing w:before="0" w:after="0" w:line="360" w:lineRule="auto"/>
              <w:ind w:left="0"/>
              <w:jc w:val="center"/>
              <w:rPr>
                <w:rFonts w:hint="eastAsia" w:ascii="仿宋_GB2312" w:hAnsi="仿宋_GB2312" w:eastAsia="仿宋_GB2312" w:cs="仿宋_GB2312"/>
                <w:sz w:val="16"/>
                <w:szCs w:val="16"/>
              </w:rPr>
            </w:pPr>
            <w:r>
              <w:rPr>
                <w:rFonts w:hint="eastAsia" w:ascii="仿宋_GB2312" w:hAnsi="仿宋_GB2312" w:eastAsia="仿宋_GB2312" w:cs="仿宋_GB2312"/>
                <w:sz w:val="16"/>
                <w:szCs w:val="16"/>
                <w:lang w:val="en-US" w:eastAsia="zh-CN"/>
              </w:rPr>
              <w:t>45</w:t>
            </w:r>
            <w:r>
              <w:rPr>
                <w:rFonts w:hint="eastAsia" w:ascii="仿宋_GB2312" w:hAnsi="仿宋_GB2312" w:eastAsia="仿宋_GB2312" w:cs="仿宋_GB2312"/>
                <w:sz w:val="16"/>
                <w:szCs w:val="16"/>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1765" w:type="dxa"/>
            <w:gridSpan w:val="3"/>
            <w:vAlign w:val="center"/>
          </w:tcPr>
          <w:p>
            <w:pPr>
              <w:widowControl w:val="0"/>
              <w:topLinePunct w:val="0"/>
              <w:autoSpaceDE w:val="0"/>
              <w:autoSpaceDN w:val="0"/>
              <w:snapToGrid/>
              <w:spacing w:before="0" w:after="0" w:line="360" w:lineRule="exact"/>
              <w:ind w:left="0"/>
              <w:jc w:val="center"/>
              <w:rPr>
                <w:rFonts w:hint="eastAsia" w:ascii="仿宋_GB2312" w:hAnsi="仿宋_GB2312" w:eastAsia="仿宋_GB2312" w:cs="仿宋_GB2312"/>
                <w:b/>
                <w:kern w:val="0"/>
                <w:sz w:val="16"/>
                <w:szCs w:val="16"/>
                <w:vertAlign w:val="superscript"/>
              </w:rPr>
            </w:pPr>
            <w:r>
              <w:rPr>
                <w:rFonts w:hint="eastAsia" w:ascii="仿宋_GB2312" w:hAnsi="仿宋_GB2312" w:eastAsia="仿宋_GB2312" w:cs="仿宋_GB2312"/>
                <w:b/>
                <w:kern w:val="0"/>
                <w:sz w:val="16"/>
                <w:szCs w:val="16"/>
              </w:rPr>
              <w:t>洁净度</w:t>
            </w:r>
            <w:r>
              <w:rPr>
                <w:rFonts w:hint="eastAsia" w:ascii="仿宋_GB2312" w:hAnsi="仿宋_GB2312" w:eastAsia="仿宋_GB2312" w:cs="仿宋_GB2312"/>
                <w:b/>
                <w:kern w:val="0"/>
                <w:sz w:val="16"/>
                <w:szCs w:val="16"/>
                <w:vertAlign w:val="superscript"/>
              </w:rPr>
              <w:t>[4]</w:t>
            </w:r>
          </w:p>
        </w:tc>
        <w:tc>
          <w:tcPr>
            <w:tcW w:w="4042" w:type="dxa"/>
            <w:vAlign w:val="center"/>
          </w:tcPr>
          <w:p>
            <w:pPr>
              <w:spacing w:before="0" w:after="0" w:line="360" w:lineRule="auto"/>
              <w:ind w:left="0"/>
              <w:jc w:val="center"/>
              <w:rPr>
                <w:rFonts w:hint="eastAsia" w:ascii="仿宋_GB2312" w:hAnsi="仿宋_GB2312" w:eastAsia="仿宋_GB2312" w:cs="仿宋_GB2312"/>
                <w:sz w:val="16"/>
                <w:szCs w:val="16"/>
              </w:rPr>
            </w:pPr>
            <w:r>
              <w:rPr>
                <w:rFonts w:hint="eastAsia" w:ascii="仿宋_GB2312" w:hAnsi="仿宋_GB2312" w:eastAsia="仿宋_GB2312" w:cs="仿宋_GB2312"/>
                <w:sz w:val="16"/>
                <w:szCs w:val="16"/>
                <w:lang w:val="en-US" w:eastAsia="zh-CN"/>
              </w:rPr>
              <w:t>动态</w:t>
            </w:r>
            <w:r>
              <w:rPr>
                <w:rFonts w:hint="eastAsia" w:ascii="仿宋_GB2312" w:hAnsi="仿宋_GB2312" w:eastAsia="仿宋_GB2312" w:cs="仿宋_GB2312"/>
                <w:sz w:val="16"/>
                <w:szCs w:val="16"/>
              </w:rPr>
              <w:t>万级</w:t>
            </w:r>
          </w:p>
        </w:tc>
        <w:tc>
          <w:tcPr>
            <w:tcW w:w="4039" w:type="dxa"/>
            <w:vAlign w:val="center"/>
          </w:tcPr>
          <w:p>
            <w:pPr>
              <w:spacing w:before="0" w:after="0" w:line="360" w:lineRule="auto"/>
              <w:ind w:left="0"/>
              <w:jc w:val="center"/>
              <w:rPr>
                <w:rFonts w:hint="eastAsia" w:ascii="仿宋_GB2312" w:hAnsi="仿宋_GB2312" w:eastAsia="仿宋_GB2312" w:cs="仿宋_GB2312"/>
                <w:sz w:val="16"/>
                <w:szCs w:val="16"/>
              </w:rPr>
            </w:pPr>
            <w:r>
              <w:rPr>
                <w:rFonts w:hint="eastAsia" w:ascii="仿宋_GB2312" w:hAnsi="仿宋_GB2312" w:eastAsia="仿宋_GB2312" w:cs="仿宋_GB2312"/>
                <w:sz w:val="16"/>
                <w:szCs w:val="16"/>
              </w:rPr>
              <w:t>与相应生产区域相同（非完整包装</w:t>
            </w:r>
            <w:r>
              <w:rPr>
                <w:rFonts w:hint="eastAsia" w:ascii="仿宋_GB2312" w:hAnsi="仿宋_GB2312" w:eastAsia="仿宋_GB2312" w:cs="仿宋_GB2312"/>
                <w:sz w:val="16"/>
                <w:szCs w:val="16"/>
                <w:vertAlign w:val="superscript"/>
              </w:rPr>
              <w:t>[2]</w:t>
            </w:r>
            <w:r>
              <w:rPr>
                <w:rFonts w:hint="eastAsia" w:ascii="仿宋_GB2312" w:hAnsi="仿宋_GB2312" w:eastAsia="仿宋_GB2312" w:cs="仿宋_GB2312"/>
                <w:sz w:val="16"/>
                <w:szCs w:val="16"/>
              </w:rPr>
              <w:t>）</w:t>
            </w:r>
          </w:p>
          <w:p>
            <w:pPr>
              <w:spacing w:before="0" w:after="0" w:line="360" w:lineRule="auto"/>
              <w:ind w:left="0"/>
              <w:jc w:val="center"/>
              <w:rPr>
                <w:rFonts w:hint="eastAsia" w:ascii="仿宋_GB2312" w:hAnsi="仿宋_GB2312" w:eastAsia="仿宋_GB2312" w:cs="仿宋_GB2312"/>
                <w:sz w:val="16"/>
                <w:szCs w:val="16"/>
                <w:vertAlign w:val="superscript"/>
              </w:rPr>
            </w:pPr>
            <w:r>
              <w:rPr>
                <w:rFonts w:hint="eastAsia" w:ascii="仿宋_GB2312" w:hAnsi="仿宋_GB2312" w:eastAsia="仿宋_GB2312" w:cs="仿宋_GB2312"/>
                <w:sz w:val="16"/>
                <w:szCs w:val="16"/>
              </w:rPr>
              <w:t>N/A（完整包装</w:t>
            </w:r>
            <w:r>
              <w:rPr>
                <w:rFonts w:hint="eastAsia" w:ascii="仿宋_GB2312" w:hAnsi="仿宋_GB2312" w:eastAsia="仿宋_GB2312" w:cs="仿宋_GB2312"/>
                <w:sz w:val="16"/>
                <w:szCs w:val="16"/>
                <w:vertAlign w:val="superscript"/>
              </w:rPr>
              <w:t>[3]</w:t>
            </w:r>
            <w:r>
              <w:rPr>
                <w:rFonts w:hint="eastAsia" w:ascii="仿宋_GB2312" w:hAnsi="仿宋_GB2312" w:eastAsia="仿宋_GB2312" w:cs="仿宋_GB2312"/>
                <w:sz w:val="16"/>
                <w:szCs w:val="16"/>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1765" w:type="dxa"/>
            <w:gridSpan w:val="3"/>
            <w:vAlign w:val="center"/>
          </w:tcPr>
          <w:p>
            <w:pPr>
              <w:widowControl w:val="0"/>
              <w:topLinePunct w:val="0"/>
              <w:autoSpaceDE w:val="0"/>
              <w:autoSpaceDN w:val="0"/>
              <w:snapToGrid/>
              <w:spacing w:before="0" w:after="0" w:line="360" w:lineRule="exact"/>
              <w:ind w:left="0"/>
              <w:jc w:val="center"/>
              <w:rPr>
                <w:rFonts w:hint="eastAsia" w:ascii="仿宋_GB2312" w:hAnsi="仿宋_GB2312" w:eastAsia="仿宋_GB2312" w:cs="仿宋_GB2312"/>
                <w:b/>
                <w:kern w:val="0"/>
                <w:sz w:val="16"/>
                <w:szCs w:val="16"/>
              </w:rPr>
            </w:pPr>
            <w:r>
              <w:rPr>
                <w:rFonts w:hint="eastAsia" w:ascii="仿宋_GB2312" w:hAnsi="仿宋_GB2312" w:eastAsia="仿宋_GB2312" w:cs="仿宋_GB2312"/>
                <w:b/>
                <w:kern w:val="0"/>
                <w:sz w:val="16"/>
                <w:szCs w:val="16"/>
              </w:rPr>
              <w:t>ESD环境</w:t>
            </w:r>
          </w:p>
        </w:tc>
        <w:tc>
          <w:tcPr>
            <w:tcW w:w="4042" w:type="dxa"/>
            <w:vAlign w:val="center"/>
          </w:tcPr>
          <w:p>
            <w:pPr>
              <w:spacing w:before="0" w:after="0" w:line="360" w:lineRule="auto"/>
              <w:ind w:left="0"/>
              <w:jc w:val="center"/>
              <w:rPr>
                <w:rFonts w:hint="eastAsia" w:ascii="仿宋_GB2312" w:hAnsi="仿宋_GB2312" w:eastAsia="仿宋_GB2312" w:cs="仿宋_GB2312"/>
                <w:color w:val="000000" w:themeColor="text1"/>
                <w:sz w:val="16"/>
                <w:szCs w:val="16"/>
                <w14:textFill>
                  <w14:solidFill>
                    <w14:schemeClr w14:val="tx1"/>
                  </w14:solidFill>
                </w14:textFill>
              </w:rPr>
            </w:pPr>
            <w:r>
              <w:rPr>
                <w:rFonts w:hint="eastAsia" w:ascii="仿宋_GB2312" w:hAnsi="仿宋_GB2312" w:eastAsia="仿宋_GB2312" w:cs="仿宋_GB2312"/>
                <w:color w:val="000000" w:themeColor="text1"/>
                <w:sz w:val="16"/>
                <w:szCs w:val="16"/>
                <w14:textFill>
                  <w14:solidFill>
                    <w14:schemeClr w14:val="tx1"/>
                  </w14:solidFill>
                </w14:textFill>
              </w:rPr>
              <w:t xml:space="preserve">特级EPA：HBM 50V，CDM 100V；  </w:t>
            </w:r>
          </w:p>
          <w:p>
            <w:pPr>
              <w:spacing w:before="0" w:after="0" w:line="360" w:lineRule="auto"/>
              <w:ind w:left="0"/>
              <w:jc w:val="center"/>
              <w:rPr>
                <w:rFonts w:hint="eastAsia" w:ascii="仿宋_GB2312" w:hAnsi="仿宋_GB2312" w:eastAsia="仿宋_GB2312" w:cs="仿宋_GB2312"/>
                <w:color w:val="000000" w:themeColor="text1"/>
                <w:sz w:val="16"/>
                <w:szCs w:val="16"/>
                <w14:textFill>
                  <w14:solidFill>
                    <w14:schemeClr w14:val="tx1"/>
                  </w14:solidFill>
                </w14:textFill>
              </w:rPr>
            </w:pPr>
            <w:r>
              <w:rPr>
                <w:rFonts w:hint="eastAsia" w:ascii="仿宋_GB2312" w:hAnsi="仿宋_GB2312" w:eastAsia="仿宋_GB2312" w:cs="仿宋_GB2312"/>
                <w:color w:val="000000" w:themeColor="text1"/>
                <w:sz w:val="16"/>
                <w:szCs w:val="16"/>
                <w14:textFill>
                  <w14:solidFill>
                    <w14:schemeClr w14:val="tx1"/>
                  </w14:solidFill>
                </w14:textFill>
              </w:rPr>
              <w:t>接地母线与大地之间电阻：＜4Ω</w:t>
            </w:r>
          </w:p>
          <w:p>
            <w:pPr>
              <w:spacing w:before="0" w:after="0" w:line="360" w:lineRule="auto"/>
              <w:ind w:left="0"/>
              <w:jc w:val="center"/>
              <w:rPr>
                <w:rFonts w:hint="eastAsia" w:ascii="仿宋_GB2312" w:hAnsi="仿宋_GB2312" w:eastAsia="仿宋_GB2312" w:cs="仿宋_GB2312"/>
                <w:color w:val="000000" w:themeColor="text1"/>
                <w:sz w:val="16"/>
                <w:szCs w:val="16"/>
                <w14:textFill>
                  <w14:solidFill>
                    <w14:schemeClr w14:val="tx1"/>
                  </w14:solidFill>
                </w14:textFill>
              </w:rPr>
            </w:pPr>
            <w:r>
              <w:rPr>
                <w:rFonts w:hint="eastAsia" w:ascii="仿宋_GB2312" w:hAnsi="仿宋_GB2312" w:eastAsia="仿宋_GB2312" w:cs="仿宋_GB2312"/>
                <w:color w:val="000000" w:themeColor="text1"/>
                <w:sz w:val="16"/>
                <w:szCs w:val="16"/>
                <w14:textFill>
                  <w14:solidFill>
                    <w14:schemeClr w14:val="tx1"/>
                  </w14:solidFill>
                </w14:textFill>
              </w:rPr>
              <w:t>地板表面&amp;接地电阻：</w:t>
            </w:r>
            <w:r>
              <w:rPr>
                <w:rFonts w:hint="eastAsia" w:ascii="仿宋_GB2312" w:hAnsi="仿宋_GB2312" w:eastAsia="仿宋_GB2312" w:cs="仿宋_GB2312"/>
                <w:kern w:val="0"/>
                <w:sz w:val="16"/>
                <w:szCs w:val="16"/>
              </w:rPr>
              <w:t>1.0×10</w:t>
            </w:r>
            <w:r>
              <w:rPr>
                <w:rFonts w:hint="eastAsia" w:ascii="仿宋_GB2312" w:hAnsi="仿宋_GB2312" w:eastAsia="仿宋_GB2312" w:cs="仿宋_GB2312"/>
                <w:kern w:val="0"/>
                <w:sz w:val="16"/>
                <w:szCs w:val="16"/>
                <w:vertAlign w:val="superscript"/>
              </w:rPr>
              <w:t>4</w:t>
            </w:r>
            <w:r>
              <w:rPr>
                <w:rFonts w:hint="eastAsia" w:ascii="仿宋_GB2312" w:hAnsi="仿宋_GB2312" w:eastAsia="仿宋_GB2312" w:cs="仿宋_GB2312"/>
                <w:kern w:val="0"/>
                <w:sz w:val="18"/>
                <w:szCs w:val="16"/>
              </w:rPr>
              <w:t>~</w:t>
            </w:r>
            <w:r>
              <w:rPr>
                <w:rFonts w:hint="eastAsia" w:ascii="仿宋_GB2312" w:hAnsi="仿宋_GB2312" w:eastAsia="仿宋_GB2312" w:cs="仿宋_GB2312"/>
                <w:color w:val="000000" w:themeColor="text1"/>
                <w:sz w:val="16"/>
                <w:szCs w:val="16"/>
                <w14:textFill>
                  <w14:solidFill>
                    <w14:schemeClr w14:val="tx1"/>
                  </w14:solidFill>
                </w14:textFill>
              </w:rPr>
              <w:t>1.0×10</w:t>
            </w:r>
            <w:r>
              <w:rPr>
                <w:rFonts w:hint="eastAsia" w:ascii="仿宋_GB2312" w:hAnsi="仿宋_GB2312" w:eastAsia="仿宋_GB2312" w:cs="仿宋_GB2312"/>
                <w:color w:val="000000" w:themeColor="text1"/>
                <w:sz w:val="16"/>
                <w:szCs w:val="16"/>
                <w:vertAlign w:val="superscript"/>
                <w14:textFill>
                  <w14:solidFill>
                    <w14:schemeClr w14:val="tx1"/>
                  </w14:solidFill>
                </w14:textFill>
              </w:rPr>
              <w:t>7</w:t>
            </w:r>
            <w:r>
              <w:rPr>
                <w:rFonts w:hint="eastAsia" w:ascii="仿宋_GB2312" w:hAnsi="仿宋_GB2312" w:eastAsia="仿宋_GB2312" w:cs="仿宋_GB2312"/>
                <w:color w:val="000000" w:themeColor="text1"/>
                <w:sz w:val="16"/>
                <w:szCs w:val="16"/>
                <w14:textFill>
                  <w14:solidFill>
                    <w14:schemeClr w14:val="tx1"/>
                  </w14:solidFill>
                </w14:textFill>
              </w:rPr>
              <w:t>欧；</w:t>
            </w:r>
          </w:p>
          <w:p>
            <w:pPr>
              <w:spacing w:before="0" w:after="0" w:line="360" w:lineRule="auto"/>
              <w:ind w:left="0"/>
              <w:jc w:val="center"/>
              <w:rPr>
                <w:rFonts w:hint="eastAsia" w:ascii="仿宋_GB2312" w:hAnsi="仿宋_GB2312" w:eastAsia="仿宋_GB2312" w:cs="仿宋_GB2312"/>
                <w:color w:val="000000" w:themeColor="text1"/>
                <w:sz w:val="16"/>
                <w:szCs w:val="16"/>
                <w14:textFill>
                  <w14:solidFill>
                    <w14:schemeClr w14:val="tx1"/>
                  </w14:solidFill>
                </w14:textFill>
              </w:rPr>
            </w:pPr>
            <w:r>
              <w:rPr>
                <w:rFonts w:hint="eastAsia" w:ascii="仿宋_GB2312" w:hAnsi="仿宋_GB2312" w:eastAsia="仿宋_GB2312" w:cs="仿宋_GB2312"/>
                <w:color w:val="000000" w:themeColor="text1"/>
                <w:sz w:val="16"/>
                <w:szCs w:val="16"/>
                <w14:textFill>
                  <w14:solidFill>
                    <w14:schemeClr w14:val="tx1"/>
                  </w14:solidFill>
                </w14:textFill>
              </w:rPr>
              <w:t>人体</w:t>
            </w:r>
            <w:r>
              <w:rPr>
                <w:rFonts w:hint="eastAsia" w:ascii="仿宋_GB2312" w:hAnsi="仿宋_GB2312" w:eastAsia="仿宋_GB2312" w:cs="仿宋_GB2312"/>
                <w:color w:val="000000" w:themeColor="text1"/>
                <w:sz w:val="16"/>
                <w:szCs w:val="16"/>
                <w:lang w:val="en-US" w:eastAsia="zh-CN"/>
                <w14:textFill>
                  <w14:solidFill>
                    <w14:schemeClr w14:val="tx1"/>
                  </w14:solidFill>
                </w14:textFill>
              </w:rPr>
              <w:t>行</w:t>
            </w:r>
            <w:r>
              <w:rPr>
                <w:rFonts w:hint="eastAsia" w:ascii="仿宋_GB2312" w:hAnsi="仿宋_GB2312" w:eastAsia="仿宋_GB2312" w:cs="仿宋_GB2312"/>
                <w:color w:val="000000" w:themeColor="text1"/>
                <w:sz w:val="16"/>
                <w:szCs w:val="16"/>
                <w14:textFill>
                  <w14:solidFill>
                    <w14:schemeClr w14:val="tx1"/>
                  </w14:solidFill>
                </w14:textFill>
              </w:rPr>
              <w:t>走电压：&lt;50V</w:t>
            </w:r>
          </w:p>
        </w:tc>
        <w:tc>
          <w:tcPr>
            <w:tcW w:w="4039" w:type="dxa"/>
            <w:vAlign w:val="center"/>
          </w:tcPr>
          <w:p>
            <w:pPr>
              <w:spacing w:before="0" w:after="0" w:line="360" w:lineRule="auto"/>
              <w:ind w:left="0"/>
              <w:jc w:val="center"/>
              <w:rPr>
                <w:rFonts w:hint="eastAsia" w:ascii="仿宋_GB2312" w:hAnsi="仿宋_GB2312" w:eastAsia="仿宋_GB2312" w:cs="仿宋_GB2312"/>
                <w:color w:val="000000" w:themeColor="text1"/>
                <w:sz w:val="16"/>
                <w:szCs w:val="16"/>
                <w14:textFill>
                  <w14:solidFill>
                    <w14:schemeClr w14:val="tx1"/>
                  </w14:solidFill>
                </w14:textFill>
              </w:rPr>
            </w:pPr>
            <w:r>
              <w:rPr>
                <w:rFonts w:hint="eastAsia" w:ascii="仿宋_GB2312" w:hAnsi="仿宋_GB2312" w:eastAsia="仿宋_GB2312" w:cs="仿宋_GB2312"/>
                <w:color w:val="000000" w:themeColor="text1"/>
                <w:sz w:val="16"/>
                <w:szCs w:val="16"/>
                <w14:textFill>
                  <w14:solidFill>
                    <w14:schemeClr w14:val="tx1"/>
                  </w14:solidFill>
                </w14:textFill>
              </w:rPr>
              <w:t>非EPA（完整包装</w:t>
            </w:r>
            <w:r>
              <w:rPr>
                <w:rFonts w:hint="eastAsia" w:ascii="仿宋_GB2312" w:hAnsi="仿宋_GB2312" w:eastAsia="仿宋_GB2312" w:cs="仿宋_GB2312"/>
                <w:color w:val="000000" w:themeColor="text1"/>
                <w:sz w:val="16"/>
                <w:szCs w:val="16"/>
                <w:vertAlign w:val="superscript"/>
                <w14:textFill>
                  <w14:solidFill>
                    <w14:schemeClr w14:val="tx1"/>
                  </w14:solidFill>
                </w14:textFill>
              </w:rPr>
              <w:t>[3]</w:t>
            </w:r>
            <w:r>
              <w:rPr>
                <w:rFonts w:hint="eastAsia" w:ascii="仿宋_GB2312" w:hAnsi="仿宋_GB2312" w:eastAsia="仿宋_GB2312" w:cs="仿宋_GB2312"/>
                <w:color w:val="000000" w:themeColor="text1"/>
                <w:sz w:val="16"/>
                <w:szCs w:val="16"/>
                <w14:textFill>
                  <w14:solidFill>
                    <w14:schemeClr w14:val="tx1"/>
                  </w14:solidFill>
                </w14:textFill>
              </w:rPr>
              <w:t>）</w:t>
            </w:r>
          </w:p>
          <w:p>
            <w:pPr>
              <w:spacing w:before="0" w:after="0" w:line="360" w:lineRule="auto"/>
              <w:ind w:left="0"/>
              <w:jc w:val="center"/>
              <w:rPr>
                <w:rFonts w:hint="eastAsia" w:ascii="仿宋_GB2312" w:hAnsi="仿宋_GB2312" w:eastAsia="仿宋_GB2312" w:cs="仿宋_GB2312"/>
                <w:color w:val="000000" w:themeColor="text1"/>
                <w:sz w:val="16"/>
                <w:szCs w:val="16"/>
                <w14:textFill>
                  <w14:solidFill>
                    <w14:schemeClr w14:val="tx1"/>
                  </w14:solidFill>
                </w14:textFill>
              </w:rPr>
            </w:pPr>
            <w:r>
              <w:rPr>
                <w:rFonts w:hint="eastAsia" w:ascii="仿宋_GB2312" w:hAnsi="仿宋_GB2312" w:eastAsia="仿宋_GB2312" w:cs="仿宋_GB2312"/>
                <w:color w:val="000000" w:themeColor="text1"/>
                <w:sz w:val="16"/>
                <w:szCs w:val="16"/>
                <w14:textFill>
                  <w14:solidFill>
                    <w14:schemeClr w14:val="tx1"/>
                  </w14:solidFill>
                </w14:textFill>
              </w:rPr>
              <w:t>特级EPA(非完整包装</w:t>
            </w:r>
            <w:r>
              <w:rPr>
                <w:rFonts w:hint="eastAsia" w:ascii="仿宋_GB2312" w:hAnsi="仿宋_GB2312" w:eastAsia="仿宋_GB2312" w:cs="仿宋_GB2312"/>
                <w:color w:val="000000" w:themeColor="text1"/>
                <w:sz w:val="16"/>
                <w:szCs w:val="16"/>
                <w:vertAlign w:val="superscript"/>
                <w14:textFill>
                  <w14:solidFill>
                    <w14:schemeClr w14:val="tx1"/>
                  </w14:solidFill>
                </w14:textFill>
              </w:rPr>
              <w:t>[2]</w:t>
            </w:r>
            <w:r>
              <w:rPr>
                <w:rFonts w:hint="eastAsia" w:ascii="仿宋_GB2312" w:hAnsi="仿宋_GB2312" w:eastAsia="仿宋_GB2312" w:cs="仿宋_GB2312"/>
                <w:color w:val="000000" w:themeColor="text1"/>
                <w:sz w:val="16"/>
                <w:szCs w:val="16"/>
                <w14:textFill>
                  <w14:solidFill>
                    <w14:schemeClr w14:val="tx1"/>
                  </w14:solidFill>
                </w14:textFill>
              </w:rPr>
              <w:t>)：HBM 50V，CDM 100V</w:t>
            </w:r>
          </w:p>
          <w:p>
            <w:pPr>
              <w:spacing w:before="0" w:after="0" w:line="360" w:lineRule="auto"/>
              <w:ind w:left="0"/>
              <w:jc w:val="center"/>
              <w:rPr>
                <w:rFonts w:hint="eastAsia" w:ascii="仿宋_GB2312" w:hAnsi="仿宋_GB2312" w:eastAsia="仿宋_GB2312" w:cs="仿宋_GB2312"/>
                <w:color w:val="000000" w:themeColor="text1"/>
                <w:sz w:val="16"/>
                <w:szCs w:val="16"/>
                <w14:textFill>
                  <w14:solidFill>
                    <w14:schemeClr w14:val="tx1"/>
                  </w14:solidFill>
                </w14:textFill>
              </w:rPr>
            </w:pPr>
            <w:r>
              <w:rPr>
                <w:rFonts w:hint="eastAsia" w:ascii="仿宋_GB2312" w:hAnsi="仿宋_GB2312" w:eastAsia="仿宋_GB2312" w:cs="仿宋_GB2312"/>
                <w:color w:val="000000" w:themeColor="text1"/>
                <w:sz w:val="16"/>
                <w:szCs w:val="16"/>
                <w14:textFill>
                  <w14:solidFill>
                    <w14:schemeClr w14:val="tx1"/>
                  </w14:solidFill>
                </w14:textFill>
              </w:rPr>
              <w:t>接地母线与大地之间电阻：＜4Ω</w:t>
            </w:r>
          </w:p>
          <w:p>
            <w:pPr>
              <w:spacing w:before="0" w:after="0" w:line="360" w:lineRule="auto"/>
              <w:ind w:left="0"/>
              <w:jc w:val="center"/>
              <w:rPr>
                <w:rFonts w:hint="eastAsia" w:ascii="仿宋_GB2312" w:hAnsi="仿宋_GB2312" w:eastAsia="仿宋_GB2312" w:cs="仿宋_GB2312"/>
                <w:color w:val="000000" w:themeColor="text1"/>
                <w:sz w:val="16"/>
                <w:szCs w:val="16"/>
                <w14:textFill>
                  <w14:solidFill>
                    <w14:schemeClr w14:val="tx1"/>
                  </w14:solidFill>
                </w14:textFill>
              </w:rPr>
            </w:pPr>
            <w:r>
              <w:rPr>
                <w:rFonts w:hint="eastAsia" w:ascii="仿宋_GB2312" w:hAnsi="仿宋_GB2312" w:eastAsia="仿宋_GB2312" w:cs="仿宋_GB2312"/>
                <w:color w:val="000000" w:themeColor="text1"/>
                <w:sz w:val="16"/>
                <w:szCs w:val="16"/>
                <w14:textFill>
                  <w14:solidFill>
                    <w14:schemeClr w14:val="tx1"/>
                  </w14:solidFill>
                </w14:textFill>
              </w:rPr>
              <w:t>地板表面&amp;接地电阻：</w:t>
            </w:r>
            <w:r>
              <w:rPr>
                <w:rFonts w:hint="eastAsia" w:ascii="仿宋_GB2312" w:hAnsi="仿宋_GB2312" w:eastAsia="仿宋_GB2312" w:cs="仿宋_GB2312"/>
                <w:kern w:val="0"/>
                <w:sz w:val="16"/>
                <w:szCs w:val="16"/>
              </w:rPr>
              <w:t>1.0×10</w:t>
            </w:r>
            <w:r>
              <w:rPr>
                <w:rFonts w:hint="eastAsia" w:ascii="仿宋_GB2312" w:hAnsi="仿宋_GB2312" w:eastAsia="仿宋_GB2312" w:cs="仿宋_GB2312"/>
                <w:kern w:val="0"/>
                <w:sz w:val="16"/>
                <w:szCs w:val="16"/>
                <w:vertAlign w:val="superscript"/>
              </w:rPr>
              <w:t>4</w:t>
            </w:r>
            <w:r>
              <w:rPr>
                <w:rFonts w:hint="eastAsia" w:ascii="仿宋_GB2312" w:hAnsi="仿宋_GB2312" w:eastAsia="仿宋_GB2312" w:cs="仿宋_GB2312"/>
                <w:kern w:val="0"/>
                <w:sz w:val="18"/>
                <w:szCs w:val="16"/>
              </w:rPr>
              <w:t>~</w:t>
            </w:r>
            <w:r>
              <w:rPr>
                <w:rFonts w:hint="eastAsia" w:ascii="仿宋_GB2312" w:hAnsi="仿宋_GB2312" w:eastAsia="仿宋_GB2312" w:cs="仿宋_GB2312"/>
                <w:color w:val="000000" w:themeColor="text1"/>
                <w:sz w:val="16"/>
                <w:szCs w:val="16"/>
                <w14:textFill>
                  <w14:solidFill>
                    <w14:schemeClr w14:val="tx1"/>
                  </w14:solidFill>
                </w14:textFill>
              </w:rPr>
              <w:t>1.0×10</w:t>
            </w:r>
            <w:r>
              <w:rPr>
                <w:rFonts w:hint="eastAsia" w:ascii="仿宋_GB2312" w:hAnsi="仿宋_GB2312" w:eastAsia="仿宋_GB2312" w:cs="仿宋_GB2312"/>
                <w:color w:val="000000" w:themeColor="text1"/>
                <w:sz w:val="16"/>
                <w:szCs w:val="16"/>
                <w:vertAlign w:val="superscript"/>
                <w14:textFill>
                  <w14:solidFill>
                    <w14:schemeClr w14:val="tx1"/>
                  </w14:solidFill>
                </w14:textFill>
              </w:rPr>
              <w:t>7</w:t>
            </w:r>
            <w:r>
              <w:rPr>
                <w:rFonts w:hint="eastAsia" w:ascii="仿宋_GB2312" w:hAnsi="仿宋_GB2312" w:eastAsia="仿宋_GB2312" w:cs="仿宋_GB2312"/>
                <w:color w:val="000000" w:themeColor="text1"/>
                <w:sz w:val="16"/>
                <w:szCs w:val="16"/>
                <w14:textFill>
                  <w14:solidFill>
                    <w14:schemeClr w14:val="tx1"/>
                  </w14:solidFill>
                </w14:textFill>
              </w:rPr>
              <w:t>欧；</w:t>
            </w:r>
          </w:p>
          <w:p>
            <w:pPr>
              <w:spacing w:before="0" w:after="0" w:line="360" w:lineRule="auto"/>
              <w:ind w:left="0"/>
              <w:jc w:val="center"/>
              <w:rPr>
                <w:rFonts w:hint="eastAsia" w:ascii="仿宋_GB2312" w:hAnsi="仿宋_GB2312" w:eastAsia="仿宋_GB2312" w:cs="仿宋_GB2312"/>
                <w:color w:val="000000" w:themeColor="text1"/>
                <w:sz w:val="16"/>
                <w:szCs w:val="16"/>
                <w14:textFill>
                  <w14:solidFill>
                    <w14:schemeClr w14:val="tx1"/>
                  </w14:solidFill>
                </w14:textFill>
              </w:rPr>
            </w:pPr>
            <w:r>
              <w:rPr>
                <w:rFonts w:hint="eastAsia" w:ascii="仿宋_GB2312" w:hAnsi="仿宋_GB2312" w:eastAsia="仿宋_GB2312" w:cs="仿宋_GB2312"/>
                <w:color w:val="000000" w:themeColor="text1"/>
                <w:sz w:val="16"/>
                <w:szCs w:val="16"/>
                <w14:textFill>
                  <w14:solidFill>
                    <w14:schemeClr w14:val="tx1"/>
                  </w14:solidFill>
                </w14:textFill>
              </w:rPr>
              <w:t>人体走动电压：&lt;50V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1765" w:type="dxa"/>
            <w:gridSpan w:val="3"/>
            <w:vAlign w:val="center"/>
          </w:tcPr>
          <w:p>
            <w:pPr>
              <w:widowControl w:val="0"/>
              <w:topLinePunct w:val="0"/>
              <w:autoSpaceDE w:val="0"/>
              <w:autoSpaceDN w:val="0"/>
              <w:snapToGrid/>
              <w:spacing w:before="0" w:after="0" w:line="360" w:lineRule="exact"/>
              <w:ind w:left="0"/>
              <w:jc w:val="center"/>
              <w:rPr>
                <w:rFonts w:hint="eastAsia" w:ascii="仿宋_GB2312" w:hAnsi="仿宋_GB2312" w:eastAsia="仿宋_GB2312" w:cs="仿宋_GB2312"/>
                <w:b/>
                <w:kern w:val="0"/>
                <w:sz w:val="16"/>
                <w:szCs w:val="16"/>
              </w:rPr>
            </w:pPr>
            <w:r>
              <w:rPr>
                <w:rFonts w:hint="eastAsia" w:ascii="仿宋_GB2312" w:hAnsi="仿宋_GB2312" w:eastAsia="仿宋_GB2312" w:cs="仿宋_GB2312"/>
                <w:b/>
                <w:kern w:val="0"/>
                <w:sz w:val="16"/>
                <w:szCs w:val="16"/>
              </w:rPr>
              <w:t>光照强度</w:t>
            </w:r>
            <w:r>
              <w:rPr>
                <w:rFonts w:hint="eastAsia" w:ascii="仿宋_GB2312" w:hAnsi="仿宋_GB2312" w:eastAsia="仿宋_GB2312" w:cs="仿宋_GB2312"/>
                <w:b/>
                <w:kern w:val="0"/>
                <w:sz w:val="16"/>
                <w:szCs w:val="16"/>
                <w:vertAlign w:val="superscript"/>
              </w:rPr>
              <w:t>[6]</w:t>
            </w:r>
            <w:r>
              <w:rPr>
                <w:rFonts w:hint="eastAsia" w:ascii="仿宋_GB2312" w:hAnsi="仿宋_GB2312" w:eastAsia="仿宋_GB2312" w:cs="仿宋_GB2312"/>
                <w:b/>
                <w:kern w:val="0"/>
                <w:sz w:val="16"/>
                <w:szCs w:val="16"/>
              </w:rPr>
              <w:t>(Lx)</w:t>
            </w:r>
          </w:p>
        </w:tc>
        <w:tc>
          <w:tcPr>
            <w:tcW w:w="4042" w:type="dxa"/>
            <w:vAlign w:val="center"/>
          </w:tcPr>
          <w:p>
            <w:pPr>
              <w:widowControl w:val="0"/>
              <w:topLinePunct w:val="0"/>
              <w:autoSpaceDE w:val="0"/>
              <w:autoSpaceDN w:val="0"/>
              <w:snapToGrid/>
              <w:spacing w:before="0" w:after="0" w:line="360" w:lineRule="exact"/>
              <w:ind w:left="0"/>
              <w:jc w:val="center"/>
              <w:rPr>
                <w:rFonts w:hint="eastAsia" w:ascii="仿宋_GB2312" w:hAnsi="仿宋_GB2312" w:eastAsia="仿宋_GB2312" w:cs="仿宋_GB2312"/>
                <w:sz w:val="16"/>
                <w:szCs w:val="16"/>
                <w:lang w:val="en-US" w:eastAsia="zh-CN"/>
              </w:rPr>
            </w:pPr>
            <w:r>
              <w:rPr>
                <w:rFonts w:hint="eastAsia" w:ascii="仿宋_GB2312" w:hAnsi="仿宋_GB2312" w:eastAsia="仿宋_GB2312" w:cs="仿宋_GB2312"/>
                <w:sz w:val="16"/>
                <w:szCs w:val="16"/>
                <w:lang w:val="en-US" w:eastAsia="zh-CN"/>
              </w:rPr>
              <w:t>4</w:t>
            </w:r>
            <w:r>
              <w:rPr>
                <w:rFonts w:hint="eastAsia" w:ascii="仿宋_GB2312" w:hAnsi="仿宋_GB2312" w:eastAsia="仿宋_GB2312" w:cs="仿宋_GB2312"/>
                <w:sz w:val="16"/>
                <w:szCs w:val="16"/>
              </w:rPr>
              <w:t>00</w:t>
            </w:r>
            <w:r>
              <w:rPr>
                <w:rFonts w:hint="eastAsia" w:ascii="仿宋_GB2312" w:hAnsi="仿宋_GB2312" w:eastAsia="仿宋_GB2312" w:cs="仿宋_GB2312"/>
                <w:kern w:val="0"/>
                <w:sz w:val="16"/>
                <w:szCs w:val="16"/>
              </w:rPr>
              <w:t>～</w:t>
            </w:r>
            <w:r>
              <w:rPr>
                <w:rFonts w:hint="eastAsia" w:ascii="仿宋_GB2312" w:hAnsi="仿宋_GB2312" w:eastAsia="仿宋_GB2312" w:cs="仿宋_GB2312"/>
                <w:sz w:val="16"/>
                <w:szCs w:val="16"/>
              </w:rPr>
              <w:t>500</w:t>
            </w:r>
          </w:p>
        </w:tc>
        <w:tc>
          <w:tcPr>
            <w:tcW w:w="4039" w:type="dxa"/>
            <w:vAlign w:val="center"/>
          </w:tcPr>
          <w:p>
            <w:pPr>
              <w:widowControl w:val="0"/>
              <w:topLinePunct w:val="0"/>
              <w:autoSpaceDE w:val="0"/>
              <w:autoSpaceDN w:val="0"/>
              <w:snapToGrid/>
              <w:spacing w:before="0" w:after="0" w:line="360" w:lineRule="exact"/>
              <w:ind w:left="0"/>
              <w:jc w:val="center"/>
              <w:rPr>
                <w:rFonts w:hint="eastAsia" w:ascii="仿宋_GB2312" w:hAnsi="仿宋_GB2312" w:eastAsia="仿宋_GB2312" w:cs="仿宋_GB2312"/>
                <w:sz w:val="16"/>
                <w:szCs w:val="16"/>
              </w:rPr>
            </w:pPr>
            <w:r>
              <w:rPr>
                <w:rFonts w:hint="eastAsia" w:ascii="仿宋_GB2312" w:hAnsi="仿宋_GB2312" w:eastAsia="仿宋_GB2312" w:cs="仿宋_GB2312"/>
                <w:sz w:val="16"/>
                <w:szCs w:val="16"/>
                <w:lang w:val="en-US" w:eastAsia="zh-CN"/>
              </w:rPr>
              <w:t>3</w:t>
            </w:r>
            <w:r>
              <w:rPr>
                <w:rFonts w:hint="eastAsia" w:ascii="仿宋_GB2312" w:hAnsi="仿宋_GB2312" w:eastAsia="仿宋_GB2312" w:cs="仿宋_GB2312"/>
                <w:sz w:val="16"/>
                <w:szCs w:val="16"/>
              </w:rPr>
              <w:t>00</w:t>
            </w:r>
            <w:r>
              <w:rPr>
                <w:rFonts w:hint="eastAsia" w:ascii="仿宋_GB2312" w:hAnsi="仿宋_GB2312" w:eastAsia="仿宋_GB2312" w:cs="仿宋_GB2312"/>
                <w:kern w:val="0"/>
                <w:sz w:val="16"/>
                <w:szCs w:val="16"/>
              </w:rPr>
              <w:t>～</w:t>
            </w:r>
            <w:r>
              <w:rPr>
                <w:rFonts w:hint="eastAsia" w:ascii="仿宋_GB2312" w:hAnsi="仿宋_GB2312" w:eastAsia="仿宋_GB2312" w:cs="仿宋_GB2312"/>
                <w:sz w:val="16"/>
                <w:szCs w:val="16"/>
                <w:lang w:val="en-US" w:eastAsia="zh-CN"/>
              </w:rPr>
              <w:t>4</w:t>
            </w:r>
            <w:r>
              <w:rPr>
                <w:rFonts w:hint="eastAsia" w:ascii="仿宋_GB2312" w:hAnsi="仿宋_GB2312" w:eastAsia="仿宋_GB2312" w:cs="仿宋_GB2312"/>
                <w:sz w:val="16"/>
                <w:szCs w:val="16"/>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392" w:type="dxa"/>
            <w:gridSpan w:val="2"/>
            <w:vMerge w:val="restart"/>
            <w:vAlign w:val="center"/>
          </w:tcPr>
          <w:p>
            <w:pPr>
              <w:widowControl w:val="0"/>
              <w:topLinePunct w:val="0"/>
              <w:autoSpaceDE w:val="0"/>
              <w:autoSpaceDN w:val="0"/>
              <w:snapToGrid/>
              <w:spacing w:before="0" w:after="0" w:line="400" w:lineRule="exact"/>
              <w:ind w:left="0"/>
              <w:jc w:val="center"/>
              <w:rPr>
                <w:rFonts w:hint="eastAsia" w:ascii="仿宋_GB2312" w:hAnsi="仿宋_GB2312" w:eastAsia="仿宋_GB2312" w:cs="仿宋_GB2312"/>
                <w:b/>
                <w:kern w:val="0"/>
                <w:sz w:val="16"/>
                <w:szCs w:val="16"/>
              </w:rPr>
            </w:pPr>
            <w:r>
              <w:rPr>
                <w:rFonts w:hint="eastAsia" w:ascii="仿宋_GB2312" w:hAnsi="仿宋_GB2312" w:eastAsia="仿宋_GB2312" w:cs="仿宋_GB2312"/>
                <w:b/>
                <w:kern w:val="0"/>
                <w:sz w:val="16"/>
                <w:szCs w:val="16"/>
              </w:rPr>
              <w:t>振动</w:t>
            </w:r>
          </w:p>
        </w:tc>
        <w:tc>
          <w:tcPr>
            <w:tcW w:w="1373" w:type="dxa"/>
            <w:vAlign w:val="center"/>
          </w:tcPr>
          <w:p>
            <w:pPr>
              <w:widowControl w:val="0"/>
              <w:topLinePunct w:val="0"/>
              <w:autoSpaceDE w:val="0"/>
              <w:autoSpaceDN w:val="0"/>
              <w:snapToGrid/>
              <w:spacing w:before="0" w:after="0" w:line="400" w:lineRule="exact"/>
              <w:ind w:left="0"/>
              <w:jc w:val="center"/>
              <w:rPr>
                <w:rFonts w:hint="eastAsia" w:ascii="仿宋_GB2312" w:hAnsi="仿宋_GB2312" w:eastAsia="仿宋_GB2312" w:cs="仿宋_GB2312"/>
                <w:b/>
                <w:kern w:val="0"/>
                <w:sz w:val="16"/>
                <w:szCs w:val="16"/>
              </w:rPr>
            </w:pPr>
            <w:r>
              <w:rPr>
                <w:rFonts w:hint="eastAsia" w:ascii="仿宋_GB2312" w:hAnsi="仿宋_GB2312" w:eastAsia="仿宋_GB2312" w:cs="仿宋_GB2312"/>
                <w:b/>
                <w:kern w:val="0"/>
                <w:sz w:val="16"/>
                <w:szCs w:val="16"/>
              </w:rPr>
              <w:t>人</w:t>
            </w:r>
            <w:r>
              <w:rPr>
                <w:rFonts w:hint="eastAsia" w:ascii="仿宋_GB2312" w:hAnsi="仿宋_GB2312" w:eastAsia="仿宋_GB2312" w:cs="仿宋_GB2312"/>
                <w:b/>
                <w:kern w:val="0"/>
                <w:sz w:val="16"/>
                <w:szCs w:val="16"/>
                <w:vertAlign w:val="superscript"/>
              </w:rPr>
              <w:t>[7]</w:t>
            </w:r>
            <w:r>
              <w:rPr>
                <w:rFonts w:hint="eastAsia" w:ascii="仿宋_GB2312" w:hAnsi="仿宋_GB2312" w:eastAsia="仿宋_GB2312" w:cs="仿宋_GB2312"/>
                <w:b/>
                <w:kern w:val="0"/>
                <w:sz w:val="16"/>
                <w:szCs w:val="16"/>
              </w:rPr>
              <w:t>(m/s</w:t>
            </w:r>
            <w:r>
              <w:rPr>
                <w:rFonts w:hint="eastAsia" w:ascii="仿宋_GB2312" w:hAnsi="仿宋_GB2312" w:eastAsia="仿宋_GB2312" w:cs="仿宋_GB2312"/>
                <w:b/>
                <w:kern w:val="0"/>
                <w:sz w:val="16"/>
                <w:szCs w:val="16"/>
                <w:vertAlign w:val="superscript"/>
              </w:rPr>
              <w:t>2</w:t>
            </w:r>
            <w:r>
              <w:rPr>
                <w:rFonts w:hint="eastAsia" w:ascii="仿宋_GB2312" w:hAnsi="仿宋_GB2312" w:eastAsia="仿宋_GB2312" w:cs="仿宋_GB2312"/>
                <w:b/>
                <w:kern w:val="0"/>
                <w:sz w:val="16"/>
                <w:szCs w:val="16"/>
              </w:rPr>
              <w:t>)</w:t>
            </w:r>
          </w:p>
        </w:tc>
        <w:tc>
          <w:tcPr>
            <w:tcW w:w="4042" w:type="dxa"/>
            <w:vAlign w:val="center"/>
          </w:tcPr>
          <w:p>
            <w:pPr>
              <w:widowControl w:val="0"/>
              <w:topLinePunct w:val="0"/>
              <w:autoSpaceDE w:val="0"/>
              <w:autoSpaceDN w:val="0"/>
              <w:snapToGrid/>
              <w:spacing w:before="0" w:after="0" w:line="400" w:lineRule="exact"/>
              <w:ind w:left="0"/>
              <w:jc w:val="center"/>
              <w:rPr>
                <w:rFonts w:hint="eastAsia" w:ascii="仿宋_GB2312" w:hAnsi="仿宋_GB2312" w:eastAsia="仿宋_GB2312" w:cs="仿宋_GB2312"/>
                <w:kern w:val="0"/>
                <w:sz w:val="16"/>
                <w:szCs w:val="16"/>
              </w:rPr>
            </w:pPr>
            <w:r>
              <w:rPr>
                <w:rFonts w:hint="eastAsia" w:ascii="仿宋_GB2312" w:hAnsi="仿宋_GB2312" w:eastAsia="仿宋_GB2312" w:cs="仿宋_GB2312"/>
                <w:kern w:val="0"/>
                <w:sz w:val="16"/>
                <w:szCs w:val="16"/>
              </w:rPr>
              <w:t>≤0.015</w:t>
            </w:r>
          </w:p>
        </w:tc>
        <w:tc>
          <w:tcPr>
            <w:tcW w:w="4039" w:type="dxa"/>
            <w:vAlign w:val="center"/>
          </w:tcPr>
          <w:p>
            <w:pPr>
              <w:widowControl w:val="0"/>
              <w:topLinePunct w:val="0"/>
              <w:autoSpaceDE w:val="0"/>
              <w:autoSpaceDN w:val="0"/>
              <w:snapToGrid/>
              <w:spacing w:before="0" w:after="0" w:line="400" w:lineRule="exact"/>
              <w:ind w:left="0"/>
              <w:jc w:val="center"/>
              <w:rPr>
                <w:rFonts w:hint="eastAsia" w:ascii="仿宋_GB2312" w:hAnsi="仿宋_GB2312" w:eastAsia="仿宋_GB2312" w:cs="仿宋_GB2312"/>
                <w:kern w:val="0"/>
                <w:sz w:val="16"/>
                <w:szCs w:val="16"/>
              </w:rPr>
            </w:pPr>
            <w:r>
              <w:rPr>
                <w:rFonts w:hint="eastAsia" w:ascii="仿宋_GB2312" w:hAnsi="仿宋_GB2312" w:eastAsia="仿宋_GB2312" w:cs="仿宋_GB2312"/>
                <w:kern w:val="0"/>
                <w:sz w:val="16"/>
                <w:szCs w:val="16"/>
              </w:rPr>
              <w:t>≤0.015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392" w:type="dxa"/>
            <w:gridSpan w:val="2"/>
            <w:vMerge w:val="continue"/>
            <w:vAlign w:val="center"/>
          </w:tcPr>
          <w:p>
            <w:pPr>
              <w:widowControl w:val="0"/>
              <w:topLinePunct w:val="0"/>
              <w:autoSpaceDE w:val="0"/>
              <w:autoSpaceDN w:val="0"/>
              <w:snapToGrid/>
              <w:spacing w:before="0" w:after="0" w:line="360" w:lineRule="exact"/>
              <w:ind w:left="0"/>
              <w:jc w:val="center"/>
              <w:rPr>
                <w:rFonts w:hint="eastAsia" w:ascii="仿宋_GB2312" w:hAnsi="仿宋_GB2312" w:eastAsia="仿宋_GB2312" w:cs="仿宋_GB2312"/>
                <w:b/>
                <w:kern w:val="0"/>
                <w:sz w:val="16"/>
                <w:szCs w:val="16"/>
              </w:rPr>
            </w:pPr>
          </w:p>
        </w:tc>
        <w:tc>
          <w:tcPr>
            <w:tcW w:w="1373" w:type="dxa"/>
            <w:vAlign w:val="center"/>
          </w:tcPr>
          <w:p>
            <w:pPr>
              <w:widowControl w:val="0"/>
              <w:topLinePunct w:val="0"/>
              <w:autoSpaceDE w:val="0"/>
              <w:autoSpaceDN w:val="0"/>
              <w:snapToGrid/>
              <w:spacing w:before="0" w:after="0" w:line="360" w:lineRule="exact"/>
              <w:ind w:left="0"/>
              <w:jc w:val="center"/>
              <w:rPr>
                <w:rFonts w:hint="eastAsia" w:ascii="仿宋_GB2312" w:hAnsi="仿宋_GB2312" w:eastAsia="仿宋_GB2312" w:cs="仿宋_GB2312"/>
                <w:b/>
                <w:kern w:val="0"/>
                <w:sz w:val="16"/>
                <w:szCs w:val="16"/>
              </w:rPr>
            </w:pPr>
            <w:r>
              <w:rPr>
                <w:rFonts w:hint="eastAsia" w:ascii="仿宋_GB2312" w:hAnsi="仿宋_GB2312" w:eastAsia="仿宋_GB2312" w:cs="仿宋_GB2312"/>
                <w:b/>
                <w:kern w:val="0"/>
                <w:sz w:val="16"/>
                <w:szCs w:val="16"/>
              </w:rPr>
              <w:t>产品</w:t>
            </w:r>
            <w:r>
              <w:rPr>
                <w:rFonts w:hint="eastAsia" w:ascii="仿宋_GB2312" w:hAnsi="仿宋_GB2312" w:eastAsia="仿宋_GB2312" w:cs="仿宋_GB2312"/>
                <w:b/>
                <w:kern w:val="0"/>
                <w:sz w:val="16"/>
                <w:szCs w:val="16"/>
                <w:vertAlign w:val="superscript"/>
              </w:rPr>
              <w:t>[8]</w:t>
            </w:r>
            <w:r>
              <w:rPr>
                <w:rFonts w:hint="eastAsia" w:ascii="仿宋_GB2312" w:hAnsi="仿宋_GB2312" w:eastAsia="仿宋_GB2312" w:cs="仿宋_GB2312"/>
                <w:b/>
                <w:kern w:val="0"/>
                <w:sz w:val="16"/>
                <w:szCs w:val="16"/>
              </w:rPr>
              <w:t>(um/s)</w:t>
            </w:r>
          </w:p>
        </w:tc>
        <w:tc>
          <w:tcPr>
            <w:tcW w:w="4042" w:type="dxa"/>
            <w:vAlign w:val="center"/>
          </w:tcPr>
          <w:p>
            <w:pPr>
              <w:widowControl w:val="0"/>
              <w:topLinePunct w:val="0"/>
              <w:autoSpaceDE w:val="0"/>
              <w:autoSpaceDN w:val="0"/>
              <w:snapToGrid/>
              <w:spacing w:before="0" w:after="0" w:line="360" w:lineRule="exact"/>
              <w:ind w:left="0"/>
              <w:jc w:val="center"/>
              <w:rPr>
                <w:rFonts w:hint="eastAsia" w:ascii="仿宋_GB2312" w:hAnsi="仿宋_GB2312" w:eastAsia="仿宋_GB2312" w:cs="仿宋_GB2312"/>
                <w:kern w:val="0"/>
                <w:sz w:val="16"/>
                <w:szCs w:val="16"/>
              </w:rPr>
            </w:pPr>
            <w:r>
              <w:rPr>
                <w:rFonts w:hint="eastAsia" w:ascii="仿宋_GB2312" w:hAnsi="仿宋_GB2312" w:eastAsia="仿宋_GB2312" w:cs="仿宋_GB2312"/>
                <w:kern w:val="0"/>
                <w:sz w:val="16"/>
                <w:szCs w:val="16"/>
              </w:rPr>
              <w:t>≤100</w:t>
            </w:r>
          </w:p>
        </w:tc>
        <w:tc>
          <w:tcPr>
            <w:tcW w:w="4039" w:type="dxa"/>
            <w:vAlign w:val="center"/>
          </w:tcPr>
          <w:p>
            <w:pPr>
              <w:widowControl w:val="0"/>
              <w:topLinePunct w:val="0"/>
              <w:autoSpaceDE w:val="0"/>
              <w:autoSpaceDN w:val="0"/>
              <w:snapToGrid/>
              <w:spacing w:before="0" w:after="0" w:line="360" w:lineRule="exact"/>
              <w:ind w:left="0"/>
              <w:jc w:val="center"/>
              <w:rPr>
                <w:rFonts w:hint="eastAsia" w:ascii="仿宋_GB2312" w:hAnsi="仿宋_GB2312" w:eastAsia="仿宋_GB2312" w:cs="仿宋_GB2312"/>
                <w:kern w:val="0"/>
                <w:sz w:val="16"/>
                <w:szCs w:val="16"/>
              </w:rPr>
            </w:pPr>
            <w:r>
              <w:rPr>
                <w:rFonts w:hint="eastAsia" w:ascii="仿宋_GB2312" w:hAnsi="仿宋_GB2312" w:eastAsia="仿宋_GB2312" w:cs="仿宋_GB2312"/>
                <w:kern w:val="0"/>
                <w:sz w:val="16"/>
                <w:szCs w:val="16"/>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1765" w:type="dxa"/>
            <w:gridSpan w:val="3"/>
            <w:vAlign w:val="center"/>
          </w:tcPr>
          <w:p>
            <w:pPr>
              <w:widowControl w:val="0"/>
              <w:topLinePunct w:val="0"/>
              <w:autoSpaceDE w:val="0"/>
              <w:autoSpaceDN w:val="0"/>
              <w:snapToGrid/>
              <w:spacing w:before="0" w:after="0" w:line="360" w:lineRule="exact"/>
              <w:ind w:left="0"/>
              <w:jc w:val="center"/>
              <w:rPr>
                <w:rFonts w:hint="default" w:ascii="仿宋_GB2312" w:hAnsi="仿宋_GB2312" w:eastAsia="仿宋_GB2312" w:cs="仿宋_GB2312"/>
                <w:b/>
                <w:kern w:val="0"/>
                <w:sz w:val="16"/>
                <w:szCs w:val="16"/>
                <w:lang w:val="en-US" w:eastAsia="zh-CN"/>
              </w:rPr>
            </w:pPr>
            <w:r>
              <w:rPr>
                <w:rFonts w:hint="eastAsia" w:ascii="仿宋_GB2312" w:hAnsi="仿宋_GB2312" w:eastAsia="仿宋_GB2312" w:cs="仿宋_GB2312"/>
                <w:b/>
                <w:kern w:val="0"/>
                <w:sz w:val="16"/>
                <w:szCs w:val="16"/>
                <w:lang w:val="en-US" w:eastAsia="zh-CN"/>
              </w:rPr>
              <w:t>车间内高度</w:t>
            </w:r>
          </w:p>
        </w:tc>
        <w:tc>
          <w:tcPr>
            <w:tcW w:w="4042" w:type="dxa"/>
            <w:vAlign w:val="center"/>
          </w:tcPr>
          <w:p>
            <w:pPr>
              <w:widowControl w:val="0"/>
              <w:topLinePunct w:val="0"/>
              <w:autoSpaceDE w:val="0"/>
              <w:autoSpaceDN w:val="0"/>
              <w:snapToGrid/>
              <w:spacing w:before="0" w:after="0" w:line="360" w:lineRule="exact"/>
              <w:ind w:left="0"/>
              <w:jc w:val="center"/>
              <w:rPr>
                <w:rFonts w:hint="default" w:ascii="仿宋_GB2312" w:hAnsi="仿宋_GB2312" w:eastAsia="仿宋_GB2312" w:cs="仿宋_GB2312"/>
                <w:kern w:val="0"/>
                <w:sz w:val="16"/>
                <w:szCs w:val="16"/>
                <w:lang w:val="en-US" w:eastAsia="zh-CN"/>
              </w:rPr>
            </w:pPr>
            <w:r>
              <w:rPr>
                <w:rFonts w:hint="eastAsia" w:ascii="仿宋_GB2312" w:hAnsi="仿宋_GB2312" w:eastAsia="仿宋_GB2312" w:cs="仿宋_GB2312"/>
                <w:kern w:val="0"/>
                <w:sz w:val="16"/>
                <w:szCs w:val="16"/>
                <w:lang w:val="en-US" w:eastAsia="zh-CN"/>
              </w:rPr>
              <w:t>大于3米</w:t>
            </w:r>
          </w:p>
        </w:tc>
        <w:tc>
          <w:tcPr>
            <w:tcW w:w="4039" w:type="dxa"/>
            <w:vAlign w:val="center"/>
          </w:tcPr>
          <w:p>
            <w:pPr>
              <w:widowControl w:val="0"/>
              <w:topLinePunct w:val="0"/>
              <w:autoSpaceDE w:val="0"/>
              <w:autoSpaceDN w:val="0"/>
              <w:snapToGrid/>
              <w:spacing w:before="0" w:after="0" w:line="360" w:lineRule="exact"/>
              <w:ind w:left="0"/>
              <w:jc w:val="center"/>
              <w:rPr>
                <w:rFonts w:hint="eastAsia" w:ascii="仿宋_GB2312" w:hAnsi="仿宋_GB2312" w:eastAsia="仿宋_GB2312" w:cs="仿宋_GB2312"/>
                <w:kern w:val="0"/>
                <w:sz w:val="16"/>
                <w:szCs w:val="16"/>
              </w:rPr>
            </w:pPr>
            <w:r>
              <w:rPr>
                <w:rFonts w:hint="eastAsia" w:ascii="仿宋_GB2312" w:hAnsi="仿宋_GB2312" w:eastAsia="仿宋_GB2312" w:cs="仿宋_GB2312"/>
                <w:kern w:val="0"/>
                <w:sz w:val="16"/>
                <w:szCs w:val="16"/>
                <w:lang w:val="en-US" w:eastAsia="zh-CN"/>
              </w:rPr>
              <w:t>大于3米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377" w:type="dxa"/>
            <w:vMerge w:val="restart"/>
            <w:vAlign w:val="center"/>
          </w:tcPr>
          <w:p>
            <w:pPr>
              <w:widowControl w:val="0"/>
              <w:topLinePunct w:val="0"/>
              <w:autoSpaceDE w:val="0"/>
              <w:autoSpaceDN w:val="0"/>
              <w:snapToGrid/>
              <w:spacing w:before="0" w:after="0" w:line="360" w:lineRule="exact"/>
              <w:ind w:left="0"/>
              <w:jc w:val="center"/>
              <w:rPr>
                <w:rFonts w:hint="eastAsia" w:ascii="仿宋_GB2312" w:hAnsi="仿宋_GB2312" w:eastAsia="仿宋_GB2312" w:cs="仿宋_GB2312"/>
                <w:b/>
                <w:kern w:val="0"/>
                <w:sz w:val="16"/>
                <w:szCs w:val="16"/>
              </w:rPr>
            </w:pPr>
            <w:r>
              <w:rPr>
                <w:rFonts w:hint="eastAsia" w:ascii="仿宋_GB2312" w:hAnsi="仿宋_GB2312" w:eastAsia="仿宋_GB2312" w:cs="仿宋_GB2312"/>
                <w:b/>
                <w:kern w:val="0"/>
                <w:sz w:val="16"/>
                <w:szCs w:val="16"/>
              </w:rPr>
              <w:t>辐射</w:t>
            </w:r>
          </w:p>
        </w:tc>
        <w:tc>
          <w:tcPr>
            <w:tcW w:w="1388" w:type="dxa"/>
            <w:gridSpan w:val="2"/>
            <w:vAlign w:val="center"/>
          </w:tcPr>
          <w:p>
            <w:pPr>
              <w:widowControl w:val="0"/>
              <w:topLinePunct w:val="0"/>
              <w:autoSpaceDE w:val="0"/>
              <w:autoSpaceDN w:val="0"/>
              <w:snapToGrid/>
              <w:spacing w:before="0" w:after="0" w:line="360" w:lineRule="exact"/>
              <w:ind w:left="0"/>
              <w:jc w:val="center"/>
              <w:rPr>
                <w:rFonts w:hint="eastAsia" w:ascii="仿宋_GB2312" w:hAnsi="仿宋_GB2312" w:eastAsia="仿宋_GB2312" w:cs="仿宋_GB2312"/>
                <w:b/>
                <w:kern w:val="0"/>
                <w:sz w:val="16"/>
                <w:szCs w:val="16"/>
              </w:rPr>
            </w:pPr>
            <w:r>
              <w:rPr>
                <w:rFonts w:hint="eastAsia" w:ascii="仿宋_GB2312" w:hAnsi="仿宋_GB2312" w:eastAsia="仿宋_GB2312" w:cs="仿宋_GB2312"/>
                <w:b/>
                <w:kern w:val="0"/>
                <w:sz w:val="16"/>
                <w:szCs w:val="16"/>
              </w:rPr>
              <w:t>非电离辐射</w:t>
            </w:r>
          </w:p>
        </w:tc>
        <w:tc>
          <w:tcPr>
            <w:tcW w:w="8081" w:type="dxa"/>
            <w:gridSpan w:val="2"/>
            <w:vAlign w:val="center"/>
          </w:tcPr>
          <w:p>
            <w:pPr>
              <w:widowControl w:val="0"/>
              <w:topLinePunct w:val="0"/>
              <w:autoSpaceDE w:val="0"/>
              <w:autoSpaceDN w:val="0"/>
              <w:snapToGrid/>
              <w:spacing w:before="0" w:after="0" w:line="360" w:lineRule="exact"/>
              <w:ind w:left="0"/>
              <w:rPr>
                <w:rFonts w:hint="eastAsia" w:ascii="仿宋_GB2312" w:hAnsi="仿宋_GB2312" w:eastAsia="仿宋_GB2312" w:cs="仿宋_GB2312"/>
                <w:kern w:val="0"/>
                <w:sz w:val="16"/>
                <w:szCs w:val="16"/>
              </w:rPr>
            </w:pPr>
            <w:r>
              <w:rPr>
                <w:rFonts w:hint="eastAsia" w:ascii="仿宋_GB2312" w:hAnsi="仿宋_GB2312" w:eastAsia="仿宋_GB2312" w:cs="仿宋_GB2312"/>
                <w:b/>
                <w:kern w:val="0"/>
                <w:sz w:val="16"/>
                <w:szCs w:val="16"/>
              </w:rPr>
              <w:t>超高频辐射(8h)</w:t>
            </w:r>
            <w:r>
              <w:rPr>
                <w:rFonts w:hint="eastAsia" w:ascii="仿宋_GB2312" w:hAnsi="仿宋_GB2312" w:eastAsia="仿宋_GB2312" w:cs="仿宋_GB2312"/>
                <w:kern w:val="0"/>
                <w:sz w:val="16"/>
                <w:szCs w:val="16"/>
              </w:rPr>
              <w:t>：≤0.05mW/cm</w:t>
            </w:r>
            <w:r>
              <w:rPr>
                <w:rFonts w:hint="eastAsia" w:ascii="仿宋_GB2312" w:hAnsi="仿宋_GB2312" w:eastAsia="仿宋_GB2312" w:cs="仿宋_GB2312"/>
                <w:kern w:val="0"/>
                <w:sz w:val="16"/>
                <w:szCs w:val="16"/>
                <w:vertAlign w:val="superscript"/>
              </w:rPr>
              <w:t>2</w:t>
            </w:r>
            <w:r>
              <w:rPr>
                <w:rFonts w:hint="eastAsia" w:ascii="仿宋_GB2312" w:hAnsi="仿宋_GB2312" w:eastAsia="仿宋_GB2312" w:cs="仿宋_GB2312"/>
                <w:kern w:val="0"/>
                <w:sz w:val="16"/>
                <w:szCs w:val="16"/>
              </w:rPr>
              <w:t xml:space="preserve">；     </w:t>
            </w:r>
            <w:r>
              <w:rPr>
                <w:rFonts w:hint="eastAsia" w:ascii="仿宋_GB2312" w:hAnsi="仿宋_GB2312" w:eastAsia="仿宋_GB2312" w:cs="仿宋_GB2312"/>
                <w:b/>
                <w:kern w:val="0"/>
                <w:sz w:val="16"/>
                <w:szCs w:val="16"/>
              </w:rPr>
              <w:t>微波辐射(8h)</w:t>
            </w:r>
            <w:r>
              <w:rPr>
                <w:rFonts w:hint="eastAsia" w:ascii="仿宋_GB2312" w:hAnsi="仿宋_GB2312" w:eastAsia="仿宋_GB2312" w:cs="仿宋_GB2312"/>
                <w:kern w:val="0"/>
                <w:sz w:val="16"/>
                <w:szCs w:val="16"/>
              </w:rPr>
              <w:t>：≤5A/m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377" w:type="dxa"/>
            <w:vMerge w:val="continue"/>
            <w:vAlign w:val="center"/>
          </w:tcPr>
          <w:p>
            <w:pPr>
              <w:widowControl w:val="0"/>
              <w:topLinePunct w:val="0"/>
              <w:autoSpaceDE w:val="0"/>
              <w:autoSpaceDN w:val="0"/>
              <w:snapToGrid/>
              <w:spacing w:before="0" w:after="0" w:line="360" w:lineRule="exact"/>
              <w:ind w:left="0"/>
              <w:jc w:val="center"/>
              <w:rPr>
                <w:rFonts w:hint="eastAsia" w:ascii="仿宋_GB2312" w:hAnsi="仿宋_GB2312" w:eastAsia="仿宋_GB2312" w:cs="仿宋_GB2312"/>
                <w:b/>
                <w:kern w:val="0"/>
                <w:sz w:val="16"/>
                <w:szCs w:val="16"/>
              </w:rPr>
            </w:pPr>
          </w:p>
        </w:tc>
        <w:tc>
          <w:tcPr>
            <w:tcW w:w="1388" w:type="dxa"/>
            <w:gridSpan w:val="2"/>
            <w:vAlign w:val="center"/>
          </w:tcPr>
          <w:p>
            <w:pPr>
              <w:widowControl w:val="0"/>
              <w:topLinePunct w:val="0"/>
              <w:autoSpaceDE w:val="0"/>
              <w:autoSpaceDN w:val="0"/>
              <w:snapToGrid/>
              <w:spacing w:before="0" w:after="0" w:line="360" w:lineRule="exact"/>
              <w:ind w:left="0"/>
              <w:jc w:val="center"/>
              <w:rPr>
                <w:rFonts w:hint="eastAsia" w:ascii="仿宋_GB2312" w:hAnsi="仿宋_GB2312" w:eastAsia="仿宋_GB2312" w:cs="仿宋_GB2312"/>
                <w:b/>
                <w:kern w:val="0"/>
                <w:sz w:val="16"/>
                <w:szCs w:val="16"/>
              </w:rPr>
            </w:pPr>
            <w:r>
              <w:rPr>
                <w:rFonts w:hint="eastAsia" w:ascii="仿宋_GB2312" w:hAnsi="仿宋_GB2312" w:eastAsia="仿宋_GB2312" w:cs="仿宋_GB2312"/>
                <w:b/>
                <w:kern w:val="0"/>
                <w:sz w:val="16"/>
                <w:szCs w:val="16"/>
              </w:rPr>
              <w:t>电离辐射</w:t>
            </w:r>
          </w:p>
        </w:tc>
        <w:tc>
          <w:tcPr>
            <w:tcW w:w="8081" w:type="dxa"/>
            <w:gridSpan w:val="2"/>
            <w:vAlign w:val="center"/>
          </w:tcPr>
          <w:p>
            <w:pPr>
              <w:widowControl w:val="0"/>
              <w:topLinePunct w:val="0"/>
              <w:autoSpaceDE w:val="0"/>
              <w:autoSpaceDN w:val="0"/>
              <w:snapToGrid/>
              <w:spacing w:before="0" w:after="0" w:line="360" w:lineRule="exact"/>
              <w:ind w:left="0"/>
              <w:rPr>
                <w:rFonts w:hint="eastAsia" w:ascii="仿宋_GB2312" w:hAnsi="仿宋_GB2312" w:eastAsia="仿宋_GB2312" w:cs="仿宋_GB2312"/>
                <w:kern w:val="0"/>
                <w:sz w:val="16"/>
                <w:szCs w:val="16"/>
              </w:rPr>
            </w:pPr>
            <w:r>
              <w:rPr>
                <w:rFonts w:hint="eastAsia" w:ascii="仿宋_GB2312" w:hAnsi="仿宋_GB2312" w:eastAsia="仿宋_GB2312" w:cs="仿宋_GB2312"/>
                <w:b/>
                <w:kern w:val="0"/>
                <w:sz w:val="16"/>
                <w:szCs w:val="16"/>
              </w:rPr>
              <w:t>X-ray 辐射</w:t>
            </w:r>
            <w:r>
              <w:rPr>
                <w:rFonts w:hint="eastAsia" w:ascii="仿宋_GB2312" w:hAnsi="仿宋_GB2312" w:eastAsia="仿宋_GB2312" w:cs="仿宋_GB2312"/>
                <w:kern w:val="0"/>
                <w:sz w:val="16"/>
                <w:szCs w:val="16"/>
              </w:rPr>
              <w:t>：≤100μSv/周（操作人员）；≤5μSv/周（其他人员）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1765" w:type="dxa"/>
            <w:gridSpan w:val="3"/>
            <w:vAlign w:val="center"/>
          </w:tcPr>
          <w:p>
            <w:pPr>
              <w:widowControl w:val="0"/>
              <w:topLinePunct w:val="0"/>
              <w:autoSpaceDE w:val="0"/>
              <w:autoSpaceDN w:val="0"/>
              <w:snapToGrid/>
              <w:spacing w:before="0" w:after="0" w:line="360" w:lineRule="exact"/>
              <w:ind w:left="0"/>
              <w:jc w:val="center"/>
              <w:rPr>
                <w:rFonts w:hint="eastAsia" w:ascii="仿宋_GB2312" w:hAnsi="仿宋_GB2312" w:eastAsia="仿宋_GB2312" w:cs="仿宋_GB2312"/>
                <w:b/>
                <w:kern w:val="0"/>
                <w:sz w:val="16"/>
                <w:szCs w:val="16"/>
                <w:vertAlign w:val="superscript"/>
              </w:rPr>
            </w:pPr>
            <w:r>
              <w:rPr>
                <w:rFonts w:hint="eastAsia" w:ascii="仿宋_GB2312" w:hAnsi="仿宋_GB2312" w:eastAsia="仿宋_GB2312" w:cs="仿宋_GB2312"/>
                <w:b/>
                <w:kern w:val="0"/>
                <w:sz w:val="16"/>
                <w:szCs w:val="16"/>
              </w:rPr>
              <w:t>噪音dB(A)</w:t>
            </w:r>
            <w:r>
              <w:rPr>
                <w:rFonts w:hint="eastAsia" w:ascii="仿宋_GB2312" w:hAnsi="仿宋_GB2312" w:eastAsia="仿宋_GB2312" w:cs="仿宋_GB2312"/>
                <w:b/>
                <w:kern w:val="0"/>
                <w:sz w:val="16"/>
                <w:szCs w:val="16"/>
                <w:vertAlign w:val="superscript"/>
              </w:rPr>
              <w:t>[10]</w:t>
            </w:r>
          </w:p>
        </w:tc>
        <w:tc>
          <w:tcPr>
            <w:tcW w:w="8081" w:type="dxa"/>
            <w:gridSpan w:val="2"/>
            <w:vAlign w:val="center"/>
          </w:tcPr>
          <w:p>
            <w:pPr>
              <w:widowControl w:val="0"/>
              <w:topLinePunct w:val="0"/>
              <w:autoSpaceDE w:val="0"/>
              <w:autoSpaceDN w:val="0"/>
              <w:snapToGrid/>
              <w:spacing w:before="0" w:after="0" w:line="360" w:lineRule="exact"/>
              <w:ind w:left="0"/>
              <w:rPr>
                <w:rFonts w:hint="eastAsia" w:ascii="仿宋_GB2312" w:hAnsi="仿宋_GB2312" w:eastAsia="仿宋_GB2312" w:cs="仿宋_GB2312"/>
                <w:sz w:val="16"/>
                <w:szCs w:val="16"/>
              </w:rPr>
            </w:pPr>
            <w:r>
              <w:rPr>
                <w:rFonts w:hint="eastAsia" w:ascii="仿宋_GB2312" w:hAnsi="仿宋_GB2312" w:eastAsia="仿宋_GB2312" w:cs="仿宋_GB2312"/>
                <w:kern w:val="0"/>
                <w:sz w:val="16"/>
                <w:szCs w:val="16"/>
              </w:rPr>
              <w:t>空厂房: ≤</w:t>
            </w:r>
            <w:r>
              <w:rPr>
                <w:rFonts w:hint="eastAsia" w:ascii="仿宋_GB2312" w:hAnsi="仿宋_GB2312" w:eastAsia="仿宋_GB2312" w:cs="仿宋_GB2312"/>
                <w:sz w:val="16"/>
                <w:szCs w:val="16"/>
              </w:rPr>
              <w:t xml:space="preserve">65；正常生产厂房: </w:t>
            </w:r>
            <w:r>
              <w:rPr>
                <w:rFonts w:hint="eastAsia" w:ascii="仿宋_GB2312" w:hAnsi="仿宋_GB2312" w:eastAsia="仿宋_GB2312" w:cs="仿宋_GB2312"/>
                <w:kern w:val="0"/>
                <w:sz w:val="16"/>
                <w:szCs w:val="16"/>
              </w:rPr>
              <w:t>≤</w:t>
            </w:r>
            <w:r>
              <w:rPr>
                <w:rFonts w:hint="eastAsia" w:ascii="仿宋_GB2312" w:hAnsi="仿宋_GB2312" w:eastAsia="仿宋_GB2312" w:cs="仿宋_GB2312"/>
                <w:sz w:val="16"/>
                <w:szCs w:val="16"/>
              </w:rPr>
              <w:t>78（隔离区除外</w:t>
            </w:r>
            <w:r>
              <w:rPr>
                <w:rFonts w:hint="eastAsia" w:ascii="仿宋_GB2312" w:hAnsi="仿宋_GB2312" w:eastAsia="仿宋_GB2312" w:cs="仿宋_GB2312"/>
                <w:kern w:val="0"/>
                <w:sz w:val="16"/>
                <w:szCs w:val="16"/>
                <w:shd w:val="clear" w:color="auto" w:fill="F7F7F7"/>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1765" w:type="dxa"/>
            <w:gridSpan w:val="3"/>
            <w:vAlign w:val="center"/>
          </w:tcPr>
          <w:p>
            <w:pPr>
              <w:widowControl w:val="0"/>
              <w:topLinePunct w:val="0"/>
              <w:autoSpaceDE w:val="0"/>
              <w:autoSpaceDN w:val="0"/>
              <w:snapToGrid/>
              <w:spacing w:before="0" w:after="0" w:line="360" w:lineRule="exact"/>
              <w:ind w:left="0"/>
              <w:jc w:val="center"/>
              <w:rPr>
                <w:rFonts w:hint="eastAsia" w:ascii="仿宋_GB2312" w:hAnsi="仿宋_GB2312" w:eastAsia="仿宋_GB2312" w:cs="仿宋_GB2312"/>
                <w:b/>
                <w:kern w:val="0"/>
                <w:sz w:val="16"/>
                <w:szCs w:val="16"/>
                <w:vertAlign w:val="superscript"/>
              </w:rPr>
            </w:pPr>
            <w:r>
              <w:rPr>
                <w:rFonts w:hint="eastAsia" w:ascii="仿宋_GB2312" w:hAnsi="仿宋_GB2312" w:eastAsia="仿宋_GB2312" w:cs="仿宋_GB2312"/>
                <w:b/>
                <w:kern w:val="0"/>
                <w:sz w:val="16"/>
                <w:szCs w:val="16"/>
              </w:rPr>
              <w:t>异味气体浓度限值</w:t>
            </w:r>
            <w:r>
              <w:rPr>
                <w:rFonts w:hint="eastAsia" w:ascii="仿宋_GB2312" w:hAnsi="仿宋_GB2312" w:eastAsia="仿宋_GB2312" w:cs="仿宋_GB2312"/>
                <w:b/>
                <w:kern w:val="0"/>
                <w:sz w:val="16"/>
                <w:szCs w:val="16"/>
                <w:vertAlign w:val="superscript"/>
              </w:rPr>
              <w:t>[11]</w:t>
            </w:r>
          </w:p>
        </w:tc>
        <w:tc>
          <w:tcPr>
            <w:tcW w:w="8081" w:type="dxa"/>
            <w:gridSpan w:val="2"/>
            <w:vAlign w:val="center"/>
          </w:tcPr>
          <w:p>
            <w:pPr>
              <w:widowControl w:val="0"/>
              <w:topLinePunct w:val="0"/>
              <w:autoSpaceDE w:val="0"/>
              <w:autoSpaceDN w:val="0"/>
              <w:snapToGrid/>
              <w:spacing w:before="0" w:after="0" w:line="360" w:lineRule="exact"/>
              <w:ind w:left="0"/>
              <w:rPr>
                <w:rFonts w:hint="eastAsia" w:ascii="仿宋_GB2312" w:hAnsi="仿宋_GB2312" w:eastAsia="仿宋_GB2312" w:cs="仿宋_GB2312"/>
                <w:kern w:val="0"/>
                <w:sz w:val="16"/>
                <w:szCs w:val="16"/>
              </w:rPr>
            </w:pPr>
            <w:r>
              <w:rPr>
                <w:rFonts w:hint="eastAsia" w:ascii="仿宋_GB2312" w:hAnsi="仿宋_GB2312" w:eastAsia="仿宋_GB2312" w:cs="仿宋_GB2312"/>
                <w:kern w:val="0"/>
                <w:sz w:val="16"/>
                <w:szCs w:val="16"/>
              </w:rPr>
              <w:t>/</w:t>
            </w:r>
          </w:p>
        </w:tc>
      </w:tr>
    </w:tbl>
    <w:p>
      <w:pPr>
        <w:widowControl w:val="0"/>
        <w:topLinePunct w:val="0"/>
        <w:autoSpaceDE w:val="0"/>
        <w:autoSpaceDN w:val="0"/>
        <w:snapToGrid/>
        <w:spacing w:before="0" w:after="0" w:line="360" w:lineRule="exact"/>
        <w:ind w:left="0"/>
        <w:jc w:val="both"/>
        <w:rPr>
          <w:rFonts w:hint="eastAsia" w:ascii="仿宋_GB2312" w:hAnsi="仿宋_GB2312" w:eastAsia="仿宋_GB2312" w:cs="仿宋_GB2312"/>
          <w:b/>
          <w:kern w:val="0"/>
        </w:rPr>
      </w:pPr>
      <w:r>
        <w:rPr>
          <w:rFonts w:hint="eastAsia" w:ascii="仿宋_GB2312" w:hAnsi="仿宋_GB2312" w:eastAsia="仿宋_GB2312" w:cs="仿宋_GB2312"/>
          <w:b/>
          <w:kern w:val="0"/>
        </w:rPr>
        <w:t>标注说明：</w:t>
      </w:r>
    </w:p>
    <w:p>
      <w:pPr>
        <w:widowControl w:val="0"/>
        <w:topLinePunct w:val="0"/>
        <w:autoSpaceDE w:val="0"/>
        <w:autoSpaceDN w:val="0"/>
        <w:snapToGrid/>
        <w:spacing w:before="0" w:after="0" w:line="360" w:lineRule="exact"/>
        <w:ind w:left="315" w:hanging="315" w:hangingChars="150"/>
        <w:rPr>
          <w:rFonts w:hint="eastAsia" w:ascii="仿宋_GB2312" w:hAnsi="仿宋_GB2312" w:eastAsia="仿宋_GB2312" w:cs="仿宋_GB2312"/>
          <w:kern w:val="0"/>
        </w:rPr>
      </w:pPr>
      <w:r>
        <w:rPr>
          <w:rFonts w:hint="eastAsia" w:ascii="仿宋_GB2312" w:hAnsi="仿宋_GB2312" w:eastAsia="仿宋_GB2312" w:cs="仿宋_GB2312"/>
          <w:kern w:val="0"/>
          <w:vertAlign w:val="superscript"/>
        </w:rPr>
        <w:t>[1]</w:t>
      </w:r>
      <w:r>
        <w:rPr>
          <w:rFonts w:hint="eastAsia" w:ascii="仿宋_GB2312" w:hAnsi="仿宋_GB2312" w:eastAsia="仿宋_GB2312" w:cs="仿宋_GB2312"/>
          <w:kern w:val="0"/>
        </w:rPr>
        <w:t>：对于特殊功能区域（如ESD、MSD区域）、特殊工艺制程或特殊产品加工要求的，按特殊区域、特殊工艺及特殊产品的相关规范执行；MSD（潮湿敏感器件）作业区域，相对湿度管控要求为≤60%。</w:t>
      </w:r>
    </w:p>
    <w:p>
      <w:pPr>
        <w:widowControl w:val="0"/>
        <w:topLinePunct w:val="0"/>
        <w:autoSpaceDE w:val="0"/>
        <w:autoSpaceDN w:val="0"/>
        <w:snapToGrid/>
        <w:spacing w:before="0" w:after="0" w:line="360" w:lineRule="exact"/>
        <w:ind w:left="315" w:hanging="315" w:hangingChars="150"/>
        <w:rPr>
          <w:rFonts w:hint="eastAsia" w:ascii="仿宋_GB2312" w:hAnsi="仿宋_GB2312" w:eastAsia="仿宋_GB2312" w:cs="仿宋_GB2312"/>
          <w:kern w:val="0"/>
        </w:rPr>
      </w:pPr>
      <w:r>
        <w:rPr>
          <w:rFonts w:hint="eastAsia" w:ascii="仿宋_GB2312" w:hAnsi="仿宋_GB2312" w:eastAsia="仿宋_GB2312" w:cs="仿宋_GB2312"/>
          <w:kern w:val="0"/>
          <w:vertAlign w:val="superscript"/>
        </w:rPr>
        <w:t>[2]</w:t>
      </w:r>
      <w:r>
        <w:rPr>
          <w:rFonts w:hint="eastAsia" w:ascii="仿宋_GB2312" w:hAnsi="仿宋_GB2312" w:eastAsia="仿宋_GB2312" w:cs="仿宋_GB2312"/>
          <w:kern w:val="0"/>
        </w:rPr>
        <w:t>：物料包装拆封区域，物料包装拆封后以及半成品的物流、存放及仓储区域（若仓储环境不具备，可采取局部措施予以实现，如干燥柜等）。</w:t>
      </w:r>
    </w:p>
    <w:p>
      <w:pPr>
        <w:widowControl w:val="0"/>
        <w:topLinePunct w:val="0"/>
        <w:autoSpaceDE w:val="0"/>
        <w:autoSpaceDN w:val="0"/>
        <w:snapToGrid/>
        <w:spacing w:before="0" w:after="0" w:line="360" w:lineRule="exact"/>
        <w:ind w:left="315" w:hanging="315" w:hangingChars="150"/>
        <w:rPr>
          <w:rFonts w:hint="eastAsia" w:ascii="仿宋_GB2312" w:hAnsi="仿宋_GB2312" w:eastAsia="仿宋_GB2312" w:cs="仿宋_GB2312"/>
          <w:kern w:val="0"/>
        </w:rPr>
      </w:pPr>
      <w:r>
        <w:rPr>
          <w:rFonts w:hint="eastAsia" w:ascii="仿宋_GB2312" w:hAnsi="仿宋_GB2312" w:eastAsia="仿宋_GB2312" w:cs="仿宋_GB2312"/>
          <w:kern w:val="0"/>
          <w:vertAlign w:val="superscript"/>
        </w:rPr>
        <w:t>[3]</w:t>
      </w:r>
      <w:r>
        <w:rPr>
          <w:rFonts w:hint="eastAsia" w:ascii="仿宋_GB2312" w:hAnsi="仿宋_GB2312" w:eastAsia="仿宋_GB2312" w:cs="仿宋_GB2312"/>
          <w:kern w:val="0"/>
        </w:rPr>
        <w:t>：有完整包装的物料存放及仓储区域（如收货区、成品区、发货区等），完整包装即供应商来料原包装、拆箱后即时恢复的包装、成品包装。</w:t>
      </w:r>
    </w:p>
    <w:p>
      <w:pPr>
        <w:widowControl w:val="0"/>
        <w:topLinePunct w:val="0"/>
        <w:autoSpaceDE w:val="0"/>
        <w:autoSpaceDN w:val="0"/>
        <w:snapToGrid/>
        <w:spacing w:before="0" w:after="0" w:line="360" w:lineRule="exact"/>
        <w:ind w:left="315" w:hanging="315" w:hangingChars="150"/>
        <w:jc w:val="both"/>
        <w:rPr>
          <w:rFonts w:hint="eastAsia" w:ascii="仿宋_GB2312" w:hAnsi="仿宋_GB2312" w:eastAsia="仿宋_GB2312" w:cs="仿宋_GB2312"/>
          <w:kern w:val="0"/>
        </w:rPr>
      </w:pPr>
      <w:r>
        <w:rPr>
          <w:rFonts w:hint="eastAsia" w:ascii="仿宋_GB2312" w:hAnsi="仿宋_GB2312" w:eastAsia="仿宋_GB2312" w:cs="仿宋_GB2312"/>
          <w:kern w:val="0"/>
          <w:vertAlign w:val="superscript"/>
        </w:rPr>
        <w:t>[4]</w:t>
      </w:r>
      <w:r>
        <w:rPr>
          <w:rFonts w:hint="eastAsia" w:ascii="仿宋_GB2312" w:hAnsi="仿宋_GB2312" w:eastAsia="仿宋_GB2312" w:cs="仿宋_GB2312"/>
          <w:kern w:val="0"/>
        </w:rPr>
        <w:t>：洁净度管控规范参考调研企业主流数据及行业标准而定，</w:t>
      </w:r>
    </w:p>
    <w:p>
      <w:pPr>
        <w:widowControl w:val="0"/>
        <w:topLinePunct w:val="0"/>
        <w:autoSpaceDE w:val="0"/>
        <w:autoSpaceDN w:val="0"/>
        <w:snapToGrid/>
        <w:spacing w:before="0" w:after="0" w:line="360" w:lineRule="exact"/>
        <w:ind w:left="315" w:hanging="315" w:hangingChars="150"/>
        <w:rPr>
          <w:rFonts w:hint="eastAsia" w:ascii="仿宋_GB2312" w:hAnsi="仿宋_GB2312" w:eastAsia="仿宋_GB2312" w:cs="仿宋_GB2312"/>
          <w:kern w:val="0"/>
        </w:rPr>
      </w:pPr>
      <w:r>
        <w:rPr>
          <w:rFonts w:hint="eastAsia" w:ascii="仿宋_GB2312" w:hAnsi="仿宋_GB2312" w:eastAsia="仿宋_GB2312" w:cs="仿宋_GB2312"/>
          <w:kern w:val="0"/>
          <w:vertAlign w:val="superscript"/>
        </w:rPr>
        <w:t>[6]</w:t>
      </w:r>
      <w:r>
        <w:rPr>
          <w:rFonts w:hint="eastAsia" w:ascii="仿宋_GB2312" w:hAnsi="仿宋_GB2312" w:eastAsia="仿宋_GB2312" w:cs="仿宋_GB2312"/>
          <w:kern w:val="0"/>
        </w:rPr>
        <w:t>：光照强度简称照度，表面上一点的照度是入射在包含该点的面元上的光通量除以该面元面积所得之商，单位为勒克斯（Lx）。未特别注明区域指0.75m水平面的照度值；通用厂房区域按照不高于500Lx照度标准建设，局部范围照度要求较高时可另加局部照明。</w:t>
      </w:r>
    </w:p>
    <w:p>
      <w:pPr>
        <w:widowControl w:val="0"/>
        <w:topLinePunct w:val="0"/>
        <w:autoSpaceDE w:val="0"/>
        <w:autoSpaceDN w:val="0"/>
        <w:snapToGrid/>
        <w:spacing w:before="0" w:after="0" w:line="360" w:lineRule="exact"/>
        <w:ind w:left="315" w:hanging="315" w:hangingChars="150"/>
        <w:jc w:val="both"/>
        <w:rPr>
          <w:rFonts w:hint="eastAsia" w:ascii="仿宋_GB2312" w:hAnsi="仿宋_GB2312" w:eastAsia="仿宋_GB2312" w:cs="仿宋_GB2312"/>
          <w:kern w:val="0"/>
        </w:rPr>
      </w:pPr>
      <w:r>
        <w:rPr>
          <w:rFonts w:hint="eastAsia" w:ascii="仿宋_GB2312" w:hAnsi="仿宋_GB2312" w:eastAsia="仿宋_GB2312" w:cs="仿宋_GB2312"/>
          <w:kern w:val="0"/>
          <w:vertAlign w:val="superscript"/>
        </w:rPr>
        <w:t>[7]</w:t>
      </w:r>
      <w:r>
        <w:rPr>
          <w:rFonts w:hint="eastAsia" w:ascii="仿宋_GB2312" w:hAnsi="仿宋_GB2312" w:eastAsia="仿宋_GB2312" w:cs="仿宋_GB2312"/>
          <w:kern w:val="0"/>
        </w:rPr>
        <w:t>：用以评估人对环境振动的舒适和不舒适，单位m/s</w:t>
      </w:r>
      <w:r>
        <w:rPr>
          <w:rFonts w:hint="eastAsia" w:ascii="仿宋_GB2312" w:hAnsi="仿宋_GB2312" w:eastAsia="仿宋_GB2312" w:cs="仿宋_GB2312"/>
          <w:kern w:val="0"/>
          <w:vertAlign w:val="superscript"/>
        </w:rPr>
        <w:t>2</w:t>
      </w:r>
      <w:r>
        <w:rPr>
          <w:rFonts w:hint="eastAsia" w:ascii="仿宋_GB2312" w:hAnsi="仿宋_GB2312" w:eastAsia="仿宋_GB2312" w:cs="仿宋_GB2312"/>
          <w:kern w:val="0"/>
        </w:rPr>
        <w:t>。</w:t>
      </w:r>
    </w:p>
    <w:p>
      <w:pPr>
        <w:widowControl w:val="0"/>
        <w:topLinePunct w:val="0"/>
        <w:autoSpaceDE w:val="0"/>
        <w:autoSpaceDN w:val="0"/>
        <w:snapToGrid/>
        <w:spacing w:before="0" w:after="0" w:line="360" w:lineRule="exact"/>
        <w:ind w:left="315" w:hanging="315" w:hangingChars="150"/>
        <w:jc w:val="both"/>
        <w:rPr>
          <w:rFonts w:hint="eastAsia" w:ascii="仿宋_GB2312" w:hAnsi="仿宋_GB2312" w:eastAsia="仿宋_GB2312" w:cs="仿宋_GB2312"/>
          <w:kern w:val="0"/>
        </w:rPr>
      </w:pPr>
      <w:r>
        <w:rPr>
          <w:rFonts w:hint="eastAsia" w:ascii="仿宋_GB2312" w:hAnsi="仿宋_GB2312" w:eastAsia="仿宋_GB2312" w:cs="仿宋_GB2312"/>
          <w:kern w:val="0"/>
          <w:vertAlign w:val="superscript"/>
        </w:rPr>
        <w:t>[8]</w:t>
      </w:r>
      <w:r>
        <w:rPr>
          <w:rFonts w:hint="eastAsia" w:ascii="仿宋_GB2312" w:hAnsi="仿宋_GB2312" w:eastAsia="仿宋_GB2312" w:cs="仿宋_GB2312"/>
          <w:kern w:val="0"/>
        </w:rPr>
        <w:t>：用以评估环境振动对加工测量设备的影响，单位um/s。目前我司暂无产品工艺及设备对其有具体要求，管控规格暂依据金相显微镜在时域范围内的容许限值而定。若有对振动有要求的设备，如扫描电镜、研磨设备等，从设备本身增加防振设施予以解决。</w:t>
      </w:r>
    </w:p>
    <w:p>
      <w:pPr>
        <w:widowControl w:val="0"/>
        <w:topLinePunct w:val="0"/>
        <w:autoSpaceDE w:val="0"/>
        <w:autoSpaceDN w:val="0"/>
        <w:snapToGrid/>
        <w:spacing w:before="0" w:after="0" w:line="360" w:lineRule="exact"/>
        <w:ind w:left="315" w:hanging="315" w:hangingChars="150"/>
        <w:jc w:val="both"/>
        <w:rPr>
          <w:rFonts w:hint="eastAsia" w:ascii="仿宋_GB2312" w:hAnsi="仿宋_GB2312" w:eastAsia="仿宋_GB2312" w:cs="仿宋_GB2312"/>
          <w:kern w:val="0"/>
        </w:rPr>
      </w:pPr>
      <w:r>
        <w:rPr>
          <w:rFonts w:hint="eastAsia" w:ascii="仿宋_GB2312" w:hAnsi="仿宋_GB2312" w:eastAsia="仿宋_GB2312" w:cs="仿宋_GB2312"/>
          <w:kern w:val="0"/>
          <w:vertAlign w:val="superscript"/>
        </w:rPr>
        <w:t>[10]</w:t>
      </w:r>
      <w:r>
        <w:rPr>
          <w:rFonts w:hint="eastAsia" w:ascii="仿宋_GB2312" w:hAnsi="仿宋_GB2312" w:eastAsia="仿宋_GB2312" w:cs="仿宋_GB2312"/>
          <w:kern w:val="0"/>
        </w:rPr>
        <w:t>：隔离区主要包括老化测试房、空压机房、音频测试房、精密机加磨床等。此标准值为最大值；</w:t>
      </w:r>
    </w:p>
    <w:p>
      <w:pPr>
        <w:spacing w:before="240" w:after="240" w:line="360" w:lineRule="auto"/>
        <w:outlineLvl w:val="1"/>
        <w:rPr>
          <w:rFonts w:hint="default" w:ascii="仿宋_GB2312" w:hAnsi="仿宋_GB2312" w:eastAsia="仿宋_GB2312" w:cs="仿宋_GB2312"/>
          <w:b/>
          <w:bCs/>
          <w:color w:val="000000"/>
          <w:sz w:val="24"/>
          <w:lang w:val="en-US" w:eastAsia="zh-CN"/>
        </w:rPr>
      </w:pPr>
      <w:r>
        <w:rPr>
          <w:rFonts w:hint="eastAsia" w:ascii="仿宋_GB2312" w:hAnsi="仿宋_GB2312" w:eastAsia="仿宋_GB2312" w:cs="仿宋_GB2312"/>
          <w:b/>
          <w:bCs/>
          <w:color w:val="000000"/>
          <w:sz w:val="24"/>
          <w:lang w:val="en-US" w:eastAsia="zh-CN"/>
        </w:rPr>
        <w:t>三、工程内容</w:t>
      </w:r>
    </w:p>
    <w:p>
      <w:pPr>
        <w:spacing w:line="360" w:lineRule="auto"/>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1、二次装修工程：</w:t>
      </w:r>
    </w:p>
    <w:p>
      <w:pPr>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r>
        <w:rPr>
          <w:rFonts w:hint="eastAsia" w:ascii="仿宋_GB2312" w:hAnsi="仿宋_GB2312" w:eastAsia="仿宋_GB2312" w:cs="仿宋_GB2312"/>
          <w:sz w:val="21"/>
          <w:szCs w:val="21"/>
          <w:lang w:val="en-US" w:eastAsia="zh-CN"/>
        </w:rPr>
        <w:t>无尘室</w:t>
      </w:r>
      <w:r>
        <w:rPr>
          <w:rFonts w:hint="eastAsia" w:ascii="仿宋_GB2312" w:hAnsi="仿宋_GB2312" w:eastAsia="仿宋_GB2312" w:cs="仿宋_GB2312"/>
          <w:sz w:val="21"/>
          <w:szCs w:val="21"/>
        </w:rPr>
        <w:t>车间洁净板隔墙（含隔墙范围内的门、窗、回风柱）；</w:t>
      </w:r>
    </w:p>
    <w:p>
      <w:pPr>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w:t>
      </w:r>
      <w:r>
        <w:rPr>
          <w:rFonts w:hint="eastAsia" w:ascii="仿宋_GB2312" w:hAnsi="仿宋_GB2312" w:eastAsia="仿宋_GB2312" w:cs="仿宋_GB2312"/>
          <w:sz w:val="21"/>
          <w:szCs w:val="21"/>
          <w:lang w:eastAsia="zh-CN"/>
        </w:rPr>
        <w:t>净化间</w:t>
      </w:r>
      <w:r>
        <w:rPr>
          <w:rFonts w:hint="eastAsia" w:ascii="仿宋_GB2312" w:hAnsi="仿宋_GB2312" w:eastAsia="仿宋_GB2312" w:cs="仿宋_GB2312"/>
          <w:sz w:val="21"/>
          <w:szCs w:val="21"/>
        </w:rPr>
        <w:t>车间洁净板吊顶（含吊顶转换层）；</w:t>
      </w:r>
    </w:p>
    <w:p>
      <w:pPr>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val="en-US" w:eastAsia="zh-CN"/>
        </w:rPr>
        <w:t>3</w:t>
      </w: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eastAsia="zh-CN"/>
        </w:rPr>
        <w:t>净化间</w:t>
      </w:r>
      <w:r>
        <w:rPr>
          <w:rFonts w:hint="eastAsia" w:ascii="仿宋_GB2312" w:hAnsi="仿宋_GB2312" w:eastAsia="仿宋_GB2312" w:cs="仿宋_GB2312"/>
          <w:sz w:val="21"/>
          <w:szCs w:val="21"/>
        </w:rPr>
        <w:t>车间无尘漆饰面；</w:t>
      </w:r>
    </w:p>
    <w:p>
      <w:pPr>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val="en-US" w:eastAsia="zh-CN"/>
        </w:rPr>
        <w:t>4</w:t>
      </w: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eastAsia="zh-CN"/>
        </w:rPr>
        <w:t>净化间</w:t>
      </w:r>
      <w:r>
        <w:rPr>
          <w:rFonts w:hint="eastAsia" w:ascii="仿宋_GB2312" w:hAnsi="仿宋_GB2312" w:eastAsia="仿宋_GB2312" w:cs="仿宋_GB2312"/>
          <w:sz w:val="21"/>
          <w:szCs w:val="21"/>
        </w:rPr>
        <w:t>车间</w:t>
      </w:r>
      <w:r>
        <w:rPr>
          <w:rFonts w:hint="eastAsia" w:ascii="仿宋_GB2312" w:hAnsi="仿宋_GB2312" w:eastAsia="仿宋_GB2312" w:cs="仿宋_GB2312"/>
          <w:sz w:val="21"/>
          <w:szCs w:val="21"/>
          <w:lang w:val="en-US" w:eastAsia="zh-CN"/>
        </w:rPr>
        <w:t>防静电地板</w:t>
      </w:r>
      <w:r>
        <w:rPr>
          <w:rFonts w:hint="eastAsia" w:ascii="仿宋_GB2312" w:hAnsi="仿宋_GB2312" w:eastAsia="仿宋_GB2312" w:cs="仿宋_GB2312"/>
          <w:sz w:val="21"/>
          <w:szCs w:val="21"/>
        </w:rPr>
        <w:t>；</w:t>
      </w:r>
    </w:p>
    <w:p>
      <w:pPr>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val="en-US" w:eastAsia="zh-CN"/>
        </w:rPr>
        <w:t>5</w:t>
      </w: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eastAsia="zh-CN"/>
        </w:rPr>
        <w:t>净化间</w:t>
      </w:r>
      <w:r>
        <w:rPr>
          <w:rFonts w:hint="eastAsia" w:ascii="仿宋_GB2312" w:hAnsi="仿宋_GB2312" w:eastAsia="仿宋_GB2312" w:cs="仿宋_GB2312"/>
          <w:sz w:val="21"/>
          <w:szCs w:val="21"/>
        </w:rPr>
        <w:t>车间</w:t>
      </w:r>
      <w:r>
        <w:rPr>
          <w:rFonts w:hint="eastAsia" w:ascii="仿宋_GB2312" w:hAnsi="仿宋_GB2312" w:eastAsia="仿宋_GB2312" w:cs="仿宋_GB2312"/>
          <w:sz w:val="21"/>
          <w:szCs w:val="21"/>
          <w:lang w:val="en-US" w:eastAsia="zh-CN"/>
        </w:rPr>
        <w:t>外</w:t>
      </w:r>
      <w:r>
        <w:rPr>
          <w:rFonts w:hint="eastAsia" w:ascii="仿宋_GB2312" w:hAnsi="仿宋_GB2312" w:eastAsia="仿宋_GB2312" w:cs="仿宋_GB2312"/>
          <w:sz w:val="21"/>
          <w:szCs w:val="21"/>
        </w:rPr>
        <w:t>围栏、防撞栏及防撞柱</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lang w:val="en-US" w:eastAsia="zh-CN"/>
        </w:rPr>
        <w:t>踢脚线</w:t>
      </w:r>
      <w:r>
        <w:rPr>
          <w:rFonts w:hint="eastAsia" w:ascii="仿宋_GB2312" w:hAnsi="仿宋_GB2312" w:eastAsia="仿宋_GB2312" w:cs="仿宋_GB2312"/>
          <w:sz w:val="21"/>
          <w:szCs w:val="21"/>
        </w:rPr>
        <w:t>；</w:t>
      </w:r>
    </w:p>
    <w:p>
      <w:pPr>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val="en-US" w:eastAsia="zh-CN"/>
        </w:rPr>
        <w:t>6</w:t>
      </w: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eastAsia="zh-CN"/>
        </w:rPr>
        <w:t>净化间</w:t>
      </w:r>
      <w:r>
        <w:rPr>
          <w:rFonts w:hint="eastAsia" w:ascii="仿宋_GB2312" w:hAnsi="仿宋_GB2312" w:eastAsia="仿宋_GB2312" w:cs="仿宋_GB2312"/>
          <w:sz w:val="21"/>
          <w:szCs w:val="21"/>
        </w:rPr>
        <w:t>车间成品人行风淋室及物料风淋通道；</w:t>
      </w:r>
    </w:p>
    <w:p>
      <w:pPr>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val="en-US" w:eastAsia="zh-CN"/>
        </w:rPr>
        <w:t>7</w:t>
      </w: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val="en-US" w:eastAsia="zh-CN"/>
        </w:rPr>
        <w:t>信息服务器机房设置</w:t>
      </w:r>
      <w:r>
        <w:rPr>
          <w:rFonts w:hint="eastAsia" w:ascii="仿宋_GB2312" w:hAnsi="仿宋_GB2312" w:eastAsia="仿宋_GB2312" w:cs="仿宋_GB2312"/>
          <w:sz w:val="21"/>
          <w:szCs w:val="21"/>
        </w:rPr>
        <w:t>；</w:t>
      </w:r>
    </w:p>
    <w:p>
      <w:pPr>
        <w:spacing w:line="360" w:lineRule="auto"/>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val="en-US" w:eastAsia="zh-CN"/>
        </w:rPr>
        <w:t>8</w:t>
      </w:r>
      <w:r>
        <w:rPr>
          <w:rFonts w:hint="eastAsia" w:ascii="仿宋_GB2312" w:hAnsi="仿宋_GB2312" w:eastAsia="仿宋_GB2312" w:cs="仿宋_GB2312"/>
          <w:sz w:val="21"/>
          <w:szCs w:val="21"/>
        </w:rPr>
        <w:t>）危化品</w:t>
      </w:r>
      <w:r>
        <w:rPr>
          <w:rFonts w:hint="eastAsia" w:ascii="仿宋_GB2312" w:hAnsi="仿宋_GB2312" w:eastAsia="仿宋_GB2312" w:cs="仿宋_GB2312"/>
          <w:sz w:val="21"/>
          <w:szCs w:val="21"/>
          <w:lang w:val="en-US" w:eastAsia="zh-CN"/>
        </w:rPr>
        <w:t>暂存间设置</w:t>
      </w: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val="en-US" w:eastAsia="zh-CN"/>
        </w:rPr>
        <w:t>危废暂存间设置；工业垃圾放置房设置；</w:t>
      </w:r>
    </w:p>
    <w:p>
      <w:pPr>
        <w:spacing w:line="360" w:lineRule="auto"/>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val="en-US" w:eastAsia="zh-CN"/>
        </w:rPr>
        <w:t>9</w:t>
      </w: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val="en-US" w:eastAsia="zh-CN"/>
        </w:rPr>
        <w:t>仓库防静电地板</w:t>
      </w: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val="en-US" w:eastAsia="zh-CN"/>
        </w:rPr>
        <w:t>仓库隔断；</w:t>
      </w:r>
    </w:p>
    <w:p>
      <w:pPr>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val="en-US" w:eastAsia="zh-CN"/>
        </w:rPr>
        <w:t>10</w:t>
      </w:r>
      <w:r>
        <w:rPr>
          <w:rFonts w:hint="eastAsia" w:ascii="仿宋_GB2312" w:hAnsi="仿宋_GB2312" w:eastAsia="仿宋_GB2312" w:cs="仿宋_GB2312"/>
          <w:sz w:val="21"/>
          <w:szCs w:val="21"/>
        </w:rPr>
        <w:t>）</w:t>
      </w:r>
      <w:r>
        <w:rPr>
          <w:rFonts w:hint="eastAsia" w:ascii="仿宋_GB2312" w:hAnsi="仿宋_GB2312" w:eastAsia="仿宋_GB2312" w:cs="仿宋_GB2312"/>
          <w:sz w:val="21"/>
          <w:szCs w:val="21"/>
          <w:lang w:val="en-US" w:eastAsia="zh-CN"/>
        </w:rPr>
        <w:t>车间外PVC卷材地板或环氧地坪</w:t>
      </w:r>
      <w:r>
        <w:rPr>
          <w:rFonts w:hint="eastAsia" w:ascii="仿宋_GB2312" w:hAnsi="仿宋_GB2312" w:eastAsia="仿宋_GB2312" w:cs="仿宋_GB2312"/>
          <w:sz w:val="21"/>
          <w:szCs w:val="21"/>
        </w:rPr>
        <w:t>。</w:t>
      </w:r>
    </w:p>
    <w:p>
      <w:pPr>
        <w:spacing w:line="360" w:lineRule="auto"/>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lang w:val="en-US" w:eastAsia="zh-CN"/>
        </w:rPr>
        <w:t>11）办公室隔断设计与装修</w:t>
      </w:r>
    </w:p>
    <w:p>
      <w:pPr>
        <w:spacing w:line="360" w:lineRule="auto"/>
        <w:rPr>
          <w:rFonts w:hint="eastAsia" w:ascii="仿宋_GB2312" w:hAnsi="仿宋_GB2312" w:eastAsia="仿宋_GB2312" w:cs="仿宋_GB2312"/>
          <w:b/>
          <w:bCs/>
          <w:color w:val="000000"/>
          <w:sz w:val="21"/>
          <w:szCs w:val="21"/>
        </w:rPr>
      </w:pPr>
      <w:r>
        <w:rPr>
          <w:rFonts w:hint="eastAsia" w:ascii="仿宋_GB2312" w:hAnsi="仿宋_GB2312" w:eastAsia="仿宋_GB2312" w:cs="仿宋_GB2312"/>
          <w:b/>
          <w:bCs/>
          <w:sz w:val="21"/>
          <w:szCs w:val="21"/>
          <w:lang w:val="en-US" w:eastAsia="zh-CN"/>
        </w:rPr>
        <w:t>2</w:t>
      </w:r>
      <w:r>
        <w:rPr>
          <w:rFonts w:hint="eastAsia" w:ascii="仿宋_GB2312" w:hAnsi="仿宋_GB2312" w:eastAsia="仿宋_GB2312" w:cs="仿宋_GB2312"/>
          <w:b/>
          <w:bCs/>
          <w:sz w:val="21"/>
          <w:szCs w:val="21"/>
        </w:rPr>
        <w:t>、暖通工程</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w:t>
      </w:r>
      <w:r>
        <w:rPr>
          <w:rFonts w:hint="eastAsia" w:ascii="仿宋_GB2312" w:hAnsi="仿宋_GB2312" w:eastAsia="仿宋_GB2312" w:cs="仿宋_GB2312"/>
          <w:color w:val="000000"/>
          <w:sz w:val="21"/>
          <w:szCs w:val="21"/>
          <w:lang w:eastAsia="zh-CN"/>
        </w:rPr>
        <w:t>净化间</w:t>
      </w:r>
      <w:r>
        <w:rPr>
          <w:rFonts w:hint="eastAsia" w:ascii="仿宋_GB2312" w:hAnsi="仿宋_GB2312" w:eastAsia="仿宋_GB2312" w:cs="仿宋_GB2312"/>
          <w:color w:val="000000"/>
          <w:sz w:val="21"/>
          <w:szCs w:val="21"/>
        </w:rPr>
        <w:t>车间生产区域送排风换气系统：含风机及送排风系统等；</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w:t>
      </w:r>
      <w:r>
        <w:rPr>
          <w:rFonts w:hint="eastAsia" w:ascii="仿宋_GB2312" w:hAnsi="仿宋_GB2312" w:eastAsia="仿宋_GB2312" w:cs="仿宋_GB2312"/>
          <w:color w:val="000000"/>
          <w:sz w:val="21"/>
          <w:szCs w:val="21"/>
          <w:lang w:eastAsia="zh-CN"/>
        </w:rPr>
        <w:t>净化间</w:t>
      </w:r>
      <w:r>
        <w:rPr>
          <w:rFonts w:hint="eastAsia" w:ascii="仿宋_GB2312" w:hAnsi="仿宋_GB2312" w:eastAsia="仿宋_GB2312" w:cs="仿宋_GB2312"/>
          <w:color w:val="000000"/>
          <w:sz w:val="21"/>
          <w:szCs w:val="21"/>
        </w:rPr>
        <w:t>车间（含</w:t>
      </w:r>
      <w:r>
        <w:rPr>
          <w:rFonts w:hint="eastAsia" w:ascii="仿宋_GB2312" w:hAnsi="仿宋_GB2312" w:eastAsia="仿宋_GB2312" w:cs="仿宋_GB2312"/>
          <w:color w:val="000000"/>
          <w:sz w:val="21"/>
          <w:szCs w:val="21"/>
          <w:lang w:val="en-US" w:eastAsia="zh-CN"/>
        </w:rPr>
        <w:t>IT机房、仓库、办公室</w:t>
      </w:r>
      <w:r>
        <w:rPr>
          <w:rFonts w:hint="eastAsia" w:ascii="仿宋_GB2312" w:hAnsi="仿宋_GB2312" w:eastAsia="仿宋_GB2312" w:cs="仿宋_GB2312"/>
          <w:color w:val="000000"/>
          <w:sz w:val="21"/>
          <w:szCs w:val="21"/>
        </w:rPr>
        <w:t>）舒适及洁净空调系统：含舒适及洁净空调机组冷冻水系统、送回风系统、冷凝水排水系统等；</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w:t>
      </w:r>
      <w:r>
        <w:rPr>
          <w:rFonts w:hint="eastAsia" w:ascii="仿宋_GB2312" w:hAnsi="仿宋_GB2312" w:eastAsia="仿宋_GB2312" w:cs="仿宋_GB2312"/>
          <w:color w:val="000000"/>
          <w:sz w:val="21"/>
          <w:szCs w:val="21"/>
          <w:lang w:eastAsia="zh-CN"/>
        </w:rPr>
        <w:t>净化间</w:t>
      </w:r>
      <w:r>
        <w:rPr>
          <w:rFonts w:hint="eastAsia" w:ascii="仿宋_GB2312" w:hAnsi="仿宋_GB2312" w:eastAsia="仿宋_GB2312" w:cs="仿宋_GB2312"/>
          <w:color w:val="000000"/>
          <w:sz w:val="21"/>
          <w:szCs w:val="21"/>
        </w:rPr>
        <w:t>车间洁净除湿空调系统：冷冻水系统、送回风系统、余热回收系统、冷凝水排水系统等；</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（4）综合站房制冷站冷冻水系统：含制冷机组、冷却塔、循环水泵及管道系统、水处理系统、群控系统等。制冷站全年平均运行能效比EER≥5.0，</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w:t>
      </w:r>
      <w:r>
        <w:rPr>
          <w:rFonts w:hint="eastAsia" w:ascii="仿宋_GB2312" w:hAnsi="仿宋_GB2312" w:eastAsia="仿宋_GB2312" w:cs="仿宋_GB2312"/>
          <w:color w:val="000000"/>
          <w:sz w:val="21"/>
          <w:szCs w:val="21"/>
          <w:lang w:val="en-US" w:eastAsia="zh-CN"/>
        </w:rPr>
        <w:t>办公室、仓库、</w:t>
      </w:r>
      <w:r>
        <w:rPr>
          <w:rFonts w:hint="eastAsia" w:ascii="仿宋_GB2312" w:hAnsi="仿宋_GB2312" w:eastAsia="仿宋_GB2312" w:cs="仿宋_GB2312"/>
          <w:color w:val="000000"/>
          <w:sz w:val="21"/>
          <w:szCs w:val="21"/>
        </w:rPr>
        <w:t>舒适性空调系统：含舒适性空调机组冷冻水系统、送回风系统、冷凝水排水系统等；</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r>
        <w:rPr>
          <w:rFonts w:hint="eastAsia" w:ascii="仿宋_GB2312" w:hAnsi="仿宋_GB2312" w:eastAsia="仿宋_GB2312" w:cs="仿宋_GB2312"/>
          <w:color w:val="000000"/>
          <w:sz w:val="21"/>
          <w:szCs w:val="21"/>
          <w:lang w:val="en-US" w:eastAsia="zh-CN"/>
        </w:rPr>
        <w:t>6</w:t>
      </w:r>
      <w:r>
        <w:rPr>
          <w:rFonts w:hint="eastAsia" w:ascii="仿宋_GB2312" w:hAnsi="仿宋_GB2312" w:eastAsia="仿宋_GB2312" w:cs="仿宋_GB2312"/>
          <w:color w:val="000000"/>
          <w:sz w:val="21"/>
          <w:szCs w:val="21"/>
        </w:rPr>
        <w:t>）危化品</w:t>
      </w:r>
      <w:r>
        <w:rPr>
          <w:rFonts w:hint="eastAsia" w:ascii="仿宋_GB2312" w:hAnsi="仿宋_GB2312" w:eastAsia="仿宋_GB2312" w:cs="仿宋_GB2312"/>
          <w:color w:val="000000"/>
          <w:sz w:val="21"/>
          <w:szCs w:val="21"/>
          <w:lang w:val="en-US" w:eastAsia="zh-CN"/>
        </w:rPr>
        <w:t>暂存间、危废暂存间防爆排风机设施</w:t>
      </w:r>
      <w:r>
        <w:rPr>
          <w:rFonts w:hint="eastAsia" w:ascii="仿宋_GB2312" w:hAnsi="仿宋_GB2312" w:eastAsia="仿宋_GB2312" w:cs="仿宋_GB2312"/>
          <w:color w:val="000000"/>
          <w:sz w:val="21"/>
          <w:szCs w:val="21"/>
        </w:rPr>
        <w:t>：含设备采购、安装及调试；</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r>
        <w:rPr>
          <w:rFonts w:hint="eastAsia" w:ascii="仿宋_GB2312" w:hAnsi="仿宋_GB2312" w:eastAsia="仿宋_GB2312" w:cs="仿宋_GB2312"/>
          <w:color w:val="000000"/>
          <w:sz w:val="21"/>
          <w:szCs w:val="21"/>
          <w:lang w:val="en-US" w:eastAsia="zh-CN"/>
        </w:rPr>
        <w:t>7</w:t>
      </w:r>
      <w:r>
        <w:rPr>
          <w:rFonts w:hint="eastAsia" w:ascii="仿宋_GB2312" w:hAnsi="仿宋_GB2312" w:eastAsia="仿宋_GB2312" w:cs="仿宋_GB2312"/>
          <w:color w:val="000000"/>
          <w:sz w:val="21"/>
          <w:szCs w:val="21"/>
        </w:rPr>
        <w:t>）</w:t>
      </w:r>
      <w:r>
        <w:rPr>
          <w:rFonts w:hint="eastAsia" w:ascii="仿宋_GB2312" w:hAnsi="仿宋_GB2312" w:eastAsia="仿宋_GB2312" w:cs="仿宋_GB2312"/>
          <w:color w:val="000000"/>
          <w:sz w:val="21"/>
          <w:szCs w:val="21"/>
          <w:lang w:val="en-US" w:eastAsia="zh-CN"/>
        </w:rPr>
        <w:t>清洗间防爆通风柜及排气管道包括可燃气体探测器联动防爆</w:t>
      </w:r>
      <w:r>
        <w:rPr>
          <w:rFonts w:hint="eastAsia" w:ascii="仿宋_GB2312" w:hAnsi="仿宋_GB2312" w:eastAsia="仿宋_GB2312" w:cs="仿宋_GB2312"/>
          <w:color w:val="000000"/>
          <w:sz w:val="21"/>
          <w:szCs w:val="21"/>
        </w:rPr>
        <w:t>；</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（9）生产车间环境参数检测系统，含各区域的温湿度检测及显示看板采购及安装调试。</w:t>
      </w:r>
    </w:p>
    <w:p>
      <w:pPr>
        <w:spacing w:line="360" w:lineRule="auto"/>
        <w:rPr>
          <w:rFonts w:hint="eastAsia" w:ascii="仿宋_GB2312" w:hAnsi="仿宋_GB2312" w:eastAsia="仿宋_GB2312" w:cs="仿宋_GB2312"/>
          <w:b/>
          <w:bCs/>
          <w:color w:val="000000"/>
          <w:sz w:val="21"/>
          <w:szCs w:val="21"/>
        </w:rPr>
      </w:pPr>
      <w:r>
        <w:rPr>
          <w:rFonts w:hint="eastAsia" w:ascii="仿宋_GB2312" w:hAnsi="仿宋_GB2312" w:eastAsia="仿宋_GB2312" w:cs="仿宋_GB2312"/>
          <w:b/>
          <w:bCs/>
          <w:sz w:val="21"/>
          <w:szCs w:val="21"/>
        </w:rPr>
        <w:t>4、动力工程</w:t>
      </w:r>
    </w:p>
    <w:p>
      <w:pPr>
        <w:spacing w:line="360" w:lineRule="auto"/>
        <w:rPr>
          <w:rFonts w:hint="eastAsia"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rPr>
        <w:t xml:space="preserve"> （</w:t>
      </w:r>
      <w:r>
        <w:rPr>
          <w:rFonts w:hint="eastAsia" w:ascii="仿宋_GB2312" w:hAnsi="仿宋_GB2312" w:eastAsia="仿宋_GB2312" w:cs="仿宋_GB2312"/>
          <w:color w:val="000000"/>
          <w:sz w:val="21"/>
          <w:szCs w:val="21"/>
          <w:lang w:val="en-US" w:eastAsia="zh-CN"/>
        </w:rPr>
        <w:t>1</w:t>
      </w:r>
      <w:r>
        <w:rPr>
          <w:rFonts w:hint="eastAsia" w:ascii="仿宋_GB2312" w:hAnsi="仿宋_GB2312" w:eastAsia="仿宋_GB2312" w:cs="仿宋_GB2312"/>
          <w:color w:val="000000"/>
          <w:sz w:val="21"/>
          <w:szCs w:val="21"/>
        </w:rPr>
        <w:t>）压缩空气系统：各车间及配套单体的压缩空气管道及其附属设施，含综合站房</w:t>
      </w:r>
      <w:r>
        <w:rPr>
          <w:rFonts w:hint="eastAsia" w:ascii="仿宋_GB2312" w:hAnsi="仿宋_GB2312" w:eastAsia="仿宋_GB2312" w:cs="仿宋_GB2312"/>
          <w:color w:val="000000"/>
          <w:sz w:val="21"/>
          <w:szCs w:val="21"/>
          <w:lang w:val="en-US" w:eastAsia="zh-CN"/>
        </w:rPr>
        <w:t>无油</w:t>
      </w:r>
      <w:r>
        <w:rPr>
          <w:rFonts w:hint="eastAsia" w:ascii="仿宋_GB2312" w:hAnsi="仿宋_GB2312" w:eastAsia="仿宋_GB2312" w:cs="仿宋_GB2312"/>
          <w:color w:val="000000"/>
          <w:sz w:val="21"/>
          <w:szCs w:val="21"/>
        </w:rPr>
        <w:t>空压机、</w:t>
      </w:r>
      <w:r>
        <w:rPr>
          <w:rFonts w:hint="eastAsia" w:ascii="仿宋_GB2312" w:hAnsi="仿宋_GB2312" w:eastAsia="仿宋_GB2312" w:cs="仿宋_GB2312"/>
          <w:color w:val="000000"/>
          <w:sz w:val="21"/>
          <w:szCs w:val="21"/>
          <w:lang w:val="en-US" w:eastAsia="zh-CN"/>
        </w:rPr>
        <w:t>吸干机、</w:t>
      </w:r>
      <w:r>
        <w:rPr>
          <w:rFonts w:hint="eastAsia" w:ascii="仿宋_GB2312" w:hAnsi="仿宋_GB2312" w:eastAsia="仿宋_GB2312" w:cs="仿宋_GB2312"/>
          <w:color w:val="000000"/>
          <w:sz w:val="21"/>
          <w:szCs w:val="21"/>
        </w:rPr>
        <w:t>干燥机、</w:t>
      </w:r>
      <w:r>
        <w:rPr>
          <w:rFonts w:hint="eastAsia" w:ascii="仿宋_GB2312" w:hAnsi="仿宋_GB2312" w:eastAsia="仿宋_GB2312" w:cs="仿宋_GB2312"/>
          <w:color w:val="000000"/>
          <w:sz w:val="21"/>
          <w:szCs w:val="21"/>
          <w:lang w:val="en-US" w:eastAsia="zh-CN"/>
        </w:rPr>
        <w:t>储气罐；压缩空气采用内抛光304不锈钢无缝管道；压缩空气采用304不锈钢球阀、预留末端不锈钢球阀及不锈钢PC8-06快速接口；不含末端减压阀；车间内每条支路两边下可安装阀门并带压力表；无油螺杆式空压机、工作压力8.6bar，流量32m</w:t>
      </w:r>
      <w:r>
        <w:rPr>
          <w:rFonts w:hint="eastAsia" w:ascii="仿宋_GB2312" w:hAnsi="仿宋_GB2312" w:eastAsia="仿宋_GB2312" w:cs="仿宋_GB2312"/>
          <w:color w:val="000000"/>
          <w:sz w:val="21"/>
          <w:szCs w:val="21"/>
          <w:vertAlign w:val="superscript"/>
          <w:lang w:val="en-US" w:eastAsia="zh-CN"/>
        </w:rPr>
        <w:t>3</w:t>
      </w:r>
      <w:r>
        <w:rPr>
          <w:rFonts w:hint="eastAsia" w:ascii="仿宋_GB2312" w:hAnsi="仿宋_GB2312" w:eastAsia="仿宋_GB2312" w:cs="仿宋_GB2312"/>
          <w:color w:val="000000"/>
          <w:sz w:val="21"/>
          <w:szCs w:val="21"/>
          <w:vertAlign w:val="baseline"/>
          <w:lang w:val="en-US" w:eastAsia="zh-CN"/>
        </w:rPr>
        <w:t>/min(分2-3台）;电脑板控制，带输出信号；风冷冷冻干燥机、最大工作压力10bar,处理流量32</w:t>
      </w:r>
      <w:r>
        <w:rPr>
          <w:rFonts w:hint="eastAsia" w:ascii="仿宋_GB2312" w:hAnsi="仿宋_GB2312" w:eastAsia="仿宋_GB2312" w:cs="仿宋_GB2312"/>
          <w:color w:val="000000"/>
          <w:sz w:val="21"/>
          <w:szCs w:val="21"/>
          <w:lang w:val="en-US" w:eastAsia="zh-CN"/>
        </w:rPr>
        <w:t>m</w:t>
      </w:r>
      <w:r>
        <w:rPr>
          <w:rFonts w:hint="eastAsia" w:ascii="仿宋_GB2312" w:hAnsi="仿宋_GB2312" w:eastAsia="仿宋_GB2312" w:cs="仿宋_GB2312"/>
          <w:color w:val="000000"/>
          <w:sz w:val="21"/>
          <w:szCs w:val="21"/>
          <w:vertAlign w:val="superscript"/>
          <w:lang w:val="en-US" w:eastAsia="zh-CN"/>
        </w:rPr>
        <w:t>3</w:t>
      </w:r>
      <w:r>
        <w:rPr>
          <w:rFonts w:hint="eastAsia" w:ascii="仿宋_GB2312" w:hAnsi="仿宋_GB2312" w:eastAsia="仿宋_GB2312" w:cs="仿宋_GB2312"/>
          <w:color w:val="000000"/>
          <w:sz w:val="21"/>
          <w:szCs w:val="21"/>
          <w:vertAlign w:val="baseline"/>
          <w:lang w:val="en-US" w:eastAsia="zh-CN"/>
        </w:rPr>
        <w:t>/min(2-3台）;鼓风热露点控制吸干机、处理流量32</w:t>
      </w:r>
      <w:r>
        <w:rPr>
          <w:rFonts w:hint="eastAsia" w:ascii="仿宋_GB2312" w:hAnsi="仿宋_GB2312" w:eastAsia="仿宋_GB2312" w:cs="仿宋_GB2312"/>
          <w:color w:val="000000"/>
          <w:sz w:val="21"/>
          <w:szCs w:val="21"/>
          <w:lang w:val="en-US" w:eastAsia="zh-CN"/>
        </w:rPr>
        <w:t>m</w:t>
      </w:r>
      <w:r>
        <w:rPr>
          <w:rFonts w:hint="eastAsia" w:ascii="仿宋_GB2312" w:hAnsi="仿宋_GB2312" w:eastAsia="仿宋_GB2312" w:cs="仿宋_GB2312"/>
          <w:color w:val="000000"/>
          <w:sz w:val="21"/>
          <w:szCs w:val="21"/>
          <w:vertAlign w:val="superscript"/>
          <w:lang w:val="en-US" w:eastAsia="zh-CN"/>
        </w:rPr>
        <w:t>3</w:t>
      </w:r>
      <w:r>
        <w:rPr>
          <w:rFonts w:hint="eastAsia" w:ascii="仿宋_GB2312" w:hAnsi="仿宋_GB2312" w:eastAsia="仿宋_GB2312" w:cs="仿宋_GB2312"/>
          <w:color w:val="000000"/>
          <w:sz w:val="21"/>
          <w:szCs w:val="21"/>
          <w:vertAlign w:val="baseline"/>
          <w:lang w:val="en-US" w:eastAsia="zh-CN"/>
        </w:rPr>
        <w:t>/min，露点-40到-70</w:t>
      </w:r>
      <w:r>
        <w:rPr>
          <w:rFonts w:hint="eastAsia" w:ascii="微软雅黑" w:hAnsi="微软雅黑" w:eastAsia="微软雅黑" w:cs="微软雅黑"/>
          <w:color w:val="000000"/>
          <w:sz w:val="21"/>
          <w:szCs w:val="21"/>
          <w:vertAlign w:val="baseline"/>
          <w:lang w:val="en-US" w:eastAsia="zh-CN"/>
        </w:rPr>
        <w:t>℃</w:t>
      </w:r>
      <w:r>
        <w:rPr>
          <w:rFonts w:hint="eastAsia" w:ascii="仿宋_GB2312" w:hAnsi="仿宋_GB2312" w:eastAsia="仿宋_GB2312" w:cs="仿宋_GB2312"/>
          <w:color w:val="000000"/>
          <w:sz w:val="21"/>
          <w:szCs w:val="21"/>
          <w:lang w:val="en-US" w:eastAsia="zh-CN"/>
        </w:rPr>
        <w:t>，含油量0.01mg/m3;储气罐1.0Mpa；</w:t>
      </w:r>
    </w:p>
    <w:p>
      <w:pPr>
        <w:spacing w:line="360" w:lineRule="auto"/>
        <w:rPr>
          <w:rFonts w:hint="default"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机房内预留新增加设备的位置与接口阀门；</w:t>
      </w:r>
    </w:p>
    <w:p>
      <w:pPr>
        <w:numPr>
          <w:ilvl w:val="0"/>
          <w:numId w:val="3"/>
        </w:numPr>
        <w:spacing w:line="360" w:lineRule="auto"/>
        <w:rPr>
          <w:rFonts w:hint="eastAsia"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rPr>
        <w:t>氮气系统：各车间及配套单体的氮气管道及其附属设施，含综合站房制氮机、储气罐等</w:t>
      </w:r>
      <w:r>
        <w:rPr>
          <w:rFonts w:hint="eastAsia" w:ascii="仿宋_GB2312" w:hAnsi="仿宋_GB2312" w:eastAsia="仿宋_GB2312" w:cs="仿宋_GB2312"/>
          <w:color w:val="000000"/>
          <w:sz w:val="21"/>
          <w:szCs w:val="21"/>
          <w:lang w:eastAsia="zh-CN"/>
        </w:rPr>
        <w:t>；</w:t>
      </w:r>
      <w:r>
        <w:rPr>
          <w:rFonts w:hint="eastAsia" w:ascii="仿宋_GB2312" w:hAnsi="仿宋_GB2312" w:eastAsia="仿宋_GB2312" w:cs="仿宋_GB2312"/>
          <w:color w:val="000000"/>
          <w:sz w:val="21"/>
          <w:szCs w:val="21"/>
          <w:lang w:val="en-US" w:eastAsia="zh-CN"/>
        </w:rPr>
        <w:t>氮气采用内抛光304不锈钢无缝管道；采用304不锈钢球阀；预留末端不锈钢球阀及不锈钢PC8-06快速接口；氮气纯度99.999%，30Nm3/h;</w:t>
      </w:r>
    </w:p>
    <w:p>
      <w:pPr>
        <w:spacing w:line="360" w:lineRule="auto"/>
        <w:rPr>
          <w:rFonts w:hint="default"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机房内预留新增加设备的位置与接口阀门；</w:t>
      </w:r>
    </w:p>
    <w:p>
      <w:pPr>
        <w:numPr>
          <w:ilvl w:val="0"/>
          <w:numId w:val="3"/>
        </w:numPr>
        <w:spacing w:line="360" w:lineRule="auto"/>
        <w:ind w:left="0" w:leftChars="0" w:firstLine="0" w:firstLineChars="0"/>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21"/>
          <w:szCs w:val="21"/>
        </w:rPr>
        <w:t>真空系统：含真空泵、真空管道、</w:t>
      </w:r>
      <w:r>
        <w:rPr>
          <w:rFonts w:hint="eastAsia" w:ascii="仿宋_GB2312" w:hAnsi="仿宋_GB2312" w:eastAsia="仿宋_GB2312" w:cs="仿宋_GB2312"/>
          <w:color w:val="000000"/>
          <w:sz w:val="21"/>
          <w:szCs w:val="21"/>
          <w:lang w:val="en-US" w:eastAsia="zh-CN"/>
        </w:rPr>
        <w:t>缓冲罐、</w:t>
      </w:r>
      <w:r>
        <w:rPr>
          <w:rFonts w:hint="eastAsia" w:ascii="仿宋_GB2312" w:hAnsi="仿宋_GB2312" w:eastAsia="仿宋_GB2312" w:cs="仿宋_GB2312"/>
          <w:color w:val="000000"/>
          <w:sz w:val="21"/>
          <w:szCs w:val="21"/>
        </w:rPr>
        <w:t>废气处理系统及其控制系统</w:t>
      </w:r>
      <w:r>
        <w:rPr>
          <w:rFonts w:hint="eastAsia" w:ascii="仿宋_GB2312" w:hAnsi="仿宋_GB2312" w:eastAsia="仿宋_GB2312" w:cs="仿宋_GB2312"/>
          <w:color w:val="000000"/>
          <w:sz w:val="21"/>
          <w:szCs w:val="21"/>
          <w:lang w:eastAsia="zh-CN"/>
        </w:rPr>
        <w:t>；</w:t>
      </w:r>
      <w:r>
        <w:rPr>
          <w:rFonts w:hint="eastAsia" w:ascii="仿宋_GB2312" w:hAnsi="仿宋_GB2312" w:eastAsia="仿宋_GB2312" w:cs="仿宋_GB2312"/>
          <w:color w:val="000000"/>
          <w:sz w:val="21"/>
          <w:szCs w:val="21"/>
          <w:lang w:val="en-US" w:eastAsia="zh-CN"/>
        </w:rPr>
        <w:t>极限真空0.30mbar,抽速900m3/h；2台；机房内预留新增加设备的位置与接口阀</w:t>
      </w:r>
    </w:p>
    <w:p>
      <w:pPr>
        <w:spacing w:line="360" w:lineRule="auto"/>
        <w:rPr>
          <w:rFonts w:hint="eastAsia" w:ascii="仿宋_GB2312" w:hAnsi="仿宋_GB2312" w:eastAsia="仿宋_GB2312" w:cs="仿宋_GB2312"/>
          <w:b/>
          <w:bCs/>
          <w:color w:val="000000"/>
          <w:sz w:val="21"/>
          <w:szCs w:val="21"/>
        </w:rPr>
      </w:pPr>
      <w:r>
        <w:rPr>
          <w:rFonts w:hint="eastAsia" w:ascii="仿宋_GB2312" w:hAnsi="仿宋_GB2312" w:eastAsia="仿宋_GB2312" w:cs="仿宋_GB2312"/>
          <w:b/>
          <w:bCs/>
          <w:color w:val="000000"/>
          <w:sz w:val="21"/>
          <w:szCs w:val="21"/>
        </w:rPr>
        <w:t>5、</w:t>
      </w:r>
      <w:r>
        <w:rPr>
          <w:rFonts w:hint="eastAsia" w:ascii="仿宋_GB2312" w:hAnsi="仿宋_GB2312" w:eastAsia="仿宋_GB2312" w:cs="仿宋_GB2312"/>
          <w:b/>
          <w:bCs/>
          <w:sz w:val="21"/>
          <w:szCs w:val="21"/>
        </w:rPr>
        <w:t>给排水工程</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（1）纯水系统：含纯水制备系统，</w:t>
      </w:r>
      <w:r>
        <w:rPr>
          <w:rFonts w:hint="eastAsia" w:ascii="仿宋_GB2312" w:hAnsi="仿宋_GB2312" w:eastAsia="仿宋_GB2312" w:cs="仿宋_GB2312"/>
          <w:kern w:val="0"/>
          <w:sz w:val="21"/>
          <w:szCs w:val="21"/>
          <w:lang w:bidi="zh-CN"/>
        </w:rPr>
        <w:t>成套控制，水泵、管道、管件、阀门、支架等</w:t>
      </w:r>
      <w:r>
        <w:rPr>
          <w:rFonts w:hint="eastAsia" w:ascii="仿宋_GB2312" w:hAnsi="仿宋_GB2312" w:eastAsia="仿宋_GB2312" w:cs="仿宋_GB2312"/>
          <w:color w:val="000000"/>
          <w:sz w:val="21"/>
          <w:szCs w:val="21"/>
        </w:rPr>
        <w:t>给水管网；</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（2）给水系统：各车间及配套单体的生产及机电设备和区域的供水管道系统及配套设施，含洗眼器设备及供水管道，含车间及配套卫生间、茶水间等生活用水管道系统，</w:t>
      </w:r>
    </w:p>
    <w:p>
      <w:pPr>
        <w:spacing w:line="360" w:lineRule="auto"/>
        <w:rPr>
          <w:rFonts w:hint="eastAsia" w:ascii="仿宋_GB2312" w:hAnsi="仿宋_GB2312" w:eastAsia="仿宋_GB2312" w:cs="仿宋_GB2312"/>
          <w:kern w:val="0"/>
          <w:sz w:val="21"/>
          <w:szCs w:val="21"/>
          <w:lang w:bidi="zh-CN"/>
        </w:rPr>
      </w:pPr>
      <w:r>
        <w:rPr>
          <w:rFonts w:hint="eastAsia" w:ascii="仿宋_GB2312" w:hAnsi="仿宋_GB2312" w:eastAsia="仿宋_GB2312" w:cs="仿宋_GB2312"/>
          <w:color w:val="000000"/>
          <w:sz w:val="21"/>
          <w:szCs w:val="21"/>
        </w:rPr>
        <w:t>（3）工艺冷却水系统：循环冷却水系统及其附属设施，含板式换热系统</w:t>
      </w:r>
      <w:r>
        <w:rPr>
          <w:rFonts w:hint="eastAsia" w:ascii="仿宋_GB2312" w:hAnsi="仿宋_GB2312" w:eastAsia="仿宋_GB2312" w:cs="仿宋_GB2312"/>
          <w:kern w:val="0"/>
          <w:sz w:val="21"/>
          <w:szCs w:val="21"/>
          <w:lang w:bidi="zh-CN"/>
        </w:rPr>
        <w:t>、水泵、冷却水塔、管道、阀门阀件、软接头、支吊架、保温等</w:t>
      </w:r>
    </w:p>
    <w:p>
      <w:pPr>
        <w:spacing w:line="360" w:lineRule="auto"/>
        <w:rPr>
          <w:rFonts w:hint="eastAsia" w:ascii="仿宋_GB2312" w:hAnsi="仿宋_GB2312" w:eastAsia="仿宋_GB2312" w:cs="仿宋_GB2312"/>
          <w:b/>
          <w:bCs/>
          <w:sz w:val="21"/>
          <w:szCs w:val="21"/>
        </w:rPr>
      </w:pPr>
      <w:r>
        <w:rPr>
          <w:rFonts w:hint="eastAsia" w:ascii="仿宋_GB2312" w:hAnsi="仿宋_GB2312" w:eastAsia="仿宋_GB2312" w:cs="仿宋_GB2312"/>
          <w:b/>
          <w:bCs/>
          <w:color w:val="000000"/>
          <w:sz w:val="21"/>
          <w:szCs w:val="21"/>
        </w:rPr>
        <w:t>6、</w:t>
      </w:r>
      <w:r>
        <w:rPr>
          <w:rFonts w:hint="eastAsia" w:ascii="仿宋_GB2312" w:hAnsi="仿宋_GB2312" w:eastAsia="仿宋_GB2312" w:cs="仿宋_GB2312"/>
          <w:b/>
          <w:bCs/>
          <w:sz w:val="21"/>
          <w:szCs w:val="21"/>
        </w:rPr>
        <w:t>电气工程</w:t>
      </w:r>
    </w:p>
    <w:p>
      <w:pPr>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（1）防雷接地：机电设备、电柜电箱、管道、桥架等接地及等电位连接系统，不含建筑防雷及电房接地及等电位系统；</w:t>
      </w:r>
    </w:p>
    <w:p>
      <w:pPr>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（2）照明：</w:t>
      </w:r>
      <w:r>
        <w:rPr>
          <w:rFonts w:hint="eastAsia" w:ascii="仿宋_GB2312" w:hAnsi="仿宋_GB2312" w:eastAsia="仿宋_GB2312" w:cs="仿宋_GB2312"/>
          <w:sz w:val="21"/>
          <w:szCs w:val="21"/>
          <w:lang w:eastAsia="zh-CN"/>
        </w:rPr>
        <w:t>净化间</w:t>
      </w:r>
      <w:r>
        <w:rPr>
          <w:rFonts w:hint="eastAsia" w:ascii="仿宋_GB2312" w:hAnsi="仿宋_GB2312" w:eastAsia="仿宋_GB2312" w:cs="仿宋_GB2312"/>
          <w:sz w:val="21"/>
          <w:szCs w:val="21"/>
        </w:rPr>
        <w:t>车间厂房一次照明、洁净板房区域照明及配电（含天花吊顶内照明），机电设备检修照明及配电，含办公辅房、配电房、卫生间、楼梯间等公共区域照明及配电，不含厂区照明及配电，不含工艺工位照明及配电；</w:t>
      </w:r>
    </w:p>
    <w:p>
      <w:pPr>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（3）机电设备配电：含车间及配套单体的各类机电设备配电及控制系统，含暖通设备、动力设备、给排水设备、废气处理设备等配电及控制系统；</w:t>
      </w:r>
    </w:p>
    <w:p>
      <w:pPr>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（4）工艺生产设备配电：</w:t>
      </w:r>
      <w:r>
        <w:rPr>
          <w:rFonts w:hint="eastAsia" w:ascii="仿宋_GB2312" w:hAnsi="仿宋_GB2312" w:eastAsia="仿宋_GB2312" w:cs="仿宋_GB2312"/>
          <w:sz w:val="21"/>
          <w:szCs w:val="21"/>
          <w:lang w:eastAsia="zh-CN"/>
        </w:rPr>
        <w:t>净化间</w:t>
      </w:r>
      <w:r>
        <w:rPr>
          <w:rFonts w:hint="eastAsia" w:ascii="仿宋_GB2312" w:hAnsi="仿宋_GB2312" w:eastAsia="仿宋_GB2312" w:cs="仿宋_GB2312"/>
          <w:sz w:val="21"/>
          <w:szCs w:val="21"/>
        </w:rPr>
        <w:t>车间、系统装配车间及配套单体的工艺生产设备配电系统，从电房低压出线柜取电，经母线、电缆桥架、车间配电柜等引电缆连接至工艺生产主控柜或主配电柜进线开关进线端，电缆、出线开关及相应保护参数应按设计及相应规范；</w:t>
      </w:r>
    </w:p>
    <w:p>
      <w:pPr>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（5）母线：</w:t>
      </w:r>
      <w:r>
        <w:rPr>
          <w:rFonts w:hint="eastAsia" w:ascii="仿宋_GB2312" w:hAnsi="仿宋_GB2312" w:eastAsia="仿宋_GB2312" w:cs="仿宋_GB2312"/>
          <w:sz w:val="21"/>
          <w:szCs w:val="21"/>
          <w:lang w:eastAsia="zh-CN"/>
        </w:rPr>
        <w:t>净化间</w:t>
      </w:r>
      <w:r>
        <w:rPr>
          <w:rFonts w:hint="eastAsia" w:ascii="仿宋_GB2312" w:hAnsi="仿宋_GB2312" w:eastAsia="仿宋_GB2312" w:cs="仿宋_GB2312"/>
          <w:sz w:val="21"/>
          <w:szCs w:val="21"/>
        </w:rPr>
        <w:t>车间、系统装配车间及综合站房母线系统及连接（含工艺插接箱）；</w:t>
      </w:r>
    </w:p>
    <w:p>
      <w:pPr>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（6）插座：</w:t>
      </w:r>
      <w:r>
        <w:rPr>
          <w:rFonts w:hint="eastAsia" w:ascii="仿宋_GB2312" w:hAnsi="仿宋_GB2312" w:eastAsia="仿宋_GB2312" w:cs="仿宋_GB2312"/>
          <w:sz w:val="21"/>
          <w:szCs w:val="21"/>
          <w:lang w:eastAsia="zh-CN"/>
        </w:rPr>
        <w:t>净化间</w:t>
      </w:r>
      <w:r>
        <w:rPr>
          <w:rFonts w:hint="eastAsia" w:ascii="仿宋_GB2312" w:hAnsi="仿宋_GB2312" w:eastAsia="仿宋_GB2312" w:cs="仿宋_GB2312"/>
          <w:sz w:val="21"/>
          <w:szCs w:val="21"/>
        </w:rPr>
        <w:t>车间、系统装配车间及配套单体的生产区及机电设备检修插座（含洁净板房），含辅房、卫生间、茶水间、</w:t>
      </w:r>
      <w:r>
        <w:rPr>
          <w:rFonts w:hint="eastAsia" w:ascii="仿宋_GB2312" w:hAnsi="仿宋_GB2312" w:eastAsia="仿宋_GB2312" w:cs="仿宋_GB2312"/>
          <w:sz w:val="21"/>
          <w:szCs w:val="21"/>
          <w:lang w:val="en-US" w:eastAsia="zh-CN"/>
        </w:rPr>
        <w:t>过道、车墙壁维修用、夹层维修用</w:t>
      </w:r>
      <w:r>
        <w:rPr>
          <w:rFonts w:hint="eastAsia" w:ascii="仿宋_GB2312" w:hAnsi="仿宋_GB2312" w:eastAsia="仿宋_GB2312" w:cs="仿宋_GB2312"/>
          <w:sz w:val="21"/>
          <w:szCs w:val="21"/>
        </w:rPr>
        <w:t>等公共区域插座；</w:t>
      </w:r>
    </w:p>
    <w:p>
      <w:pPr>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（7）配电箱：含范围内照明、机电设备配电、工艺生产设备配电、插座配电及相应控制系统配套的配电箱及控制箱，含综合站房、NMP泵站内的控制间内的配电柜及控制柜；</w:t>
      </w:r>
    </w:p>
    <w:p>
      <w:pPr>
        <w:spacing w:line="360" w:lineRule="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（8）桥架：含范围内照明、机电设备配电、工艺生产设备配电、插座配电及相应控制系统配电的桥架，含IT电源柜及其配电（桥架），不含变配电房之间的高压桥架，含辅房插座、照明、暖通通风配电桥架；</w:t>
      </w:r>
    </w:p>
    <w:p>
      <w:pPr>
        <w:spacing w:line="360" w:lineRule="auto"/>
        <w:rPr>
          <w:rFonts w:hint="eastAsia" w:ascii="仿宋_GB2312" w:hAnsi="仿宋_GB2312" w:eastAsia="仿宋_GB2312" w:cs="仿宋_GB2312"/>
          <w:b/>
          <w:bCs/>
          <w:color w:val="000000"/>
          <w:sz w:val="21"/>
          <w:szCs w:val="21"/>
        </w:rPr>
      </w:pPr>
      <w:r>
        <w:rPr>
          <w:rFonts w:hint="eastAsia" w:ascii="仿宋_GB2312" w:hAnsi="仿宋_GB2312" w:eastAsia="仿宋_GB2312" w:cs="仿宋_GB2312"/>
          <w:b/>
          <w:bCs/>
          <w:sz w:val="21"/>
          <w:szCs w:val="21"/>
        </w:rPr>
        <w:t>7、消防工程</w:t>
      </w:r>
    </w:p>
    <w:p>
      <w:pPr>
        <w:spacing w:line="360" w:lineRule="auto"/>
        <w:ind w:firstLine="371" w:firstLineChars="177"/>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各车间、配套单体及厂区的所有消防设施及管道系统，含室内消火栓系统、室内外自动喷水灭火系统、火灾报警系统、可燃气体探测系统、防火门监控系统、消防电源监控、电气火灾监控、消防电话、消防广播等消防工程，含消防控制室配套的软硬件</w:t>
      </w:r>
      <w:r>
        <w:rPr>
          <w:rFonts w:hint="eastAsia" w:ascii="仿宋_GB2312" w:hAnsi="仿宋_GB2312" w:eastAsia="仿宋_GB2312" w:cs="仿宋_GB2312"/>
          <w:color w:val="000000"/>
          <w:sz w:val="21"/>
          <w:szCs w:val="21"/>
          <w:lang w:val="en-US" w:eastAsia="zh-CN"/>
        </w:rPr>
        <w:t>更新，并根据最新平面布局图在消防控制室监视屏上更新</w:t>
      </w:r>
      <w:r>
        <w:rPr>
          <w:rFonts w:hint="eastAsia" w:ascii="仿宋_GB2312" w:hAnsi="仿宋_GB2312" w:eastAsia="仿宋_GB2312" w:cs="仿宋_GB2312"/>
          <w:color w:val="000000"/>
          <w:sz w:val="21"/>
          <w:szCs w:val="21"/>
        </w:rPr>
        <w:t>。</w:t>
      </w:r>
    </w:p>
    <w:p>
      <w:pPr>
        <w:spacing w:line="360" w:lineRule="auto"/>
        <w:rPr>
          <w:rFonts w:hint="eastAsia" w:ascii="仿宋_GB2312" w:hAnsi="仿宋_GB2312" w:eastAsia="仿宋_GB2312" w:cs="仿宋_GB2312"/>
          <w:b/>
          <w:bCs/>
          <w:color w:val="000000"/>
          <w:sz w:val="21"/>
          <w:szCs w:val="21"/>
        </w:rPr>
      </w:pPr>
      <w:r>
        <w:rPr>
          <w:rFonts w:hint="eastAsia" w:ascii="仿宋_GB2312" w:hAnsi="仿宋_GB2312" w:eastAsia="仿宋_GB2312" w:cs="仿宋_GB2312"/>
          <w:b/>
          <w:bCs/>
          <w:sz w:val="21"/>
          <w:szCs w:val="21"/>
        </w:rPr>
        <w:t>8、弱电工程</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（1）综合布线系统：包含布线相关的所有设备、配线架、机柜、桥架、线管、光纤、网线、光纤熔接、支架等采购、安装、调试、质保等；</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（2）信息网络系统：包含网络相关的所有设备、机柜、无线AP、桥架、线管、电源线、网线、光纤、支架等采购、安装、调试、质保等；</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（3）视频监控系统：包含监控相关的所有设备、机柜、线管、电源线、控制线、网线等采购、安装、调试、质保等；</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（4）一卡通系统：包含门禁、考勤、厂区出入口设备、梯控相关的所有设备、机柜、线管、电源线、控制线、网线等采购、安装、调试、质保等；</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（5）公共广播系统：包含喇叭、功放、广播主机相关的所有设备、机柜、线管、电源线、控制线、网线等采购、安装、调试、质保等；</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（6）机房工程：包括精密空调、UPS、机柜、动环、防雷接地等相关的所有设备、电池、电池连接线、配电柜、电源线等采购、安装、调试、质保等；</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r>
        <w:rPr>
          <w:rFonts w:hint="eastAsia" w:ascii="仿宋_GB2312" w:hAnsi="仿宋_GB2312" w:eastAsia="仿宋_GB2312" w:cs="仿宋_GB2312"/>
          <w:color w:val="000000"/>
          <w:sz w:val="21"/>
          <w:szCs w:val="21"/>
          <w:lang w:val="en-US" w:eastAsia="zh-CN"/>
        </w:rPr>
        <w:t>7</w:t>
      </w:r>
      <w:r>
        <w:rPr>
          <w:rFonts w:hint="eastAsia" w:ascii="仿宋_GB2312" w:hAnsi="仿宋_GB2312" w:eastAsia="仿宋_GB2312" w:cs="仿宋_GB2312"/>
          <w:color w:val="000000"/>
          <w:sz w:val="21"/>
          <w:szCs w:val="21"/>
        </w:rPr>
        <w:t>）厂区内无线信号全覆盖，特别是各变配电房、消防控制室等重要区域信号足够强，确保内部设备通信正常。</w:t>
      </w:r>
    </w:p>
    <w:p>
      <w:pPr>
        <w:spacing w:line="360" w:lineRule="auto"/>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9、智能厂务管理系统工程</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根据工厂各系统的运行特性，采集相应的设备或系统信息（实时及历史数据、设定参数、报警及故障代码及信息、模式等），显示各系统运行状态，自动分析并生成各类报表及控制策略，根据需要能手动或自动调整系统最优模式或状态，维护维修预警提示并能记录追踪相关活动完成情况。本工程范围包括完成以上各系统功能的各类硬件（不仅限于中控室厂务管理中心系统、显示屏、电脑主机、传感器、弱电线缆、网络柜等）、软件的采购、安装、调试、跟踪优化、培训等，确保实现各系统的监控功能，并能在手机上显示查看系统关键信息及报表。</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系统主要包括：厂务综合管理系统，电力系统（配电房变压器及电柜内数据信息从电力监控系统主机采集），冷水系统，风柜系统，车间环境监测系统，空压站/制氮系统，蒸汽系统，真空系统，余热回收系统，</w:t>
      </w:r>
      <w:r>
        <w:rPr>
          <w:rFonts w:hint="eastAsia" w:ascii="仿宋_GB2312" w:hAnsi="仿宋_GB2312" w:eastAsia="仿宋_GB2312" w:cs="仿宋_GB2312"/>
          <w:color w:val="000000"/>
          <w:sz w:val="21"/>
          <w:szCs w:val="21"/>
          <w:lang w:val="en-US" w:eastAsia="zh-CN"/>
        </w:rPr>
        <w:t>工艺</w:t>
      </w:r>
      <w:r>
        <w:rPr>
          <w:rFonts w:hint="eastAsia" w:ascii="仿宋_GB2312" w:hAnsi="仿宋_GB2312" w:eastAsia="仿宋_GB2312" w:cs="仿宋_GB2312"/>
          <w:color w:val="000000"/>
          <w:sz w:val="21"/>
          <w:szCs w:val="21"/>
        </w:rPr>
        <w:t>供水系统，废气处理系统，地磅系统，第三方工艺系统（光伏、储能,提供数据接口）等。</w:t>
      </w:r>
    </w:p>
    <w:p>
      <w:pPr>
        <w:spacing w:line="360" w:lineRule="auto"/>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1</w:t>
      </w:r>
      <w:r>
        <w:rPr>
          <w:rFonts w:hint="eastAsia" w:ascii="仿宋_GB2312" w:hAnsi="仿宋_GB2312" w:eastAsia="仿宋_GB2312" w:cs="仿宋_GB2312"/>
          <w:b/>
          <w:bCs/>
          <w:sz w:val="21"/>
          <w:szCs w:val="21"/>
          <w:lang w:val="en-US" w:eastAsia="zh-CN"/>
        </w:rPr>
        <w:t>0</w:t>
      </w:r>
      <w:r>
        <w:rPr>
          <w:rFonts w:hint="eastAsia" w:ascii="仿宋_GB2312" w:hAnsi="仿宋_GB2312" w:eastAsia="仿宋_GB2312" w:cs="仿宋_GB2312"/>
          <w:b/>
          <w:bCs/>
          <w:sz w:val="21"/>
          <w:szCs w:val="21"/>
        </w:rPr>
        <w:t>、其它</w:t>
      </w:r>
    </w:p>
    <w:p>
      <w:pPr>
        <w:spacing w:line="360" w:lineRule="auto"/>
        <w:rPr>
          <w:rFonts w:hint="eastAsia" w:ascii="仿宋_GB2312" w:hAnsi="仿宋_GB2312" w:eastAsia="仿宋_GB2312" w:cs="仿宋_GB2312"/>
          <w:kern w:val="0"/>
          <w:sz w:val="21"/>
          <w:szCs w:val="21"/>
          <w:lang w:bidi="zh-CN"/>
        </w:rPr>
      </w:pPr>
      <w:r>
        <w:rPr>
          <w:rFonts w:hint="eastAsia" w:ascii="仿宋_GB2312" w:hAnsi="仿宋_GB2312" w:eastAsia="仿宋_GB2312" w:cs="仿宋_GB2312"/>
          <w:color w:val="000000"/>
          <w:sz w:val="21"/>
          <w:szCs w:val="21"/>
        </w:rPr>
        <w:t>（1）</w:t>
      </w:r>
      <w:r>
        <w:rPr>
          <w:rFonts w:hint="eastAsia" w:ascii="仿宋_GB2312" w:hAnsi="仿宋_GB2312" w:eastAsia="仿宋_GB2312" w:cs="仿宋_GB2312"/>
          <w:kern w:val="0"/>
          <w:sz w:val="21"/>
          <w:szCs w:val="21"/>
          <w:lang w:bidi="zh-CN"/>
        </w:rPr>
        <w:t>包含以上各项系统的相关附属工程费用，包含开洞、凿槽及恢复、套管、防火封堵、防火包覆、除锈防腐、保温绝热、抗震支吊架、设备型钢基础、减震设备、支吊架、设备接地、出户预埋、施工垃圾清理外运、成品保护等，并负责办理通过项目部门验收工作。</w:t>
      </w:r>
    </w:p>
    <w:p>
      <w:pPr>
        <w:spacing w:line="360" w:lineRule="auto"/>
        <w:rPr>
          <w:rFonts w:hint="eastAsia" w:ascii="仿宋_GB2312" w:hAnsi="仿宋_GB2312" w:eastAsia="仿宋_GB2312" w:cs="仿宋_GB2312"/>
          <w:kern w:val="0"/>
          <w:sz w:val="21"/>
          <w:szCs w:val="21"/>
          <w:lang w:bidi="zh-CN"/>
        </w:rPr>
      </w:pPr>
      <w:r>
        <w:rPr>
          <w:rFonts w:hint="eastAsia" w:ascii="仿宋_GB2312" w:hAnsi="仿宋_GB2312" w:eastAsia="仿宋_GB2312" w:cs="仿宋_GB2312"/>
          <w:kern w:val="0"/>
          <w:sz w:val="21"/>
          <w:szCs w:val="21"/>
          <w:lang w:bidi="zh-CN"/>
        </w:rPr>
        <w:t>（2）包含合同范围内的压力管道探伤、检测、报验等相关工作及费用。</w:t>
      </w:r>
    </w:p>
    <w:p>
      <w:pPr>
        <w:spacing w:line="360" w:lineRule="auto"/>
        <w:rPr>
          <w:rFonts w:hint="eastAsia" w:ascii="仿宋_GB2312" w:hAnsi="仿宋_GB2312" w:eastAsia="仿宋_GB2312" w:cs="仿宋_GB2312"/>
          <w:kern w:val="0"/>
          <w:sz w:val="21"/>
          <w:szCs w:val="21"/>
          <w:lang w:bidi="zh-CN"/>
        </w:rPr>
      </w:pPr>
      <w:r>
        <w:rPr>
          <w:rFonts w:hint="eastAsia" w:ascii="仿宋_GB2312" w:hAnsi="仿宋_GB2312" w:eastAsia="仿宋_GB2312" w:cs="仿宋_GB2312"/>
          <w:kern w:val="0"/>
          <w:sz w:val="21"/>
          <w:szCs w:val="21"/>
          <w:lang w:bidi="zh-CN"/>
        </w:rPr>
        <w:t>（3）包含合同范围内设备的卸货、搬运（包含转运）、保管、安装及调试等。</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kern w:val="0"/>
          <w:sz w:val="21"/>
          <w:szCs w:val="21"/>
          <w:lang w:bidi="zh-CN"/>
        </w:rPr>
        <w:t>（4）本项目范围内的所有需外检的附件如储气罐、安全阀、压力表、电气仪表等由中标人完成送检及恢复工作，中标人需提供相应检定报告，最终取得项目所在地相关监管部门的检验合格证。</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（5）招标图纸、本技术规格书或招标过程澄清中包含的其它系统或功能。</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（6）以上所有工程范围的具体工程量以施工蓝图和技术规格书为准，并满足功能、工期、质量等要求，工程量清单仅供参考。</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（7）实际施工阶段，招标人取消实施部分内容的，根据工程量及合同单价（无合同单价时取投标单价，均无时由招标人委托的第三方造价公司审核定价）进行核减，在结算款中扣除。</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r>
        <w:rPr>
          <w:rFonts w:hint="eastAsia" w:ascii="仿宋_GB2312" w:hAnsi="仿宋_GB2312" w:eastAsia="仿宋_GB2312" w:cs="仿宋_GB2312"/>
          <w:color w:val="000000"/>
          <w:sz w:val="21"/>
          <w:szCs w:val="21"/>
          <w:lang w:val="en-US" w:eastAsia="zh-CN"/>
        </w:rPr>
        <w:t>8</w:t>
      </w:r>
      <w:r>
        <w:rPr>
          <w:rFonts w:hint="eastAsia" w:ascii="仿宋_GB2312" w:hAnsi="仿宋_GB2312" w:eastAsia="仿宋_GB2312" w:cs="仿宋_GB2312"/>
          <w:color w:val="000000"/>
          <w:sz w:val="21"/>
          <w:szCs w:val="21"/>
        </w:rPr>
        <w:t>）投标人提供机电维修维保常用工具（详见附件），费用包含在合同内，项目完工后中标人提供备件及易损件清单。</w:t>
      </w:r>
    </w:p>
    <w:p>
      <w:pPr>
        <w:spacing w:line="360" w:lineRule="auto"/>
        <w:rPr>
          <w:rFonts w:hint="eastAsia" w:ascii="仿宋_GB2312" w:hAnsi="仿宋_GB2312" w:eastAsia="仿宋_GB2312" w:cs="仿宋_GB2312"/>
          <w:color w:val="000000"/>
          <w:sz w:val="21"/>
          <w:szCs w:val="21"/>
          <w:lang w:val="en-US" w:eastAsia="zh-CN"/>
        </w:rPr>
      </w:pPr>
      <w:r>
        <w:rPr>
          <w:rFonts w:hint="eastAsia" w:ascii="仿宋_GB2312" w:hAnsi="仿宋_GB2312" w:eastAsia="仿宋_GB2312" w:cs="仿宋_GB2312"/>
          <w:b/>
          <w:bCs/>
          <w:color w:val="000000"/>
          <w:sz w:val="24"/>
          <w:lang w:val="en-US" w:eastAsia="zh-CN"/>
        </w:rPr>
        <w:t xml:space="preserve">四、技术要求        </w:t>
      </w:r>
      <w:r>
        <w:rPr>
          <w:rFonts w:hint="eastAsia" w:ascii="仿宋_GB2312" w:hAnsi="仿宋_GB2312" w:eastAsia="仿宋_GB2312" w:cs="仿宋_GB2312"/>
          <w:color w:val="000000"/>
          <w:sz w:val="21"/>
          <w:szCs w:val="21"/>
          <w:lang w:val="en-US" w:eastAsia="zh-CN"/>
        </w:rPr>
        <w:t xml:space="preserve">                </w:t>
      </w:r>
    </w:p>
    <w:p>
      <w:pPr>
        <w:spacing w:line="360" w:lineRule="auto"/>
        <w:rPr>
          <w:rFonts w:hint="eastAsia" w:ascii="仿宋_GB2312" w:hAnsi="仿宋_GB2312" w:eastAsia="仿宋_GB2312" w:cs="仿宋_GB2312"/>
          <w:b/>
          <w:bCs/>
          <w:iCs/>
          <w:color w:val="000000"/>
        </w:rPr>
      </w:pPr>
      <w:r>
        <w:rPr>
          <w:rFonts w:hint="eastAsia" w:ascii="仿宋_GB2312" w:hAnsi="仿宋_GB2312" w:eastAsia="仿宋_GB2312" w:cs="仿宋_GB2312"/>
          <w:b/>
          <w:bCs/>
          <w:iCs/>
          <w:color w:val="000000"/>
          <w:lang w:val="en-US" w:eastAsia="zh-CN"/>
        </w:rPr>
        <w:t>1、</w:t>
      </w:r>
      <w:r>
        <w:rPr>
          <w:rFonts w:hint="eastAsia" w:ascii="仿宋_GB2312" w:hAnsi="仿宋_GB2312" w:eastAsia="仿宋_GB2312" w:cs="仿宋_GB2312"/>
          <w:b/>
          <w:bCs/>
          <w:iCs/>
          <w:color w:val="000000"/>
        </w:rPr>
        <w:t>洁净室设计施工及验收</w:t>
      </w:r>
    </w:p>
    <w:p>
      <w:pPr>
        <w:numPr>
          <w:ilvl w:val="0"/>
          <w:numId w:val="4"/>
        </w:numPr>
        <w:spacing w:line="360" w:lineRule="auto"/>
        <w:ind w:left="420" w:leftChars="0" w:hanging="420" w:firstLineChars="0"/>
        <w:rPr>
          <w:rFonts w:hint="eastAsia" w:ascii="仿宋_GB2312" w:hAnsi="仿宋_GB2312" w:eastAsia="仿宋_GB2312" w:cs="仿宋_GB2312"/>
          <w:b w:val="0"/>
          <w:bCs w:val="0"/>
          <w:iCs/>
          <w:color w:val="000000"/>
          <w:lang w:val="en-US" w:eastAsia="zh-CN"/>
        </w:rPr>
      </w:pPr>
      <w:r>
        <w:rPr>
          <w:rFonts w:hint="eastAsia" w:ascii="仿宋_GB2312" w:hAnsi="仿宋_GB2312" w:eastAsia="仿宋_GB2312" w:cs="仿宋_GB2312"/>
          <w:b w:val="0"/>
          <w:bCs w:val="0"/>
          <w:iCs/>
          <w:color w:val="000000"/>
          <w:lang w:val="en-US" w:eastAsia="zh-CN"/>
        </w:rPr>
        <w:t>术语及定义</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 空气悬浮粒子浓度受控的房间，其建造和使用方式要尽可能减少室内引入、产生和滞留粒子，室内其它相关参数如温度、湿度和压力按要求进行控制。</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空  态：设施已经建成，所有动力接通并运行，但无生产设备、材料或人员在场。</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静  态：设施已经建成，生产设备已经安装好，并以用户和供应商同意的方式运行，但没有人员在场。</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动  态：设施以规定的方式运行，有规定数目的人员在场，并以双方同意的方式进行工作。</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更衣室：在洁净室中工作的人员更换（穿或脱）洁净工作服的房间。</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气闸室：设置在洁净室出人口，阻隔室外或相邻房间的污染气流和压差控制而设置的缓冲闷。</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传递窗：在洁净室隔墙上设置的传递物料和工器具的开口。两侧窗扇的开启应进行联锁控制。</w:t>
      </w:r>
    </w:p>
    <w:p>
      <w:pPr>
        <w:numPr>
          <w:ilvl w:val="0"/>
          <w:numId w:val="4"/>
        </w:numPr>
        <w:spacing w:line="360" w:lineRule="auto"/>
        <w:ind w:left="420" w:leftChars="0" w:hanging="420" w:firstLineChars="0"/>
        <w:rPr>
          <w:rFonts w:hint="eastAsia" w:ascii="仿宋_GB2312" w:hAnsi="仿宋_GB2312" w:eastAsia="仿宋_GB2312" w:cs="仿宋_GB2312"/>
          <w:color w:val="000000"/>
          <w:sz w:val="21"/>
          <w:szCs w:val="21"/>
        </w:rPr>
      </w:pPr>
      <w:bookmarkStart w:id="5" w:name="_Toc528741777"/>
      <w:r>
        <w:rPr>
          <w:rFonts w:hint="eastAsia" w:ascii="仿宋_GB2312" w:hAnsi="仿宋_GB2312" w:eastAsia="仿宋_GB2312" w:cs="仿宋_GB2312"/>
          <w:color w:val="000000"/>
          <w:sz w:val="21"/>
          <w:szCs w:val="21"/>
        </w:rPr>
        <w:t>引用文件</w:t>
      </w:r>
      <w:bookmarkEnd w:id="5"/>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下列文件中的条款通过本规范的引用而成为本规范的条款。凡是注日期的引用文件，其随后所有的修改单（不包括勘误的内容）或修订版均不适用于本规范，鼓励根据本规范达成协议的各方研究是否可使用这些文件的最新版本。凡是不注日期的引用文件，其最新版本适用于本规范。</w:t>
      </w:r>
    </w:p>
    <w:tbl>
      <w:tblPr>
        <w:tblStyle w:val="10"/>
        <w:tblW w:w="7552" w:type="dxa"/>
        <w:jc w:val="center"/>
        <w:tblLayout w:type="autofit"/>
        <w:tblCellMar>
          <w:top w:w="0" w:type="dxa"/>
          <w:left w:w="0" w:type="dxa"/>
          <w:bottom w:w="0" w:type="dxa"/>
          <w:right w:w="0" w:type="dxa"/>
        </w:tblCellMar>
      </w:tblPr>
      <w:tblGrid>
        <w:gridCol w:w="937"/>
        <w:gridCol w:w="2263"/>
        <w:gridCol w:w="4352"/>
      </w:tblGrid>
      <w:tr>
        <w:tblPrEx>
          <w:tblCellMar>
            <w:top w:w="0" w:type="dxa"/>
            <w:left w:w="0" w:type="dxa"/>
            <w:bottom w:w="0" w:type="dxa"/>
            <w:right w:w="0" w:type="dxa"/>
          </w:tblCellMar>
        </w:tblPrEx>
        <w:trPr>
          <w:cantSplit/>
          <w:trHeight w:val="416" w:hRule="atLeast"/>
          <w:tblHeader/>
          <w:jc w:val="center"/>
        </w:trPr>
        <w:tc>
          <w:tcPr>
            <w:tcW w:w="937" w:type="dxa"/>
            <w:tcBorders>
              <w:top w:val="single" w:color="auto" w:sz="8" w:space="0"/>
              <w:left w:val="single" w:color="auto" w:sz="8" w:space="0"/>
              <w:bottom w:val="single" w:color="auto" w:sz="8" w:space="0"/>
              <w:right w:val="single" w:color="auto" w:sz="8" w:space="0"/>
            </w:tcBorders>
            <w:shd w:val="clear" w:color="auto" w:fill="C0C0C0"/>
            <w:noWrap w:val="0"/>
            <w:tcMar>
              <w:top w:w="0" w:type="dxa"/>
              <w:left w:w="57" w:type="dxa"/>
              <w:bottom w:w="0" w:type="dxa"/>
              <w:right w:w="57" w:type="dxa"/>
            </w:tcMar>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编号.</w:t>
            </w:r>
          </w:p>
        </w:tc>
        <w:tc>
          <w:tcPr>
            <w:tcW w:w="2263" w:type="dxa"/>
            <w:tcBorders>
              <w:top w:val="single" w:color="auto" w:sz="8" w:space="0"/>
              <w:left w:val="nil"/>
              <w:bottom w:val="single" w:color="auto" w:sz="8" w:space="0"/>
              <w:right w:val="single" w:color="auto" w:sz="8" w:space="0"/>
            </w:tcBorders>
            <w:shd w:val="clear" w:color="auto" w:fill="C0C0C0"/>
            <w:noWrap w:val="0"/>
            <w:tcMar>
              <w:top w:w="0" w:type="dxa"/>
              <w:left w:w="57" w:type="dxa"/>
              <w:bottom w:w="0" w:type="dxa"/>
              <w:right w:w="57" w:type="dxa"/>
            </w:tcMar>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文件编号</w:t>
            </w:r>
          </w:p>
        </w:tc>
        <w:tc>
          <w:tcPr>
            <w:tcW w:w="4352" w:type="dxa"/>
            <w:tcBorders>
              <w:top w:val="single" w:color="auto" w:sz="8" w:space="0"/>
              <w:left w:val="nil"/>
              <w:bottom w:val="single" w:color="auto" w:sz="8" w:space="0"/>
              <w:right w:val="single" w:color="auto" w:sz="8" w:space="0"/>
            </w:tcBorders>
            <w:shd w:val="clear" w:color="auto" w:fill="C0C0C0"/>
            <w:noWrap w:val="0"/>
            <w:tcMar>
              <w:top w:w="0" w:type="dxa"/>
              <w:left w:w="57" w:type="dxa"/>
              <w:bottom w:w="0" w:type="dxa"/>
              <w:right w:w="57" w:type="dxa"/>
            </w:tcMar>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文件名称</w:t>
            </w:r>
          </w:p>
        </w:tc>
      </w:tr>
      <w:tr>
        <w:tblPrEx>
          <w:tblCellMar>
            <w:top w:w="0" w:type="dxa"/>
            <w:left w:w="0" w:type="dxa"/>
            <w:bottom w:w="0" w:type="dxa"/>
            <w:right w:w="0" w:type="dxa"/>
          </w:tblCellMar>
        </w:tblPrEx>
        <w:trPr>
          <w:jc w:val="center"/>
        </w:trPr>
        <w:tc>
          <w:tcPr>
            <w:tcW w:w="937" w:type="dxa"/>
            <w:tcBorders>
              <w:top w:val="nil"/>
              <w:left w:val="single" w:color="auto" w:sz="8" w:space="0"/>
              <w:bottom w:val="single" w:color="auto" w:sz="8" w:space="0"/>
              <w:right w:val="single" w:color="auto" w:sz="8" w:space="0"/>
            </w:tcBorders>
            <w:noWrap w:val="0"/>
            <w:tcMar>
              <w:top w:w="0" w:type="dxa"/>
              <w:left w:w="57" w:type="dxa"/>
              <w:bottom w:w="0" w:type="dxa"/>
              <w:right w:w="57" w:type="dxa"/>
            </w:tcMar>
            <w:vAlign w:val="top"/>
          </w:tcPr>
          <w:p>
            <w:pPr>
              <w:spacing w:line="360" w:lineRule="auto"/>
              <w:rPr>
                <w:rFonts w:hint="eastAsia"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1</w:t>
            </w:r>
          </w:p>
        </w:tc>
        <w:tc>
          <w:tcPr>
            <w:tcW w:w="2263" w:type="dxa"/>
            <w:tcBorders>
              <w:top w:val="nil"/>
              <w:left w:val="nil"/>
              <w:bottom w:val="single" w:color="auto" w:sz="8" w:space="0"/>
              <w:right w:val="single" w:color="auto" w:sz="8" w:space="0"/>
            </w:tcBorders>
            <w:noWrap w:val="0"/>
            <w:tcMar>
              <w:top w:w="0" w:type="dxa"/>
              <w:left w:w="57" w:type="dxa"/>
              <w:bottom w:w="0" w:type="dxa"/>
              <w:right w:w="57" w:type="dxa"/>
            </w:tcMar>
            <w:vAlign w:val="top"/>
          </w:tcPr>
          <w:p>
            <w:pPr>
              <w:spacing w:line="360" w:lineRule="auto"/>
              <w:rPr>
                <w:rFonts w:hint="eastAsia"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ISO14644</w:t>
            </w:r>
          </w:p>
        </w:tc>
        <w:tc>
          <w:tcPr>
            <w:tcW w:w="4352" w:type="dxa"/>
            <w:tcBorders>
              <w:top w:val="nil"/>
              <w:left w:val="nil"/>
              <w:bottom w:val="single" w:color="auto" w:sz="8" w:space="0"/>
              <w:right w:val="single" w:color="auto" w:sz="8" w:space="0"/>
            </w:tcBorders>
            <w:noWrap w:val="0"/>
            <w:tcMar>
              <w:top w:w="0" w:type="dxa"/>
              <w:left w:w="57" w:type="dxa"/>
              <w:bottom w:w="0" w:type="dxa"/>
              <w:right w:w="57" w:type="dxa"/>
            </w:tcMar>
            <w:vAlign w:val="top"/>
          </w:tcPr>
          <w:p>
            <w:pPr>
              <w:spacing w:line="360" w:lineRule="auto"/>
              <w:rPr>
                <w:rFonts w:hint="eastAsia"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洁净室及相关受控环境</w:t>
            </w:r>
          </w:p>
        </w:tc>
      </w:tr>
      <w:tr>
        <w:tblPrEx>
          <w:tblCellMar>
            <w:top w:w="0" w:type="dxa"/>
            <w:left w:w="0" w:type="dxa"/>
            <w:bottom w:w="0" w:type="dxa"/>
            <w:right w:w="0" w:type="dxa"/>
          </w:tblCellMar>
        </w:tblPrEx>
        <w:trPr>
          <w:jc w:val="center"/>
        </w:trPr>
        <w:tc>
          <w:tcPr>
            <w:tcW w:w="937" w:type="dxa"/>
            <w:tcBorders>
              <w:top w:val="nil"/>
              <w:left w:val="single" w:color="auto" w:sz="8" w:space="0"/>
              <w:bottom w:val="single" w:color="auto" w:sz="8" w:space="0"/>
              <w:right w:val="single" w:color="auto" w:sz="8" w:space="0"/>
            </w:tcBorders>
            <w:noWrap w:val="0"/>
            <w:tcMar>
              <w:top w:w="0" w:type="dxa"/>
              <w:left w:w="57" w:type="dxa"/>
              <w:bottom w:w="0" w:type="dxa"/>
              <w:right w:w="57" w:type="dxa"/>
            </w:tcMar>
            <w:vAlign w:val="top"/>
          </w:tcPr>
          <w:p>
            <w:pPr>
              <w:spacing w:line="360" w:lineRule="auto"/>
              <w:rPr>
                <w:rFonts w:hint="eastAsia"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2</w:t>
            </w:r>
          </w:p>
        </w:tc>
        <w:tc>
          <w:tcPr>
            <w:tcW w:w="2263" w:type="dxa"/>
            <w:tcBorders>
              <w:top w:val="nil"/>
              <w:left w:val="nil"/>
              <w:bottom w:val="single" w:color="auto" w:sz="8" w:space="0"/>
              <w:right w:val="single" w:color="auto" w:sz="8" w:space="0"/>
            </w:tcBorders>
            <w:noWrap w:val="0"/>
            <w:tcMar>
              <w:top w:w="0" w:type="dxa"/>
              <w:left w:w="57" w:type="dxa"/>
              <w:bottom w:w="0" w:type="dxa"/>
              <w:right w:w="57" w:type="dxa"/>
            </w:tcMar>
            <w:vAlign w:val="top"/>
          </w:tcPr>
          <w:p>
            <w:pPr>
              <w:spacing w:line="360" w:lineRule="auto"/>
              <w:rPr>
                <w:rFonts w:hint="eastAsia"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GB50073</w:t>
            </w:r>
          </w:p>
        </w:tc>
        <w:tc>
          <w:tcPr>
            <w:tcW w:w="4352" w:type="dxa"/>
            <w:tcBorders>
              <w:top w:val="nil"/>
              <w:left w:val="nil"/>
              <w:bottom w:val="single" w:color="auto" w:sz="8" w:space="0"/>
              <w:right w:val="single" w:color="auto" w:sz="8" w:space="0"/>
            </w:tcBorders>
            <w:noWrap w:val="0"/>
            <w:tcMar>
              <w:top w:w="0" w:type="dxa"/>
              <w:left w:w="57" w:type="dxa"/>
              <w:bottom w:w="0" w:type="dxa"/>
              <w:right w:w="57" w:type="dxa"/>
            </w:tcMar>
            <w:vAlign w:val="top"/>
          </w:tcPr>
          <w:p>
            <w:pPr>
              <w:spacing w:line="360" w:lineRule="auto"/>
              <w:rPr>
                <w:rFonts w:hint="eastAsia"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洁净厂房设计规范</w:t>
            </w:r>
          </w:p>
        </w:tc>
      </w:tr>
      <w:tr>
        <w:tblPrEx>
          <w:tblCellMar>
            <w:top w:w="0" w:type="dxa"/>
            <w:left w:w="0" w:type="dxa"/>
            <w:bottom w:w="0" w:type="dxa"/>
            <w:right w:w="0" w:type="dxa"/>
          </w:tblCellMar>
        </w:tblPrEx>
        <w:trPr>
          <w:jc w:val="center"/>
        </w:trPr>
        <w:tc>
          <w:tcPr>
            <w:tcW w:w="937" w:type="dxa"/>
            <w:tcBorders>
              <w:top w:val="nil"/>
              <w:left w:val="single" w:color="auto" w:sz="8" w:space="0"/>
              <w:bottom w:val="single" w:color="auto" w:sz="8" w:space="0"/>
              <w:right w:val="single" w:color="auto" w:sz="8" w:space="0"/>
            </w:tcBorders>
            <w:noWrap w:val="0"/>
            <w:tcMar>
              <w:top w:w="0" w:type="dxa"/>
              <w:left w:w="57" w:type="dxa"/>
              <w:bottom w:w="0" w:type="dxa"/>
              <w:right w:w="57" w:type="dxa"/>
            </w:tcMar>
            <w:vAlign w:val="top"/>
          </w:tcPr>
          <w:p>
            <w:pPr>
              <w:spacing w:line="360" w:lineRule="auto"/>
              <w:rPr>
                <w:rFonts w:hint="eastAsia"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3</w:t>
            </w:r>
          </w:p>
        </w:tc>
        <w:tc>
          <w:tcPr>
            <w:tcW w:w="2263" w:type="dxa"/>
            <w:tcBorders>
              <w:top w:val="nil"/>
              <w:left w:val="nil"/>
              <w:bottom w:val="single" w:color="auto" w:sz="8" w:space="0"/>
              <w:right w:val="single" w:color="auto" w:sz="8" w:space="0"/>
            </w:tcBorders>
            <w:noWrap w:val="0"/>
            <w:tcMar>
              <w:top w:w="0" w:type="dxa"/>
              <w:left w:w="57" w:type="dxa"/>
              <w:bottom w:w="0" w:type="dxa"/>
              <w:right w:w="57" w:type="dxa"/>
            </w:tcMar>
            <w:vAlign w:val="top"/>
          </w:tcPr>
          <w:p>
            <w:pPr>
              <w:spacing w:line="360" w:lineRule="auto"/>
              <w:rPr>
                <w:rFonts w:hint="eastAsia"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GB50591</w:t>
            </w:r>
          </w:p>
        </w:tc>
        <w:tc>
          <w:tcPr>
            <w:tcW w:w="4352" w:type="dxa"/>
            <w:tcBorders>
              <w:top w:val="nil"/>
              <w:left w:val="nil"/>
              <w:bottom w:val="single" w:color="auto" w:sz="8" w:space="0"/>
              <w:right w:val="single" w:color="auto" w:sz="8" w:space="0"/>
            </w:tcBorders>
            <w:noWrap w:val="0"/>
            <w:tcMar>
              <w:top w:w="0" w:type="dxa"/>
              <w:left w:w="57" w:type="dxa"/>
              <w:bottom w:w="0" w:type="dxa"/>
              <w:right w:w="57" w:type="dxa"/>
            </w:tcMar>
            <w:vAlign w:val="top"/>
          </w:tcPr>
          <w:p>
            <w:pPr>
              <w:spacing w:line="360" w:lineRule="auto"/>
              <w:rPr>
                <w:rFonts w:hint="eastAsia"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洁净室施工及验收规范</w:t>
            </w:r>
          </w:p>
        </w:tc>
      </w:tr>
      <w:tr>
        <w:tblPrEx>
          <w:tblCellMar>
            <w:top w:w="0" w:type="dxa"/>
            <w:left w:w="0" w:type="dxa"/>
            <w:bottom w:w="0" w:type="dxa"/>
            <w:right w:w="0" w:type="dxa"/>
          </w:tblCellMar>
        </w:tblPrEx>
        <w:trPr>
          <w:jc w:val="center"/>
        </w:trPr>
        <w:tc>
          <w:tcPr>
            <w:tcW w:w="937" w:type="dxa"/>
            <w:tcBorders>
              <w:top w:val="nil"/>
              <w:left w:val="single" w:color="auto" w:sz="8" w:space="0"/>
              <w:bottom w:val="single" w:color="auto" w:sz="8" w:space="0"/>
              <w:right w:val="single" w:color="auto" w:sz="8" w:space="0"/>
            </w:tcBorders>
            <w:noWrap w:val="0"/>
            <w:tcMar>
              <w:top w:w="0" w:type="dxa"/>
              <w:left w:w="57" w:type="dxa"/>
              <w:bottom w:w="0" w:type="dxa"/>
              <w:right w:w="57" w:type="dxa"/>
            </w:tcMar>
            <w:vAlign w:val="top"/>
          </w:tcPr>
          <w:p>
            <w:pPr>
              <w:spacing w:line="360" w:lineRule="auto"/>
              <w:rPr>
                <w:rFonts w:hint="eastAsia"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4</w:t>
            </w:r>
          </w:p>
        </w:tc>
        <w:tc>
          <w:tcPr>
            <w:tcW w:w="2263" w:type="dxa"/>
            <w:tcBorders>
              <w:top w:val="nil"/>
              <w:left w:val="nil"/>
              <w:bottom w:val="single" w:color="auto" w:sz="8" w:space="0"/>
              <w:right w:val="single" w:color="auto" w:sz="8" w:space="0"/>
            </w:tcBorders>
            <w:noWrap w:val="0"/>
            <w:tcMar>
              <w:top w:w="0" w:type="dxa"/>
              <w:left w:w="57" w:type="dxa"/>
              <w:bottom w:w="0" w:type="dxa"/>
              <w:right w:w="57" w:type="dxa"/>
            </w:tcMar>
            <w:vAlign w:val="top"/>
          </w:tcPr>
          <w:p>
            <w:pPr>
              <w:spacing w:line="360" w:lineRule="auto"/>
              <w:rPr>
                <w:rFonts w:hint="eastAsia"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GB50472</w:t>
            </w:r>
          </w:p>
        </w:tc>
        <w:tc>
          <w:tcPr>
            <w:tcW w:w="4352" w:type="dxa"/>
            <w:tcBorders>
              <w:top w:val="nil"/>
              <w:left w:val="nil"/>
              <w:bottom w:val="single" w:color="auto" w:sz="8" w:space="0"/>
              <w:right w:val="single" w:color="auto" w:sz="8" w:space="0"/>
            </w:tcBorders>
            <w:noWrap w:val="0"/>
            <w:tcMar>
              <w:top w:w="0" w:type="dxa"/>
              <w:left w:w="57" w:type="dxa"/>
              <w:bottom w:w="0" w:type="dxa"/>
              <w:right w:w="57" w:type="dxa"/>
            </w:tcMar>
            <w:vAlign w:val="top"/>
          </w:tcPr>
          <w:p>
            <w:pPr>
              <w:spacing w:line="360" w:lineRule="auto"/>
              <w:rPr>
                <w:rFonts w:hint="eastAsia"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电子工业洁净厂房设计规范</w:t>
            </w:r>
          </w:p>
        </w:tc>
      </w:tr>
    </w:tbl>
    <w:p>
      <w:pPr>
        <w:numPr>
          <w:ilvl w:val="0"/>
          <w:numId w:val="4"/>
        </w:numPr>
        <w:spacing w:line="360" w:lineRule="auto"/>
        <w:ind w:left="420" w:leftChars="0" w:hanging="420" w:firstLineChars="0"/>
        <w:rPr>
          <w:rFonts w:hint="eastAsia" w:ascii="仿宋_GB2312" w:hAnsi="仿宋_GB2312" w:eastAsia="仿宋_GB2312" w:cs="仿宋_GB2312"/>
          <w:color w:val="000000"/>
          <w:sz w:val="21"/>
          <w:szCs w:val="21"/>
        </w:rPr>
      </w:pPr>
      <w:bookmarkStart w:id="6" w:name="_Toc528741778"/>
      <w:r>
        <w:rPr>
          <w:rFonts w:hint="eastAsia" w:ascii="仿宋_GB2312" w:hAnsi="仿宋_GB2312" w:eastAsia="仿宋_GB2312" w:cs="仿宋_GB2312"/>
          <w:color w:val="000000"/>
          <w:sz w:val="21"/>
          <w:szCs w:val="21"/>
        </w:rPr>
        <w:t>整体要求：</w:t>
      </w:r>
      <w:bookmarkEnd w:id="6"/>
    </w:p>
    <w:p>
      <w:pPr>
        <w:numPr>
          <w:ilvl w:val="0"/>
          <w:numId w:val="5"/>
        </w:numPr>
        <w:spacing w:line="360" w:lineRule="auto"/>
        <w:ind w:left="0" w:leftChars="0" w:firstLine="420" w:firstLineChars="200"/>
        <w:rPr>
          <w:rFonts w:hint="eastAsia" w:ascii="仿宋_GB2312" w:hAnsi="仿宋_GB2312" w:eastAsia="仿宋_GB2312" w:cs="仿宋_GB2312"/>
          <w:color w:val="000000"/>
          <w:sz w:val="21"/>
          <w:szCs w:val="21"/>
        </w:rPr>
      </w:pPr>
      <w:bookmarkStart w:id="7" w:name="_Toc528741779"/>
      <w:r>
        <w:rPr>
          <w:rFonts w:hint="eastAsia" w:ascii="仿宋_GB2312" w:hAnsi="仿宋_GB2312" w:eastAsia="仿宋_GB2312" w:cs="仿宋_GB2312"/>
          <w:color w:val="000000"/>
          <w:sz w:val="21"/>
          <w:szCs w:val="21"/>
        </w:rPr>
        <w:t>洁净室设施的发展及过程管控总体要求</w:t>
      </w:r>
      <w:bookmarkEnd w:id="7"/>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为了保证所建造的洁净室能满足期望的洁净度等级，相关洁净室的设计、施工建造和验收 （设施合格鉴定及功能验收、设施性能验收）必须符合下列相关国际、国内标准及规范的基本要求，并满足该文件或涉及产品、工艺的的特定要求：</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ISO14644：洁净室及相关受控环境。</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GB 50073：洁净厂房设计规范。</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GB 50472：电子工业洁净厂房设计规范。</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GB 50591：洁净室施工及验收规范。</w:t>
      </w:r>
    </w:p>
    <w:p>
      <w:pPr>
        <w:numPr>
          <w:ilvl w:val="0"/>
          <w:numId w:val="6"/>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在设计及建造时应满足以下基本要求：</w:t>
      </w:r>
    </w:p>
    <w:p>
      <w:pPr>
        <w:numPr>
          <w:ilvl w:val="0"/>
          <w:numId w:val="6"/>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洁净室设计时应考虑将来可能的扩展和变更的柔性。</w:t>
      </w:r>
    </w:p>
    <w:p>
      <w:pPr>
        <w:numPr>
          <w:ilvl w:val="0"/>
          <w:numId w:val="6"/>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在设计、定位、安装洁净室用公用设施时，应保证洁净室不会受到这些设施的污染。</w:t>
      </w:r>
    </w:p>
    <w:p>
      <w:pPr>
        <w:numPr>
          <w:ilvl w:val="0"/>
          <w:numId w:val="6"/>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应该按实际需要配备必要的通讯系统，以尽可能减少人员进出洁净室。</w:t>
      </w:r>
    </w:p>
    <w:p>
      <w:pPr>
        <w:numPr>
          <w:ilvl w:val="0"/>
          <w:numId w:val="6"/>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洁净室与外部或相邻区连接的开口应该尽可能减少。应采取有效措施来尽力降低由于人或材料的进出或空气的流动而引起的污染。</w:t>
      </w:r>
    </w:p>
    <w:p>
      <w:pPr>
        <w:numPr>
          <w:ilvl w:val="0"/>
          <w:numId w:val="6"/>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洁净室内要尽量减少外露的各种管线，否则会带来清洁方面的问题。电源输出端和分接头、接头等的设计和安装应便于常规的清洁，能避免在机罩后面聚集污染。</w:t>
      </w:r>
    </w:p>
    <w:p>
      <w:pPr>
        <w:numPr>
          <w:ilvl w:val="0"/>
          <w:numId w:val="6"/>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洁净室空中应避免大面积水平管道、线槽、支架等结构设计，从而减少内部大表面积尘风险。</w:t>
      </w:r>
    </w:p>
    <w:p>
      <w:pPr>
        <w:numPr>
          <w:ilvl w:val="0"/>
          <w:numId w:val="6"/>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因洁净室内的工艺场景及工艺要求对洁净室结构（送回风形式，过滤器布局等）、建材选用（如过滤系统选型，地板/墙体材料选择等）、设备能力参数设计等都有很大影响，因此在洁净室设计时需对涉及的工艺相关信息进行详细谨慎的收集以作为重要需求输入。</w:t>
      </w:r>
    </w:p>
    <w:p>
      <w:pPr>
        <w:numPr>
          <w:ilvl w:val="0"/>
          <w:numId w:val="7"/>
        </w:numPr>
        <w:spacing w:line="360" w:lineRule="auto"/>
        <w:ind w:left="420" w:leftChars="0" w:hanging="420" w:firstLineChars="0"/>
        <w:rPr>
          <w:rFonts w:hint="eastAsia" w:ascii="仿宋_GB2312" w:hAnsi="仿宋_GB2312" w:eastAsia="仿宋_GB2312" w:cs="仿宋_GB2312"/>
          <w:color w:val="000000"/>
          <w:sz w:val="21"/>
          <w:szCs w:val="21"/>
        </w:rPr>
      </w:pPr>
      <w:bookmarkStart w:id="8" w:name="_Toc528741783"/>
      <w:bookmarkStart w:id="9" w:name="_Toc121554848"/>
      <w:r>
        <w:rPr>
          <w:rFonts w:hint="eastAsia" w:ascii="仿宋_GB2312" w:hAnsi="仿宋_GB2312" w:eastAsia="仿宋_GB2312" w:cs="仿宋_GB2312"/>
          <w:color w:val="000000"/>
          <w:sz w:val="21"/>
          <w:szCs w:val="21"/>
        </w:rPr>
        <w:t>洁净室内整体布局要求</w:t>
      </w:r>
      <w:bookmarkEnd w:id="8"/>
    </w:p>
    <w:p>
      <w:pPr>
        <w:numPr>
          <w:ilvl w:val="0"/>
          <w:numId w:val="8"/>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洁净室内对空气洁净度要求严格的工序应布置在上风侧，易产生污染的工艺设备应布置在靠近回风口位置。</w:t>
      </w:r>
    </w:p>
    <w:p>
      <w:pPr>
        <w:numPr>
          <w:ilvl w:val="0"/>
          <w:numId w:val="8"/>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不同空气洁净度等级房间之间联系频繁室，宜设有防止污染的措施，如气闸室、传递箱等。</w:t>
      </w:r>
    </w:p>
    <w:p>
      <w:pPr>
        <w:numPr>
          <w:ilvl w:val="0"/>
          <w:numId w:val="8"/>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应设置单独的物料入口，应设计物料进入洁净室（区）之前应清洁缓冲功能区。</w:t>
      </w:r>
    </w:p>
    <w:p>
      <w:pPr>
        <w:numPr>
          <w:ilvl w:val="0"/>
          <w:numId w:val="9"/>
        </w:numPr>
        <w:spacing w:line="360" w:lineRule="auto"/>
        <w:ind w:left="420" w:leftChars="0" w:hanging="420" w:firstLineChars="0"/>
        <w:rPr>
          <w:rFonts w:hint="eastAsia" w:ascii="仿宋_GB2312" w:hAnsi="仿宋_GB2312" w:eastAsia="仿宋_GB2312" w:cs="仿宋_GB2312"/>
          <w:color w:val="000000"/>
          <w:sz w:val="21"/>
          <w:szCs w:val="21"/>
        </w:rPr>
      </w:pPr>
      <w:bookmarkStart w:id="10" w:name="_Toc528741784"/>
      <w:r>
        <w:rPr>
          <w:rFonts w:hint="eastAsia" w:ascii="仿宋_GB2312" w:hAnsi="仿宋_GB2312" w:eastAsia="仿宋_GB2312" w:cs="仿宋_GB2312"/>
          <w:color w:val="000000"/>
          <w:sz w:val="21"/>
          <w:szCs w:val="21"/>
        </w:rPr>
        <w:t>气流流型和送风量:</w:t>
      </w:r>
      <w:bookmarkEnd w:id="10"/>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洁净室的气流流型应符合表2的要求。洁净室工作区的气流分布应均匀。洁净室气流应满足生产工艺的要求。</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洁净室的送气量应取下列3项中的最大值：</w:t>
      </w:r>
    </w:p>
    <w:p>
      <w:pPr>
        <w:numPr>
          <w:ilvl w:val="0"/>
          <w:numId w:val="10"/>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为保证洁净度等级的送风量。</w:t>
      </w:r>
    </w:p>
    <w:p>
      <w:pPr>
        <w:numPr>
          <w:ilvl w:val="0"/>
          <w:numId w:val="10"/>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根据热、湿负荷计算确定的送风量。</w:t>
      </w:r>
    </w:p>
    <w:p>
      <w:pPr>
        <w:numPr>
          <w:ilvl w:val="0"/>
          <w:numId w:val="10"/>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向洁净室提供的新鲜空气量。</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为了保证空气的洁净度等级，洁净室的送风量应按照表2中对换气次数或平均气流速度的要求来计算。一般建议选择区间中位数作为设计参数。对于人员少、产尘量比较小的工艺工序场景宜选用区间下端；反之宜采用上限值。设计时应考虑整个洁净室内补充鲜风的均匀性。</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说明：设计要求的洁净度级别应为动态洁净度水平，即要求正常生产操作状态下的洁净度水平。如采用动态洁净度设计应采用表2，如采用静态洁净度要求宜采用GB50073定义换气次数要求。 因 GB50073 表6.3.3 中给出的风速及换气次数参数是基于静态而言的，且GB50073在2013版条文说明中描述到“ISO 14644-4 附录B表B.2中对气流设计的相关数据基本合理”，因此该规范等同采用ISO-14644-4 附录B表B.2中对气流速度的建议（而未采用GB50073 表6.3.3的静态洁净度级别对应的风速设计建议）。</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表2：洁净度等级和气流流型及平均气流速度/换气次数对照表</w:t>
      </w:r>
    </w:p>
    <w:tbl>
      <w:tblPr>
        <w:tblStyle w:val="10"/>
        <w:tblW w:w="9161"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4"/>
        <w:gridCol w:w="1657"/>
        <w:gridCol w:w="2541"/>
        <w:gridCol w:w="20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2904" w:type="dxa"/>
            <w:noWrap w:val="0"/>
            <w:vAlign w:val="top"/>
          </w:tcPr>
          <w:p>
            <w:pPr>
              <w:spacing w:line="360" w:lineRule="auto"/>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空气洁净度级别 ISO Classa</w:t>
            </w:r>
          </w:p>
        </w:tc>
        <w:tc>
          <w:tcPr>
            <w:tcW w:w="1657"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气流类型b</w:t>
            </w:r>
          </w:p>
        </w:tc>
        <w:tc>
          <w:tcPr>
            <w:tcW w:w="2541"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平均气流速度c  m/s</w:t>
            </w:r>
          </w:p>
        </w:tc>
        <w:tc>
          <w:tcPr>
            <w:tcW w:w="2059"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换气次数/小时d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2904"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w:t>
            </w:r>
          </w:p>
        </w:tc>
        <w:tc>
          <w:tcPr>
            <w:tcW w:w="1657"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U</w:t>
            </w:r>
          </w:p>
        </w:tc>
        <w:tc>
          <w:tcPr>
            <w:tcW w:w="2541"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0.3-0.5</w:t>
            </w:r>
          </w:p>
        </w:tc>
        <w:tc>
          <w:tcPr>
            <w:tcW w:w="2059"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2904"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w:t>
            </w:r>
          </w:p>
        </w:tc>
        <w:tc>
          <w:tcPr>
            <w:tcW w:w="1657"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U</w:t>
            </w:r>
          </w:p>
        </w:tc>
        <w:tc>
          <w:tcPr>
            <w:tcW w:w="2541"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0.3-0.5</w:t>
            </w:r>
          </w:p>
        </w:tc>
        <w:tc>
          <w:tcPr>
            <w:tcW w:w="2059"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2904"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w:t>
            </w:r>
          </w:p>
        </w:tc>
        <w:tc>
          <w:tcPr>
            <w:tcW w:w="1657"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U</w:t>
            </w:r>
          </w:p>
        </w:tc>
        <w:tc>
          <w:tcPr>
            <w:tcW w:w="2541"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0.3-0.5</w:t>
            </w:r>
          </w:p>
        </w:tc>
        <w:tc>
          <w:tcPr>
            <w:tcW w:w="2059"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2904"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w:t>
            </w:r>
          </w:p>
        </w:tc>
        <w:tc>
          <w:tcPr>
            <w:tcW w:w="1657"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U</w:t>
            </w:r>
          </w:p>
        </w:tc>
        <w:tc>
          <w:tcPr>
            <w:tcW w:w="2541"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0.2-0.5</w:t>
            </w:r>
          </w:p>
        </w:tc>
        <w:tc>
          <w:tcPr>
            <w:tcW w:w="2059"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2904"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w:t>
            </w:r>
          </w:p>
        </w:tc>
        <w:tc>
          <w:tcPr>
            <w:tcW w:w="1657"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N或M</w:t>
            </w:r>
          </w:p>
        </w:tc>
        <w:tc>
          <w:tcPr>
            <w:tcW w:w="2541"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不适用</w:t>
            </w:r>
          </w:p>
        </w:tc>
        <w:tc>
          <w:tcPr>
            <w:tcW w:w="2059"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70-160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2904"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7</w:t>
            </w:r>
          </w:p>
        </w:tc>
        <w:tc>
          <w:tcPr>
            <w:tcW w:w="1657"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N或M</w:t>
            </w:r>
          </w:p>
        </w:tc>
        <w:tc>
          <w:tcPr>
            <w:tcW w:w="2541"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不适用</w:t>
            </w:r>
          </w:p>
        </w:tc>
        <w:tc>
          <w:tcPr>
            <w:tcW w:w="2059"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30-70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2904"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8</w:t>
            </w:r>
          </w:p>
        </w:tc>
        <w:tc>
          <w:tcPr>
            <w:tcW w:w="1657"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N或M</w:t>
            </w:r>
          </w:p>
        </w:tc>
        <w:tc>
          <w:tcPr>
            <w:tcW w:w="2541"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不适用</w:t>
            </w:r>
          </w:p>
        </w:tc>
        <w:tc>
          <w:tcPr>
            <w:tcW w:w="2059"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2904"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9</w:t>
            </w:r>
          </w:p>
        </w:tc>
        <w:tc>
          <w:tcPr>
            <w:tcW w:w="1657"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N</w:t>
            </w:r>
          </w:p>
        </w:tc>
        <w:tc>
          <w:tcPr>
            <w:tcW w:w="2541"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不适用</w:t>
            </w:r>
          </w:p>
        </w:tc>
        <w:tc>
          <w:tcPr>
            <w:tcW w:w="2059"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9161" w:type="dxa"/>
            <w:gridSpan w:val="4"/>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注：na=不适用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7" w:hRule="atLeast"/>
        </w:trPr>
        <w:tc>
          <w:tcPr>
            <w:tcW w:w="9161" w:type="dxa"/>
            <w:gridSpan w:val="4"/>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a)  在制订最佳设计条件之前，应该详细说明与ISO等级有关的占用状态。</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b)  表列的气流流型表示该等级的洁净室的气流特性：U=单向流；N=非单向流；M=混合流（U和N的混合）。</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c)  平均气流速度为通常规定的洁净室内单向流的流动方法。对单向气流流速的要求取决于局部的参数，如几何图形和热参数，而不一定是过滤器的面速度。</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d)  每小时换气次数是规定非单向流和混合流的方法。</w:t>
            </w:r>
          </w:p>
        </w:tc>
      </w:tr>
    </w:tbl>
    <w:p>
      <w:pPr>
        <w:numPr>
          <w:ilvl w:val="0"/>
          <w:numId w:val="11"/>
        </w:numPr>
        <w:spacing w:line="360" w:lineRule="auto"/>
        <w:ind w:left="420" w:leftChars="0" w:hanging="420" w:firstLineChars="0"/>
        <w:rPr>
          <w:rFonts w:hint="eastAsia" w:ascii="仿宋_GB2312" w:hAnsi="仿宋_GB2312" w:eastAsia="仿宋_GB2312" w:cs="仿宋_GB2312"/>
          <w:color w:val="000000"/>
          <w:sz w:val="21"/>
          <w:szCs w:val="21"/>
        </w:rPr>
      </w:pPr>
      <w:bookmarkStart w:id="11" w:name="_Toc528741785"/>
      <w:r>
        <w:rPr>
          <w:rFonts w:hint="eastAsia" w:ascii="仿宋_GB2312" w:hAnsi="仿宋_GB2312" w:eastAsia="仿宋_GB2312" w:cs="仿宋_GB2312"/>
          <w:color w:val="000000"/>
          <w:sz w:val="21"/>
          <w:szCs w:val="21"/>
        </w:rPr>
        <w:t>空气净化处理系统</w:t>
      </w:r>
      <w:bookmarkEnd w:id="11"/>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空气过滤器的选用、布置和安装应符合下列要求：</w:t>
      </w:r>
    </w:p>
    <w:p>
      <w:pPr>
        <w:numPr>
          <w:ilvl w:val="0"/>
          <w:numId w:val="12"/>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净化空调系统的整体设计应考虑后期的可维护性、可扩展性，能支持持续生产的需要，洁净室内某一台净化送风空调的例行维保（如过滤器的更换）或故障维修应不影响车间的正常生产。</w:t>
      </w:r>
    </w:p>
    <w:p>
      <w:pPr>
        <w:numPr>
          <w:ilvl w:val="0"/>
          <w:numId w:val="12"/>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根据空气洁净度等级合理选用过滤器等级。</w:t>
      </w:r>
    </w:p>
    <w:p>
      <w:pPr>
        <w:numPr>
          <w:ilvl w:val="0"/>
          <w:numId w:val="12"/>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空气过滤器的处理风量应小于或等于额定风量。</w:t>
      </w:r>
    </w:p>
    <w:p>
      <w:pPr>
        <w:numPr>
          <w:ilvl w:val="0"/>
          <w:numId w:val="12"/>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空调机中的末端过滤器（中效或高中效）宜设置在空调系统的正压段。</w:t>
      </w:r>
    </w:p>
    <w:p>
      <w:pPr>
        <w:numPr>
          <w:ilvl w:val="0"/>
          <w:numId w:val="12"/>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亚高效和高效过滤器作为末端过滤器时宜设置在净化空调系统的末端；10万级及更高洁净度等级的洁净室末端过滤器必须设置在空调系统的末端。</w:t>
      </w:r>
    </w:p>
    <w:p>
      <w:pPr>
        <w:numPr>
          <w:ilvl w:val="0"/>
          <w:numId w:val="12"/>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空调机中的中效过滤器安装方式应便于密封效果检查，过滤器前/后端应预留检查、测试的技术通道。</w:t>
      </w:r>
    </w:p>
    <w:p>
      <w:pPr>
        <w:numPr>
          <w:ilvl w:val="0"/>
          <w:numId w:val="12"/>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高效、超高效过滤器安装应密封良好，安装方式应简便、可靠，易于检漏、更换。</w:t>
      </w:r>
    </w:p>
    <w:p>
      <w:pPr>
        <w:numPr>
          <w:ilvl w:val="0"/>
          <w:numId w:val="12"/>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对日常操作不易碰触到的车间内末端过滤器，不宜加装保护网或扩散孔板。如需安装防护网，其材料的选择应根据所输送气体的洁净度要求及其所处的环境空气条件确定；其结构应不影响气体的输送及气流的检测。</w:t>
      </w:r>
    </w:p>
    <w:p>
      <w:pPr>
        <w:numPr>
          <w:ilvl w:val="0"/>
          <w:numId w:val="12"/>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在MAU/AHU中空气过滤器的前后应设置测压孔并安装数字压差计。</w:t>
      </w:r>
    </w:p>
    <w:p>
      <w:pPr>
        <w:numPr>
          <w:ilvl w:val="0"/>
          <w:numId w:val="13"/>
        </w:numPr>
        <w:spacing w:line="360" w:lineRule="auto"/>
        <w:ind w:left="420" w:leftChars="0" w:hanging="420" w:firstLineChars="0"/>
        <w:rPr>
          <w:rFonts w:hint="eastAsia" w:ascii="仿宋_GB2312" w:hAnsi="仿宋_GB2312" w:eastAsia="仿宋_GB2312" w:cs="仿宋_GB2312"/>
          <w:color w:val="000000"/>
          <w:sz w:val="21"/>
          <w:szCs w:val="21"/>
        </w:rPr>
      </w:pPr>
      <w:bookmarkStart w:id="12" w:name="_Toc528741786"/>
      <w:r>
        <w:rPr>
          <w:rFonts w:hint="eastAsia" w:ascii="仿宋_GB2312" w:hAnsi="仿宋_GB2312" w:eastAsia="仿宋_GB2312" w:cs="仿宋_GB2312"/>
          <w:color w:val="000000"/>
          <w:sz w:val="21"/>
          <w:szCs w:val="21"/>
        </w:rPr>
        <w:t>洁净室压差管控系统</w:t>
      </w:r>
      <w:bookmarkEnd w:id="12"/>
    </w:p>
    <w:p>
      <w:pPr>
        <w:numPr>
          <w:ilvl w:val="0"/>
          <w:numId w:val="12"/>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洁净室与周围空间必须维持一定的压差，并按生产工艺要求决定正压差还是负压差。不同等级洁净室之间及洁净区与非洁净区之间的压差应不小于5帕，洁净室与室外的压差应不小于10帕。</w:t>
      </w:r>
    </w:p>
    <w:p>
      <w:pPr>
        <w:numPr>
          <w:ilvl w:val="0"/>
          <w:numId w:val="12"/>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为了维持所需的压差，应尽可能减少洁净室（区）与周围环境之间的开口、缝隙。洁净室，人员、设备、物料出入口必须采用互锁双门设计。应采取措施保证不同时开启与气闸相连的进出门，可采用带声音或视觉指示装置的电子互锁或机械互锁系统。两边门上需要设计透明的窗户以方便两边人员互相查看。</w:t>
      </w:r>
    </w:p>
    <w:p>
      <w:pPr>
        <w:numPr>
          <w:ilvl w:val="0"/>
          <w:numId w:val="12"/>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设计时对工艺排风的需求要明确，以保证无尘室对外正压差的新风设计要求。</w:t>
      </w:r>
    </w:p>
    <w:p>
      <w:pPr>
        <w:numPr>
          <w:ilvl w:val="0"/>
          <w:numId w:val="12"/>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送风、回风和排风系统的启闭应联锁。正压洁净室联锁程序为先启动送风机，再启动回风机和排风机；关闭时联锁程序应相反。</w:t>
      </w:r>
    </w:p>
    <w:p>
      <w:pPr>
        <w:numPr>
          <w:ilvl w:val="0"/>
          <w:numId w:val="12"/>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压差监控与控制系统要求：自动监控及记录系统，在人流、物流主要出入口安装可视化压差表（指针式或数显式）。</w:t>
      </w:r>
    </w:p>
    <w:p>
      <w:pPr>
        <w:numPr>
          <w:ilvl w:val="0"/>
          <w:numId w:val="14"/>
        </w:numPr>
        <w:spacing w:line="360" w:lineRule="auto"/>
        <w:ind w:left="420" w:leftChars="0" w:hanging="420" w:firstLineChars="0"/>
        <w:rPr>
          <w:rFonts w:hint="eastAsia" w:ascii="仿宋_GB2312" w:hAnsi="仿宋_GB2312" w:eastAsia="仿宋_GB2312" w:cs="仿宋_GB2312"/>
          <w:color w:val="000000"/>
          <w:sz w:val="21"/>
          <w:szCs w:val="21"/>
        </w:rPr>
      </w:pPr>
      <w:bookmarkStart w:id="13" w:name="_Toc528741787"/>
      <w:r>
        <w:rPr>
          <w:rFonts w:hint="eastAsia" w:ascii="仿宋_GB2312" w:hAnsi="仿宋_GB2312" w:eastAsia="仿宋_GB2312" w:cs="仿宋_GB2312"/>
          <w:color w:val="000000"/>
          <w:sz w:val="21"/>
          <w:szCs w:val="21"/>
        </w:rPr>
        <w:t>温度、湿度控制系统</w:t>
      </w:r>
      <w:bookmarkEnd w:id="13"/>
    </w:p>
    <w:p>
      <w:pPr>
        <w:numPr>
          <w:ilvl w:val="0"/>
          <w:numId w:val="12"/>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温度、湿度控制系统应能满足工艺对温度湿度管控的要求。温度、湿度测试系统的精度及准确性应能适应温度、湿度管控范围的要求。温度、湿度测试系统感应器的安装位置应能反映产品工艺区域的实际温度湿度状况。</w:t>
      </w:r>
    </w:p>
    <w:p>
      <w:pPr>
        <w:numPr>
          <w:ilvl w:val="0"/>
          <w:numId w:val="12"/>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洁净室在加湿系统设计时应考虑系统加湿能力的选择，既要保证与送风量匹配的足够的加湿能力，又要防止过加湿的情况。设计时应考虑温度、湿度控制能力在洁净室内分布的均匀性。</w:t>
      </w:r>
    </w:p>
    <w:p>
      <w:pPr>
        <w:numPr>
          <w:ilvl w:val="0"/>
          <w:numId w:val="15"/>
        </w:numPr>
        <w:spacing w:line="360" w:lineRule="auto"/>
        <w:ind w:left="420" w:leftChars="0" w:hanging="420" w:firstLineChars="0"/>
        <w:rPr>
          <w:rFonts w:hint="eastAsia" w:ascii="仿宋_GB2312" w:hAnsi="仿宋_GB2312" w:eastAsia="仿宋_GB2312" w:cs="仿宋_GB2312"/>
          <w:color w:val="000000"/>
          <w:sz w:val="21"/>
          <w:szCs w:val="21"/>
        </w:rPr>
      </w:pPr>
      <w:bookmarkStart w:id="14" w:name="_Toc528741788"/>
      <w:r>
        <w:rPr>
          <w:rFonts w:hint="eastAsia" w:ascii="仿宋_GB2312" w:hAnsi="仿宋_GB2312" w:eastAsia="仿宋_GB2312" w:cs="仿宋_GB2312"/>
          <w:color w:val="000000"/>
          <w:sz w:val="21"/>
          <w:szCs w:val="21"/>
        </w:rPr>
        <w:t>噪音、照度</w:t>
      </w:r>
      <w:bookmarkEnd w:id="14"/>
    </w:p>
    <w:p>
      <w:pPr>
        <w:numPr>
          <w:ilvl w:val="0"/>
          <w:numId w:val="16"/>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噪音控制：洁净室内的噪声级（空态），不应大于65dB(A)；净化空调系统噪声超过允许值时，应采取隔声、消声、隔震等控制措施。洁净室内的排风系统，除消防排风外，应采取减噪措施。</w:t>
      </w:r>
    </w:p>
    <w:p>
      <w:pPr>
        <w:numPr>
          <w:ilvl w:val="0"/>
          <w:numId w:val="16"/>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照明控制：洁净室内的照明系统的照度应满足生产工艺的需求；照明灯具应选择洁净室专用灯具，灯具的结构应便于清洁及维护；带格栅的灯具易积尘，不应在洁净室使用。</w:t>
      </w:r>
    </w:p>
    <w:p>
      <w:pPr>
        <w:numPr>
          <w:ilvl w:val="0"/>
          <w:numId w:val="17"/>
        </w:numPr>
        <w:spacing w:line="360" w:lineRule="auto"/>
        <w:ind w:left="420" w:leftChars="0" w:hanging="420" w:firstLineChars="0"/>
        <w:rPr>
          <w:rFonts w:hint="eastAsia" w:ascii="仿宋_GB2312" w:hAnsi="仿宋_GB2312" w:eastAsia="仿宋_GB2312" w:cs="仿宋_GB2312"/>
          <w:color w:val="000000"/>
          <w:sz w:val="21"/>
          <w:szCs w:val="21"/>
        </w:rPr>
      </w:pPr>
      <w:bookmarkStart w:id="15" w:name="_Toc528741789"/>
      <w:r>
        <w:rPr>
          <w:rFonts w:hint="eastAsia" w:ascii="仿宋_GB2312" w:hAnsi="仿宋_GB2312" w:eastAsia="仿宋_GB2312" w:cs="仿宋_GB2312"/>
          <w:color w:val="000000"/>
          <w:sz w:val="21"/>
          <w:szCs w:val="21"/>
        </w:rPr>
        <w:t>人流、物流路径设计</w:t>
      </w:r>
      <w:bookmarkEnd w:id="15"/>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人员进入洁净室路径基本要求：</w:t>
      </w:r>
    </w:p>
    <w:p>
      <w:pPr>
        <w:numPr>
          <w:ilvl w:val="0"/>
          <w:numId w:val="18"/>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人员净化室入口应设净鞋措施。</w:t>
      </w:r>
    </w:p>
    <w:p>
      <w:pPr>
        <w:numPr>
          <w:ilvl w:val="0"/>
          <w:numId w:val="18"/>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存外衣和更换洁净服的房间应分别设置，在洁净服更衣室外宜设置前置更衣室。</w:t>
      </w:r>
    </w:p>
    <w:p>
      <w:pPr>
        <w:numPr>
          <w:ilvl w:val="0"/>
          <w:numId w:val="18"/>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洁净工作服宜集中挂入带净化空气吹淋的洁净柜或洁净棚下。</w:t>
      </w:r>
    </w:p>
    <w:p>
      <w:pPr>
        <w:numPr>
          <w:ilvl w:val="0"/>
          <w:numId w:val="18"/>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更衣室是进出洁净室人员所必须的特殊净化区域，必须具有足够的空间以满足其功能需求（穿、脱无尘衣，储存无尘衣，手套清洗，鞋底除尘、人员风淋等）。洁净室的更衣室必须与生产洁净室相邻并达到规定的洁净度等级，其洁净度等级一般比洁净室低一级。</w:t>
      </w:r>
    </w:p>
    <w:p>
      <w:pPr>
        <w:numPr>
          <w:ilvl w:val="0"/>
          <w:numId w:val="18"/>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风淋室选型及数量的配置应考虑洁净室内设计工作人员数量及期望的进入时间限制。</w:t>
      </w:r>
    </w:p>
    <w:p>
      <w:pPr>
        <w:numPr>
          <w:ilvl w:val="0"/>
          <w:numId w:val="19"/>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更衣室设施要求：</w:t>
      </w:r>
    </w:p>
    <w:p>
      <w:pPr>
        <w:numPr>
          <w:ilvl w:val="0"/>
          <w:numId w:val="20"/>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无尘服储存设施；</w:t>
      </w:r>
    </w:p>
    <w:p>
      <w:pPr>
        <w:numPr>
          <w:ilvl w:val="0"/>
          <w:numId w:val="20"/>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穿衣辅助凳；</w:t>
      </w:r>
    </w:p>
    <w:p>
      <w:pPr>
        <w:numPr>
          <w:ilvl w:val="0"/>
          <w:numId w:val="20"/>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个人用品的储存设施；</w:t>
      </w:r>
    </w:p>
    <w:p>
      <w:pPr>
        <w:numPr>
          <w:ilvl w:val="0"/>
          <w:numId w:val="20"/>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清晰详细的穿脱无尘服操作流程指示；</w:t>
      </w:r>
    </w:p>
    <w:p>
      <w:pPr>
        <w:numPr>
          <w:ilvl w:val="0"/>
          <w:numId w:val="20"/>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检查无尘服穿着情况的全身穿衣镜；</w:t>
      </w:r>
    </w:p>
    <w:p>
      <w:pPr>
        <w:numPr>
          <w:ilvl w:val="0"/>
          <w:numId w:val="20"/>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ESD人体电阻测试仪及防静电手腕带电阻测试仪；</w:t>
      </w:r>
    </w:p>
    <w:p>
      <w:pPr>
        <w:numPr>
          <w:ilvl w:val="0"/>
          <w:numId w:val="20"/>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鞋底除尘设施（粘尘垫）；</w:t>
      </w:r>
    </w:p>
    <w:p>
      <w:pPr>
        <w:numPr>
          <w:ilvl w:val="0"/>
          <w:numId w:val="20"/>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风淋室；</w:t>
      </w:r>
    </w:p>
    <w:p>
      <w:pPr>
        <w:numPr>
          <w:ilvl w:val="0"/>
          <w:numId w:val="21"/>
        </w:numPr>
        <w:spacing w:line="360" w:lineRule="auto"/>
        <w:ind w:left="420" w:leftChars="0" w:hanging="420" w:firstLineChars="0"/>
        <w:rPr>
          <w:rFonts w:hint="eastAsia" w:ascii="仿宋_GB2312" w:hAnsi="仿宋_GB2312" w:eastAsia="仿宋_GB2312" w:cs="仿宋_GB2312"/>
          <w:color w:val="000000"/>
          <w:sz w:val="21"/>
          <w:szCs w:val="21"/>
        </w:rPr>
      </w:pPr>
      <w:bookmarkStart w:id="16" w:name="_Toc528741791"/>
      <w:r>
        <w:rPr>
          <w:rFonts w:hint="eastAsia" w:ascii="仿宋_GB2312" w:hAnsi="仿宋_GB2312" w:eastAsia="仿宋_GB2312" w:cs="仿宋_GB2312"/>
          <w:color w:val="000000"/>
          <w:sz w:val="21"/>
          <w:szCs w:val="21"/>
        </w:rPr>
        <w:t>物料进入路径要求</w:t>
      </w:r>
      <w:bookmarkEnd w:id="16"/>
    </w:p>
    <w:p>
      <w:pPr>
        <w:numPr>
          <w:ilvl w:val="0"/>
          <w:numId w:val="22"/>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洁净室内设备和物料入口应根据设备和物料的性质、形状等特征设置物料净化室及设施。物料净化用室的布置应防止净化后的物料在传递过程中被污染。</w:t>
      </w:r>
    </w:p>
    <w:p>
      <w:pPr>
        <w:numPr>
          <w:ilvl w:val="0"/>
          <w:numId w:val="22"/>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考虑不同生产物料实际传送场景，洁净室内传递窗的设计应满足以下要求：</w:t>
      </w:r>
    </w:p>
    <w:p>
      <w:pPr>
        <w:numPr>
          <w:ilvl w:val="0"/>
          <w:numId w:val="23"/>
        </w:numPr>
        <w:spacing w:line="360" w:lineRule="auto"/>
        <w:ind w:left="0" w:leftChars="0" w:firstLine="420" w:firstLineChars="20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进入和带出物料的传递窗应分开；传递干净物料和其它物料的传递窗应分开。</w:t>
      </w:r>
    </w:p>
    <w:p>
      <w:pPr>
        <w:numPr>
          <w:ilvl w:val="0"/>
          <w:numId w:val="23"/>
        </w:numPr>
        <w:spacing w:line="360" w:lineRule="auto"/>
        <w:ind w:left="0" w:leftChars="0" w:firstLine="420" w:firstLineChars="20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当传递窗用于传递干净的裸露物料时，应选用顶部带高效过滤器及下回风系统的净化传递窗；其它场景选用带风淋喷嘴的吹淋传递窗。</w:t>
      </w:r>
    </w:p>
    <w:p>
      <w:pPr>
        <w:numPr>
          <w:ilvl w:val="0"/>
          <w:numId w:val="23"/>
        </w:numPr>
        <w:spacing w:line="360" w:lineRule="auto"/>
        <w:ind w:left="0" w:leftChars="0" w:firstLine="420" w:firstLineChars="20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带出物料的传递窗不用带风淋装置；当用于传递出干净的裸露物料时传递窗应选用带高效过滤器及回风系统的净化传递窗。</w:t>
      </w:r>
    </w:p>
    <w:p>
      <w:pPr>
        <w:numPr>
          <w:ilvl w:val="0"/>
          <w:numId w:val="23"/>
        </w:numPr>
        <w:spacing w:line="360" w:lineRule="auto"/>
        <w:ind w:left="0" w:leftChars="0" w:firstLine="420" w:firstLineChars="20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传递窗的框架材料应选用不锈钢材质，外露表面及送回风道表面应抛光。</w:t>
      </w:r>
    </w:p>
    <w:p>
      <w:pPr>
        <w:numPr>
          <w:ilvl w:val="0"/>
          <w:numId w:val="24"/>
        </w:numPr>
        <w:spacing w:line="360" w:lineRule="auto"/>
        <w:ind w:left="420" w:leftChars="0" w:hanging="420" w:firstLineChars="0"/>
        <w:rPr>
          <w:rFonts w:hint="eastAsia" w:ascii="仿宋_GB2312" w:hAnsi="仿宋_GB2312" w:eastAsia="仿宋_GB2312" w:cs="仿宋_GB2312"/>
          <w:color w:val="000000"/>
          <w:sz w:val="21"/>
          <w:szCs w:val="21"/>
        </w:rPr>
      </w:pPr>
      <w:bookmarkStart w:id="17" w:name="_Toc528741792"/>
      <w:r>
        <w:rPr>
          <w:rFonts w:hint="eastAsia" w:ascii="仿宋_GB2312" w:hAnsi="仿宋_GB2312" w:eastAsia="仿宋_GB2312" w:cs="仿宋_GB2312"/>
          <w:color w:val="000000"/>
          <w:sz w:val="21"/>
          <w:szCs w:val="21"/>
        </w:rPr>
        <w:t>气体管道</w:t>
      </w:r>
      <w:bookmarkEnd w:id="17"/>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气体管道的设计除满足GB50073 中的相关要求外，管道材料的选择还应满足以下要求：</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除特殊气体工艺要求外，管道均采用不锈钢材质，防止生锈产尘。</w:t>
      </w:r>
    </w:p>
    <w:p>
      <w:pPr>
        <w:numPr>
          <w:ilvl w:val="0"/>
          <w:numId w:val="25"/>
        </w:numPr>
        <w:spacing w:line="360" w:lineRule="auto"/>
        <w:ind w:left="420" w:leftChars="0" w:hanging="420" w:firstLineChars="0"/>
        <w:rPr>
          <w:rFonts w:hint="eastAsia" w:ascii="仿宋_GB2312" w:hAnsi="仿宋_GB2312" w:eastAsia="仿宋_GB2312" w:cs="仿宋_GB2312"/>
          <w:color w:val="000000"/>
          <w:sz w:val="21"/>
          <w:szCs w:val="21"/>
        </w:rPr>
      </w:pPr>
      <w:bookmarkStart w:id="18" w:name="_Toc528741793"/>
      <w:r>
        <w:rPr>
          <w:rFonts w:hint="eastAsia" w:ascii="仿宋_GB2312" w:hAnsi="仿宋_GB2312" w:eastAsia="仿宋_GB2312" w:cs="仿宋_GB2312"/>
          <w:color w:val="000000"/>
          <w:sz w:val="21"/>
          <w:szCs w:val="21"/>
        </w:rPr>
        <w:t>洁净室环境建设硬件基本要求</w:t>
      </w:r>
      <w:bookmarkEnd w:id="18"/>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根据洁净室洁净度等级的不同，应在洁净室设计时配置不同的硬件设施。具体要求请参见 表3。</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表3：不同洁净室硬件设施列表</w:t>
      </w:r>
    </w:p>
    <w:tbl>
      <w:tblPr>
        <w:tblStyle w:val="10"/>
        <w:tblW w:w="6269" w:type="dxa"/>
        <w:tblInd w:w="4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286"/>
        <w:gridCol w:w="1171"/>
        <w:gridCol w:w="181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 w:hRule="atLeast"/>
        </w:trPr>
        <w:tc>
          <w:tcPr>
            <w:tcW w:w="3286" w:type="dxa"/>
            <w:tcBorders>
              <w:tl2br w:val="single" w:color="auto" w:sz="6" w:space="0"/>
            </w:tcBorders>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洁净度等级</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洁净度控制措施</w:t>
            </w:r>
          </w:p>
        </w:tc>
        <w:tc>
          <w:tcPr>
            <w:tcW w:w="1171"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ISO6 级(1000级)</w:t>
            </w:r>
          </w:p>
        </w:tc>
        <w:tc>
          <w:tcPr>
            <w:tcW w:w="1812"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ISO7, ISO8</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(万级，10万级)</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3286"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车间内末端过滤器</w:t>
            </w:r>
          </w:p>
        </w:tc>
        <w:tc>
          <w:tcPr>
            <w:tcW w:w="1171"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要求</w:t>
            </w:r>
          </w:p>
        </w:tc>
        <w:tc>
          <w:tcPr>
            <w:tcW w:w="1812"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53" w:hRule="atLeast"/>
        </w:trPr>
        <w:tc>
          <w:tcPr>
            <w:tcW w:w="3286"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高架地板</w:t>
            </w:r>
          </w:p>
        </w:tc>
        <w:tc>
          <w:tcPr>
            <w:tcW w:w="1171"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可选</w:t>
            </w:r>
          </w:p>
        </w:tc>
        <w:tc>
          <w:tcPr>
            <w:tcW w:w="1812"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不要求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 w:hRule="atLeast"/>
        </w:trPr>
        <w:tc>
          <w:tcPr>
            <w:tcW w:w="3286"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人员风浴室</w:t>
            </w:r>
          </w:p>
        </w:tc>
        <w:tc>
          <w:tcPr>
            <w:tcW w:w="1171"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要求</w:t>
            </w:r>
          </w:p>
        </w:tc>
        <w:tc>
          <w:tcPr>
            <w:tcW w:w="1812"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 w:hRule="atLeast"/>
        </w:trPr>
        <w:tc>
          <w:tcPr>
            <w:tcW w:w="3286"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物料风浴设备</w:t>
            </w:r>
          </w:p>
        </w:tc>
        <w:tc>
          <w:tcPr>
            <w:tcW w:w="1171"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要求</w:t>
            </w:r>
          </w:p>
        </w:tc>
        <w:tc>
          <w:tcPr>
            <w:tcW w:w="1812"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 w:hRule="atLeast"/>
        </w:trPr>
        <w:tc>
          <w:tcPr>
            <w:tcW w:w="3286"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物料净化用室及其设施</w:t>
            </w:r>
          </w:p>
        </w:tc>
        <w:tc>
          <w:tcPr>
            <w:tcW w:w="1171"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要求</w:t>
            </w:r>
          </w:p>
        </w:tc>
        <w:tc>
          <w:tcPr>
            <w:tcW w:w="1812"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0" w:hRule="atLeast"/>
        </w:trPr>
        <w:tc>
          <w:tcPr>
            <w:tcW w:w="3286"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气闸室、缓冲间</w:t>
            </w:r>
          </w:p>
        </w:tc>
        <w:tc>
          <w:tcPr>
            <w:tcW w:w="1171"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要求</w:t>
            </w:r>
          </w:p>
        </w:tc>
        <w:tc>
          <w:tcPr>
            <w:tcW w:w="1812"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 w:hRule="atLeast"/>
        </w:trPr>
        <w:tc>
          <w:tcPr>
            <w:tcW w:w="3286"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人员入口鞋底除尘设施</w:t>
            </w:r>
          </w:p>
        </w:tc>
        <w:tc>
          <w:tcPr>
            <w:tcW w:w="1171"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要求</w:t>
            </w:r>
          </w:p>
        </w:tc>
        <w:tc>
          <w:tcPr>
            <w:tcW w:w="1812"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 w:hRule="atLeast"/>
        </w:trPr>
        <w:tc>
          <w:tcPr>
            <w:tcW w:w="3286"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物料入口周转车轮除尘设施</w:t>
            </w:r>
          </w:p>
        </w:tc>
        <w:tc>
          <w:tcPr>
            <w:tcW w:w="1171"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要求</w:t>
            </w:r>
          </w:p>
        </w:tc>
        <w:tc>
          <w:tcPr>
            <w:tcW w:w="1812"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7" w:hRule="atLeast"/>
        </w:trPr>
        <w:tc>
          <w:tcPr>
            <w:tcW w:w="3286"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洁净工作服存放设施（100级洁净棚、洁净柜）</w:t>
            </w:r>
          </w:p>
        </w:tc>
        <w:tc>
          <w:tcPr>
            <w:tcW w:w="1171"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要求</w:t>
            </w:r>
          </w:p>
        </w:tc>
        <w:tc>
          <w:tcPr>
            <w:tcW w:w="1812"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 w:hRule="atLeast"/>
        </w:trPr>
        <w:tc>
          <w:tcPr>
            <w:tcW w:w="3286"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洗手设施</w:t>
            </w:r>
          </w:p>
        </w:tc>
        <w:tc>
          <w:tcPr>
            <w:tcW w:w="1171"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要求</w:t>
            </w:r>
          </w:p>
        </w:tc>
        <w:tc>
          <w:tcPr>
            <w:tcW w:w="1812"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可选</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 w:hRule="atLeast"/>
        </w:trPr>
        <w:tc>
          <w:tcPr>
            <w:tcW w:w="3286"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洗脸设施</w:t>
            </w:r>
          </w:p>
        </w:tc>
        <w:tc>
          <w:tcPr>
            <w:tcW w:w="1171"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可选</w:t>
            </w:r>
          </w:p>
        </w:tc>
        <w:tc>
          <w:tcPr>
            <w:tcW w:w="1812"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不要求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 w:hRule="atLeast"/>
        </w:trPr>
        <w:tc>
          <w:tcPr>
            <w:tcW w:w="3286"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手套清洗设施</w:t>
            </w:r>
          </w:p>
        </w:tc>
        <w:tc>
          <w:tcPr>
            <w:tcW w:w="1171" w:type="dxa"/>
            <w:noWrap w:val="0"/>
            <w:vAlign w:val="center"/>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要求</w:t>
            </w:r>
          </w:p>
        </w:tc>
        <w:tc>
          <w:tcPr>
            <w:tcW w:w="1812" w:type="dxa"/>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不要求</w:t>
            </w:r>
          </w:p>
        </w:tc>
      </w:tr>
    </w:tbl>
    <w:p>
      <w:pPr>
        <w:numPr>
          <w:ilvl w:val="0"/>
          <w:numId w:val="25"/>
        </w:numPr>
        <w:spacing w:line="360" w:lineRule="auto"/>
        <w:ind w:left="420" w:leftChars="0" w:hanging="420" w:firstLineChars="0"/>
        <w:rPr>
          <w:rFonts w:hint="eastAsia" w:ascii="仿宋_GB2312" w:hAnsi="仿宋_GB2312" w:eastAsia="仿宋_GB2312" w:cs="仿宋_GB2312"/>
          <w:color w:val="000000"/>
          <w:sz w:val="21"/>
          <w:szCs w:val="21"/>
        </w:rPr>
      </w:pPr>
      <w:bookmarkStart w:id="19" w:name="_Toc528741794"/>
      <w:r>
        <w:rPr>
          <w:rFonts w:hint="eastAsia" w:ascii="仿宋_GB2312" w:hAnsi="仿宋_GB2312" w:eastAsia="仿宋_GB2312" w:cs="仿宋_GB2312"/>
          <w:color w:val="000000"/>
          <w:sz w:val="21"/>
          <w:szCs w:val="21"/>
        </w:rPr>
        <w:t>其它设施有关要求</w:t>
      </w:r>
      <w:bookmarkEnd w:id="19"/>
    </w:p>
    <w:p>
      <w:pPr>
        <w:numPr>
          <w:ilvl w:val="0"/>
          <w:numId w:val="26"/>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天花：天花必须密封良好以防止外界空气中的污染物通过天花孔洞进入；安装在天花上的过滤器、过滤器边框、过滤器安装框架及散流器必须密封完好；天花的穿透点（设施服务、消防喷淋头、照明灯等）应尽可能少并且密封完好。</w:t>
      </w:r>
    </w:p>
    <w:p>
      <w:pPr>
        <w:numPr>
          <w:ilvl w:val="0"/>
          <w:numId w:val="26"/>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内墙面：材料及表面处理应满足所有通用要求；材料的抗静电性能应满足涉及产品的防静电需求及防静电吸尘要求； 对推车、叉车和人员携带物料经常的通道区域墙体，应考虑墙面材料的防撞性及耐磨性，可采用合适的防撞条/保护条或满足要求的墙面材料。</w:t>
      </w:r>
    </w:p>
    <w:p>
      <w:pPr>
        <w:numPr>
          <w:ilvl w:val="0"/>
          <w:numId w:val="26"/>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地板：地板和地板覆盖材料表面应无孔、防滑、耐磨，能耐可能碰到的化学品（清洗剂、消毒剂或可能的工艺泄露化学品），并易清洁，不开裂；地板系统应能提供满足涉及产品要求的防静电性能。</w:t>
      </w:r>
    </w:p>
    <w:p>
      <w:pPr>
        <w:numPr>
          <w:ilvl w:val="0"/>
          <w:numId w:val="26"/>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如要求安装对外的窗户，设计和安装时要注意避免热损失、太阳能的获得和冷凝问题。洁净室内部应考虑用玻璃连接各个空间，从而可以在不进入室内的情况下观察室内的活动。窗户应是非开启式的、密封的。可以用双层窗，既可齐平安装，又可在间隙中安装百叶或遮帘。洁净室内禁止使用暴露在外的百叶窗。</w:t>
      </w:r>
    </w:p>
    <w:p>
      <w:pPr>
        <w:numPr>
          <w:ilvl w:val="0"/>
          <w:numId w:val="26"/>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洁净室内产尘和有害气体的工艺设备，应设局部排风装置。局部排风装置包括隔离装置及抽风装置，其设计性能应满足防止污染物扩散的要求。</w:t>
      </w:r>
    </w:p>
    <w:p>
      <w:pPr>
        <w:numPr>
          <w:ilvl w:val="0"/>
          <w:numId w:val="27"/>
        </w:numPr>
        <w:spacing w:line="360" w:lineRule="auto"/>
        <w:ind w:left="420" w:leftChars="0" w:hanging="420" w:firstLineChars="0"/>
        <w:rPr>
          <w:rFonts w:hint="eastAsia" w:ascii="仿宋_GB2312" w:hAnsi="仿宋_GB2312" w:eastAsia="仿宋_GB2312" w:cs="仿宋_GB2312"/>
          <w:color w:val="000000"/>
          <w:sz w:val="21"/>
          <w:szCs w:val="21"/>
        </w:rPr>
      </w:pPr>
      <w:bookmarkStart w:id="20" w:name="_Toc528741795"/>
      <w:r>
        <w:rPr>
          <w:rFonts w:hint="eastAsia" w:ascii="仿宋_GB2312" w:hAnsi="仿宋_GB2312" w:eastAsia="仿宋_GB2312" w:cs="仿宋_GB2312"/>
          <w:color w:val="000000"/>
          <w:sz w:val="21"/>
          <w:szCs w:val="21"/>
        </w:rPr>
        <w:t>防静电设计要求</w:t>
      </w:r>
      <w:bookmarkEnd w:id="20"/>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洁净室防静电与接地设计应满足GB50472第13章的基本规范及以下要求：</w:t>
      </w:r>
    </w:p>
    <w:p>
      <w:pPr>
        <w:numPr>
          <w:ilvl w:val="0"/>
          <w:numId w:val="28"/>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洁净室铺设的地板应采用具有静电耗散特性，验收要求符合ESD控制规范。</w:t>
      </w:r>
    </w:p>
    <w:p>
      <w:pPr>
        <w:numPr>
          <w:ilvl w:val="0"/>
          <w:numId w:val="28"/>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洁净室内应预留防静电接地总箱与电气接地总箱，便于车间进行相应接地。</w:t>
      </w:r>
    </w:p>
    <w:p>
      <w:pPr>
        <w:numPr>
          <w:ilvl w:val="0"/>
          <w:numId w:val="28"/>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洁净室调节温湿度设施的能力应与产品工艺要求、物料存放周转和ESD要求相匹配。</w:t>
      </w:r>
    </w:p>
    <w:p>
      <w:pPr>
        <w:numPr>
          <w:ilvl w:val="0"/>
          <w:numId w:val="28"/>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不同的场所，接地要求不同，厂房生产区域应设计防静电接地系统，2层及以上宜每个柱子提供防静电地接线盒，首层宜局部区域提供防静电地接线盒（如IQC），局部采用等电位方式。</w:t>
      </w:r>
    </w:p>
    <w:p>
      <w:pPr>
        <w:numPr>
          <w:ilvl w:val="0"/>
          <w:numId w:val="28"/>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防静电接地引下线宜采用独立的引下线，需与防雷引下线分开设置。</w:t>
      </w:r>
    </w:p>
    <w:p>
      <w:pPr>
        <w:numPr>
          <w:ilvl w:val="0"/>
          <w:numId w:val="28"/>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铺设防静电接地系统，防静电地极的接地电阻满足小于4欧姆，接地电阻（Ω）1×104≤Rg＜3.5×107。防静电地体埋设的原则是埋设地点的土壤电阻系数愈小愈好；接地体与土壤的接触面积要大；接触密度要高，接触要紧。接地体最深处离地面至少1.5m。</w:t>
      </w:r>
    </w:p>
    <w:p>
      <w:pPr>
        <w:numPr>
          <w:ilvl w:val="0"/>
          <w:numId w:val="28"/>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防静电接体与接地母排接头必须焊接牢固，要有足够的机械强度，母排应长度适中，方便接线。接地体和母排均要采用耐腐蚀的金属。</w:t>
      </w:r>
    </w:p>
    <w:p>
      <w:pPr>
        <w:numPr>
          <w:ilvl w:val="0"/>
          <w:numId w:val="28"/>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防静电地线要与设备保护地线分开埋设，距离至少20m。</w:t>
      </w:r>
    </w:p>
    <w:p>
      <w:pPr>
        <w:numPr>
          <w:ilvl w:val="0"/>
          <w:numId w:val="28"/>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从专门埋设的防静电接体引出接地母排（规格；5mm厚、约50mm宽的紫铜皮或镀锌扁钢），从接地母排到厂房总接线盒线截面积不小于90mm2，从总接线盒到厂房立柱分线盒线截面积不小于35mm2，分线盒到线槽内线截面积不小于6mm2。</w:t>
      </w:r>
    </w:p>
    <w:p>
      <w:pPr>
        <w:numPr>
          <w:ilvl w:val="0"/>
          <w:numId w:val="29"/>
        </w:numPr>
        <w:spacing w:line="360" w:lineRule="auto"/>
        <w:ind w:left="420" w:leftChars="0" w:hanging="420" w:firstLineChars="0"/>
        <w:rPr>
          <w:rFonts w:hint="eastAsia" w:ascii="仿宋_GB2312" w:hAnsi="仿宋_GB2312" w:eastAsia="仿宋_GB2312" w:cs="仿宋_GB2312"/>
          <w:color w:val="000000"/>
          <w:sz w:val="21"/>
          <w:szCs w:val="21"/>
        </w:rPr>
      </w:pPr>
      <w:bookmarkStart w:id="21" w:name="_Toc528741796"/>
      <w:r>
        <w:rPr>
          <w:rFonts w:hint="eastAsia" w:ascii="仿宋_GB2312" w:hAnsi="仿宋_GB2312" w:eastAsia="仿宋_GB2312" w:cs="仿宋_GB2312"/>
          <w:color w:val="000000"/>
          <w:sz w:val="21"/>
          <w:szCs w:val="21"/>
        </w:rPr>
        <w:t>防火、消防及排烟要求</w:t>
      </w:r>
      <w:bookmarkEnd w:id="21"/>
    </w:p>
    <w:p>
      <w:pPr>
        <w:numPr>
          <w:ilvl w:val="0"/>
          <w:numId w:val="30"/>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洁净室的设计及建造应考虑消防有关要求，消防安全系统设计应满足GB50016、GB50073标准及相关法律法规的要求。</w:t>
      </w:r>
    </w:p>
    <w:p>
      <w:pPr>
        <w:numPr>
          <w:ilvl w:val="0"/>
          <w:numId w:val="31"/>
        </w:numPr>
        <w:spacing w:line="360" w:lineRule="auto"/>
        <w:ind w:left="420" w:leftChars="0" w:hanging="420" w:firstLineChars="0"/>
        <w:rPr>
          <w:rFonts w:hint="eastAsia" w:ascii="仿宋_GB2312" w:hAnsi="仿宋_GB2312" w:eastAsia="仿宋_GB2312" w:cs="仿宋_GB2312"/>
          <w:color w:val="000000"/>
          <w:sz w:val="21"/>
          <w:szCs w:val="21"/>
        </w:rPr>
      </w:pPr>
      <w:bookmarkStart w:id="22" w:name="_Toc528741797"/>
      <w:r>
        <w:rPr>
          <w:rFonts w:hint="eastAsia" w:ascii="仿宋_GB2312" w:hAnsi="仿宋_GB2312" w:eastAsia="仿宋_GB2312" w:cs="仿宋_GB2312"/>
          <w:color w:val="000000"/>
          <w:sz w:val="21"/>
          <w:szCs w:val="21"/>
        </w:rPr>
        <w:t>洁净室自动监控系统设计要求</w:t>
      </w:r>
      <w:bookmarkEnd w:id="22"/>
    </w:p>
    <w:p>
      <w:pPr>
        <w:numPr>
          <w:ilvl w:val="0"/>
          <w:numId w:val="32"/>
        </w:numPr>
        <w:spacing w:line="360" w:lineRule="auto"/>
        <w:ind w:left="420" w:leftChars="0" w:hanging="420"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洁净室设计时应建立自动监控系统对影响洁净室洁净度及洁净室运行的关键参数进行实时监控，需纳入自动监控系统的监控项目及功能应包括但不限于以下条目：</w:t>
      </w:r>
    </w:p>
    <w:p>
      <w:pPr>
        <w:numPr>
          <w:ilvl w:val="0"/>
          <w:numId w:val="33"/>
        </w:numPr>
        <w:spacing w:line="360" w:lineRule="auto"/>
        <w:ind w:left="0" w:leftChars="0" w:firstLine="420" w:firstLineChars="20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空调系统过滤器阻力压差。</w:t>
      </w:r>
    </w:p>
    <w:p>
      <w:pPr>
        <w:numPr>
          <w:ilvl w:val="0"/>
          <w:numId w:val="33"/>
        </w:numPr>
        <w:spacing w:line="360" w:lineRule="auto"/>
        <w:ind w:left="0" w:leftChars="0" w:firstLine="420" w:firstLineChars="20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空调送风温度、湿度。</w:t>
      </w:r>
    </w:p>
    <w:p>
      <w:pPr>
        <w:numPr>
          <w:ilvl w:val="0"/>
          <w:numId w:val="33"/>
        </w:numPr>
        <w:spacing w:line="360" w:lineRule="auto"/>
        <w:ind w:left="0" w:leftChars="0" w:firstLine="420" w:firstLineChars="20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空调机制冷冻水进水温度及出水温度。</w:t>
      </w:r>
    </w:p>
    <w:p>
      <w:pPr>
        <w:numPr>
          <w:ilvl w:val="0"/>
          <w:numId w:val="33"/>
        </w:numPr>
        <w:spacing w:line="360" w:lineRule="auto"/>
        <w:ind w:left="0" w:leftChars="0" w:firstLine="420" w:firstLineChars="20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洁净室各房间之间及洁净室对外压差。</w:t>
      </w:r>
    </w:p>
    <w:p>
      <w:pPr>
        <w:numPr>
          <w:ilvl w:val="0"/>
          <w:numId w:val="33"/>
        </w:numPr>
        <w:spacing w:line="360" w:lineRule="auto"/>
        <w:ind w:left="0" w:leftChars="0" w:firstLine="420" w:firstLineChars="20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洁净室内温度、湿度。</w:t>
      </w:r>
    </w:p>
    <w:p>
      <w:pPr>
        <w:numPr>
          <w:ilvl w:val="0"/>
          <w:numId w:val="33"/>
        </w:numPr>
        <w:spacing w:line="360" w:lineRule="auto"/>
        <w:ind w:left="0" w:leftChars="0" w:firstLine="420" w:firstLineChars="20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洁净室末端FFU运行状况。</w:t>
      </w:r>
    </w:p>
    <w:p>
      <w:pPr>
        <w:numPr>
          <w:ilvl w:val="0"/>
          <w:numId w:val="33"/>
        </w:numPr>
        <w:spacing w:line="360" w:lineRule="auto"/>
        <w:ind w:left="0" w:leftChars="0" w:firstLine="420" w:firstLineChars="200"/>
        <w:rPr>
          <w:rFonts w:asciiTheme="minorEastAsia" w:hAnsiTheme="minorEastAsia" w:eastAsiaTheme="minorEastAsia"/>
          <w:sz w:val="21"/>
          <w:szCs w:val="21"/>
        </w:rPr>
      </w:pPr>
      <w:r>
        <w:rPr>
          <w:rFonts w:hint="eastAsia" w:ascii="仿宋_GB2312" w:hAnsi="仿宋_GB2312" w:eastAsia="仿宋_GB2312" w:cs="仿宋_GB2312"/>
          <w:color w:val="000000"/>
          <w:sz w:val="21"/>
          <w:szCs w:val="21"/>
        </w:rPr>
        <w:t>鲜风机/鲜风阀/送风阀/排风机（阀）的调节系统应与洁净室压差状况联动。</w:t>
      </w:r>
    </w:p>
    <w:p>
      <w:pPr>
        <w:numPr>
          <w:ilvl w:val="0"/>
          <w:numId w:val="34"/>
        </w:numPr>
        <w:spacing w:line="360" w:lineRule="auto"/>
        <w:ind w:left="420" w:leftChars="0" w:hanging="420" w:firstLineChars="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彩钢板技术要求</w:t>
      </w:r>
    </w:p>
    <w:tbl>
      <w:tblPr>
        <w:tblStyle w:val="10"/>
        <w:tblW w:w="910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7429"/>
        <w:gridCol w:w="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774" w:type="dxa"/>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需求编号</w:t>
            </w:r>
          </w:p>
        </w:tc>
        <w:tc>
          <w:tcPr>
            <w:tcW w:w="7429" w:type="dxa"/>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要求</w:t>
            </w:r>
          </w:p>
        </w:tc>
        <w:tc>
          <w:tcPr>
            <w:tcW w:w="901" w:type="dxa"/>
            <w:vAlign w:val="center"/>
          </w:tcPr>
          <w:p>
            <w:pPr>
              <w:jc w:val="center"/>
              <w:rPr>
                <w:rFonts w:hint="eastAsia" w:ascii="仿宋_GB2312" w:hAnsi="仿宋_GB2312" w:eastAsia="仿宋_GB2312" w:cs="仿宋_GB2312"/>
              </w:rPr>
            </w:pPr>
            <w:r>
              <w:rPr>
                <w:rFonts w:hint="eastAsia" w:ascii="仿宋_GB2312" w:hAnsi="仿宋_GB2312" w:eastAsia="仿宋_GB2312" w:cs="仿宋_GB2312"/>
              </w:rPr>
              <w:t>响应</w:t>
            </w:r>
          </w:p>
          <w:p>
            <w:pPr>
              <w:jc w:val="center"/>
              <w:rPr>
                <w:rFonts w:hint="eastAsia" w:ascii="仿宋_GB2312" w:hAnsi="仿宋_GB2312" w:eastAsia="仿宋_GB2312" w:cs="仿宋_GB2312"/>
                <w:szCs w:val="21"/>
              </w:rPr>
            </w:pPr>
            <w:r>
              <w:rPr>
                <w:rFonts w:hint="eastAsia" w:ascii="仿宋_GB2312" w:hAnsi="仿宋_GB2312" w:eastAsia="仿宋_GB2312" w:cs="仿宋_GB2312"/>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9104" w:type="dxa"/>
            <w:gridSpan w:val="3"/>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01</w:t>
            </w:r>
          </w:p>
        </w:tc>
        <w:tc>
          <w:tcPr>
            <w:tcW w:w="7429" w:type="dxa"/>
            <w:vAlign w:val="center"/>
          </w:tcPr>
          <w:p>
            <w:pPr>
              <w:numPr>
                <w:ilvl w:val="0"/>
                <w:numId w:val="0"/>
              </w:numPr>
              <w:snapToGrid w:val="0"/>
              <w:ind w:leftChars="0" w:right="-204" w:rightChars="0"/>
              <w:jc w:val="left"/>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材料的燃烧性能应符合现行国家标准《建筑内部装修设计防火规范》GB50222。</w:t>
            </w:r>
          </w:p>
          <w:p>
            <w:pPr>
              <w:numPr>
                <w:ilvl w:val="0"/>
                <w:numId w:val="0"/>
              </w:numPr>
              <w:snapToGrid w:val="0"/>
              <w:ind w:leftChars="0" w:right="-204" w:rightChars="0"/>
              <w:jc w:val="left"/>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提供彩钢板的配置、防火报告以及其他可以提供的文件。</w:t>
            </w:r>
          </w:p>
        </w:tc>
        <w:tc>
          <w:tcPr>
            <w:tcW w:w="901"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02</w:t>
            </w:r>
          </w:p>
        </w:tc>
        <w:tc>
          <w:tcPr>
            <w:tcW w:w="7429" w:type="dxa"/>
            <w:vAlign w:val="center"/>
          </w:tcPr>
          <w:p>
            <w:pPr>
              <w:numPr>
                <w:ilvl w:val="0"/>
                <w:numId w:val="0"/>
              </w:numPr>
              <w:ind w:leftChars="0"/>
              <w:jc w:val="left"/>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有严格的生产质量控制流程，并能随机组提供相关文件。</w:t>
            </w:r>
          </w:p>
        </w:tc>
        <w:tc>
          <w:tcPr>
            <w:tcW w:w="901"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03</w:t>
            </w:r>
          </w:p>
        </w:tc>
        <w:tc>
          <w:tcPr>
            <w:tcW w:w="7429" w:type="dxa"/>
            <w:vAlign w:val="center"/>
          </w:tcPr>
          <w:p>
            <w:pPr>
              <w:numPr>
                <w:ilvl w:val="0"/>
                <w:numId w:val="0"/>
              </w:numPr>
              <w:ind w:leftChars="0"/>
              <w:jc w:val="left"/>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彩钢板应具有外观美观、耐气候变化、抗腐防锈功能强、强度好、隔声隔振性能好、无毒、无异味等特点，其材料外露部分具不燃或难燃特性。表面应平整光滑、无裂缝、接口严密、无颗粒物脱落、耐清洗和耐消毒。</w:t>
            </w:r>
          </w:p>
        </w:tc>
        <w:tc>
          <w:tcPr>
            <w:tcW w:w="901"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04</w:t>
            </w:r>
          </w:p>
        </w:tc>
        <w:tc>
          <w:tcPr>
            <w:tcW w:w="7429" w:type="dxa"/>
            <w:vAlign w:val="center"/>
          </w:tcPr>
          <w:p>
            <w:pPr>
              <w:numPr>
                <w:ilvl w:val="0"/>
                <w:numId w:val="0"/>
              </w:numPr>
              <w:ind w:leftChars="0"/>
              <w:jc w:val="left"/>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各表面材料的光反射系数，顶棚和墙面宜为0.6~0.8。</w:t>
            </w:r>
          </w:p>
        </w:tc>
        <w:tc>
          <w:tcPr>
            <w:tcW w:w="901"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05</w:t>
            </w:r>
          </w:p>
        </w:tc>
        <w:tc>
          <w:tcPr>
            <w:tcW w:w="7429" w:type="dxa"/>
            <w:vAlign w:val="center"/>
          </w:tcPr>
          <w:p>
            <w:pPr>
              <w:numPr>
                <w:ilvl w:val="0"/>
                <w:numId w:val="0"/>
              </w:numPr>
              <w:ind w:leftChars="0"/>
              <w:jc w:val="left"/>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彩钢板至少要有10年的使用寿命。</w:t>
            </w:r>
          </w:p>
        </w:tc>
        <w:tc>
          <w:tcPr>
            <w:tcW w:w="901"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06</w:t>
            </w:r>
          </w:p>
        </w:tc>
        <w:tc>
          <w:tcPr>
            <w:tcW w:w="7429" w:type="dxa"/>
            <w:vAlign w:val="center"/>
          </w:tcPr>
          <w:p>
            <w:pPr>
              <w:numPr>
                <w:ilvl w:val="0"/>
                <w:numId w:val="0"/>
              </w:numPr>
              <w:ind w:leftChars="0"/>
              <w:jc w:val="left"/>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彩钢板在运输和安装后不应出现永久凹凸变形。</w:t>
            </w:r>
          </w:p>
        </w:tc>
        <w:tc>
          <w:tcPr>
            <w:tcW w:w="901"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07</w:t>
            </w:r>
          </w:p>
        </w:tc>
        <w:tc>
          <w:tcPr>
            <w:tcW w:w="7429" w:type="dxa"/>
            <w:vAlign w:val="center"/>
          </w:tcPr>
          <w:p>
            <w:pPr>
              <w:numPr>
                <w:ilvl w:val="0"/>
                <w:numId w:val="0"/>
              </w:numPr>
              <w:ind w:leftChars="0"/>
              <w:jc w:val="left"/>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要求先安装顶板，再安装墙板。</w:t>
            </w:r>
          </w:p>
        </w:tc>
        <w:tc>
          <w:tcPr>
            <w:tcW w:w="901"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9104" w:type="dxa"/>
            <w:gridSpan w:val="3"/>
            <w:vAlign w:val="center"/>
          </w:tcPr>
          <w:p>
            <w:pPr>
              <w:jc w:val="left"/>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彩钢板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9104" w:type="dxa"/>
            <w:gridSpan w:val="3"/>
            <w:vAlign w:val="center"/>
          </w:tcPr>
          <w:p>
            <w:pPr>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玻镁彩钢板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08</w:t>
            </w:r>
          </w:p>
        </w:tc>
        <w:tc>
          <w:tcPr>
            <w:tcW w:w="7429" w:type="dxa"/>
            <w:vAlign w:val="center"/>
          </w:tcPr>
          <w:p>
            <w:pP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吊顶按可上人顶棚设计要求最大跨度洁净间的吊顶承载能力（不包括吊顶的自重）大于150kg/m2，变形绕度小于3.5mm，可承受向上、向外大于200Pa的风压（提供权威机构检测的检测报告），耐火极限≥1小时（有消防检测报告）。</w:t>
            </w:r>
          </w:p>
        </w:tc>
        <w:tc>
          <w:tcPr>
            <w:tcW w:w="901"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09</w:t>
            </w:r>
          </w:p>
        </w:tc>
        <w:tc>
          <w:tcPr>
            <w:tcW w:w="7429" w:type="dxa"/>
            <w:vAlign w:val="center"/>
          </w:tcPr>
          <w:p>
            <w:pP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面板：双面宝钢彩钢板，彩钢板的镀锌层应在120号以上，双面三点试验平均值不应小于120g/m2。表面烤漆(PE涂层 20μm)、白色，钢板厚度为0.5mm，钢板表面覆0.06mm塑料保护膜。</w:t>
            </w:r>
          </w:p>
        </w:tc>
        <w:tc>
          <w:tcPr>
            <w:tcW w:w="901"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10</w:t>
            </w:r>
          </w:p>
        </w:tc>
        <w:tc>
          <w:tcPr>
            <w:tcW w:w="7429" w:type="dxa"/>
            <w:vAlign w:val="center"/>
          </w:tcPr>
          <w:p>
            <w:pPr>
              <w:jc w:val="left"/>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玻镁板：玻镁厚度≥5mm。抗反卤性、无水珠、无反潮。</w:t>
            </w:r>
          </w:p>
        </w:tc>
        <w:tc>
          <w:tcPr>
            <w:tcW w:w="901"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11</w:t>
            </w:r>
          </w:p>
        </w:tc>
        <w:tc>
          <w:tcPr>
            <w:tcW w:w="7429" w:type="dxa"/>
            <w:vAlign w:val="center"/>
          </w:tcPr>
          <w:p>
            <w:pPr>
              <w:jc w:val="left"/>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胶水：采用道康宁798手工板专用胶。</w:t>
            </w:r>
          </w:p>
        </w:tc>
        <w:tc>
          <w:tcPr>
            <w:tcW w:w="901"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12</w:t>
            </w:r>
          </w:p>
        </w:tc>
        <w:tc>
          <w:tcPr>
            <w:tcW w:w="7429" w:type="dxa"/>
            <w:vAlign w:val="center"/>
          </w:tcPr>
          <w:p>
            <w:pPr>
              <w:jc w:val="left"/>
              <w:rPr>
                <w:rFonts w:hint="eastAsia" w:ascii="仿宋_GB2312" w:hAnsi="仿宋_GB2312" w:eastAsia="仿宋_GB2312" w:cs="仿宋_GB2312"/>
                <w:color w:val="auto"/>
                <w:szCs w:val="21"/>
                <w:highlight w:val="yellow"/>
              </w:rPr>
            </w:pPr>
            <w:r>
              <w:rPr>
                <w:rFonts w:hint="eastAsia" w:ascii="仿宋_GB2312" w:hAnsi="仿宋_GB2312" w:eastAsia="仿宋_GB2312" w:cs="仿宋_GB2312"/>
                <w:color w:val="auto"/>
                <w:szCs w:val="21"/>
              </w:rPr>
              <w:t xml:space="preserve">龙骨：0.8mm厚弓形龙骨，全金属连接件。 </w:t>
            </w:r>
          </w:p>
        </w:tc>
        <w:tc>
          <w:tcPr>
            <w:tcW w:w="901"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9104" w:type="dxa"/>
            <w:gridSpan w:val="3"/>
            <w:vAlign w:val="center"/>
          </w:tcPr>
          <w:p>
            <w:pPr>
              <w:numPr>
                <w:ilvl w:val="0"/>
                <w:numId w:val="34"/>
              </w:numPr>
              <w:ind w:left="420" w:leftChars="0" w:hanging="420" w:firstLineChars="0"/>
              <w:jc w:val="left"/>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净化铝材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13</w:t>
            </w:r>
          </w:p>
        </w:tc>
        <w:tc>
          <w:tcPr>
            <w:tcW w:w="7429" w:type="dxa"/>
            <w:vAlign w:val="center"/>
          </w:tcPr>
          <w:p>
            <w:pP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暗吊梁：50mm型，线密度大于1</w:t>
            </w:r>
          </w:p>
        </w:tc>
        <w:tc>
          <w:tcPr>
            <w:tcW w:w="901"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14</w:t>
            </w:r>
          </w:p>
        </w:tc>
        <w:tc>
          <w:tcPr>
            <w:tcW w:w="7429" w:type="dxa"/>
            <w:vAlign w:val="center"/>
          </w:tcPr>
          <w:p>
            <w:pP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烤漆角铝：30mm型，1.2mm</w:t>
            </w:r>
          </w:p>
        </w:tc>
        <w:tc>
          <w:tcPr>
            <w:tcW w:w="901"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15</w:t>
            </w:r>
          </w:p>
        </w:tc>
        <w:tc>
          <w:tcPr>
            <w:tcW w:w="7429"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内圆弧：50mm型，1.0mm</w:t>
            </w:r>
          </w:p>
        </w:tc>
        <w:tc>
          <w:tcPr>
            <w:tcW w:w="901"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16</w:t>
            </w:r>
          </w:p>
        </w:tc>
        <w:tc>
          <w:tcPr>
            <w:tcW w:w="7429"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槽铝（用于墙体收边）：50mm型，边宽25mm，厚度1.0mm；</w:t>
            </w:r>
          </w:p>
          <w:p>
            <w:pPr>
              <w:jc w:val="left"/>
              <w:rPr>
                <w:rFonts w:hint="eastAsia" w:ascii="仿宋_GB2312" w:hAnsi="仿宋_GB2312" w:eastAsia="仿宋_GB2312" w:cs="仿宋_GB2312"/>
                <w:b/>
                <w:szCs w:val="21"/>
              </w:rPr>
            </w:pPr>
            <w:r>
              <w:rPr>
                <w:rFonts w:hint="eastAsia" w:ascii="仿宋_GB2312" w:hAnsi="仿宋_GB2312" w:eastAsia="仿宋_GB2312" w:cs="仿宋_GB2312"/>
                <w:szCs w:val="21"/>
              </w:rPr>
              <w:t>槽铝（用于洞口收边）：50mm型，边宽15mm，厚度1.0mm</w:t>
            </w:r>
          </w:p>
        </w:tc>
        <w:tc>
          <w:tcPr>
            <w:tcW w:w="901"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17</w:t>
            </w:r>
          </w:p>
        </w:tc>
        <w:tc>
          <w:tcPr>
            <w:tcW w:w="7429"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调平底座含地槽底座：50mm型，厚度1.0mm，高度100mm。</w:t>
            </w:r>
          </w:p>
        </w:tc>
        <w:tc>
          <w:tcPr>
            <w:tcW w:w="901"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9104" w:type="dxa"/>
            <w:gridSpan w:val="3"/>
            <w:vAlign w:val="center"/>
          </w:tcPr>
          <w:p>
            <w:pPr>
              <w:numPr>
                <w:ilvl w:val="0"/>
                <w:numId w:val="34"/>
              </w:numPr>
              <w:ind w:left="420" w:leftChars="0" w:hanging="420" w:firstLineChars="0"/>
              <w:jc w:val="left"/>
              <w:rPr>
                <w:rFonts w:hint="eastAsia" w:ascii="仿宋_GB2312" w:hAnsi="仿宋_GB2312" w:eastAsia="仿宋_GB2312" w:cs="仿宋_GB2312"/>
                <w:szCs w:val="21"/>
              </w:rPr>
            </w:pPr>
            <w:r>
              <w:rPr>
                <w:rFonts w:hint="eastAsia" w:ascii="仿宋_GB2312" w:hAnsi="仿宋_GB2312" w:eastAsia="仿宋_GB2312" w:cs="仿宋_GB2312"/>
                <w:szCs w:val="21"/>
              </w:rPr>
              <w:t>门窗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104" w:type="dxa"/>
            <w:gridSpan w:val="3"/>
            <w:vAlign w:val="center"/>
          </w:tcPr>
          <w:p>
            <w:pPr>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参观</w:t>
            </w:r>
            <w:r>
              <w:rPr>
                <w:rFonts w:hint="eastAsia" w:ascii="仿宋_GB2312" w:hAnsi="仿宋_GB2312" w:eastAsia="仿宋_GB2312" w:cs="仿宋_GB2312"/>
                <w:color w:val="auto"/>
                <w:szCs w:val="21"/>
              </w:rPr>
              <w:t>窗要求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color w:val="auto"/>
                <w:szCs w:val="21"/>
              </w:rPr>
            </w:pPr>
            <w:r>
              <w:rPr>
                <w:rFonts w:hint="eastAsia" w:ascii="仿宋_GB2312" w:hAnsi="仿宋_GB2312" w:eastAsia="仿宋_GB2312" w:cs="仿宋_GB2312"/>
                <w:color w:val="auto"/>
                <w:kern w:val="2"/>
                <w:sz w:val="21"/>
                <w:szCs w:val="21"/>
                <w:lang w:val="en-US" w:eastAsia="zh-CN" w:bidi="ar-SA"/>
              </w:rPr>
              <w:t>18</w:t>
            </w:r>
          </w:p>
        </w:tc>
        <w:tc>
          <w:tcPr>
            <w:tcW w:w="7429" w:type="dxa"/>
            <w:vAlign w:val="center"/>
          </w:tcPr>
          <w:p>
            <w:pP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双层中空玻璃方形直角黑边视窗，</w:t>
            </w:r>
            <w:r>
              <w:rPr>
                <w:rFonts w:hint="eastAsia" w:ascii="仿宋_GB2312" w:hAnsi="仿宋_GB2312" w:eastAsia="仿宋_GB2312" w:cs="仿宋_GB2312"/>
                <w:color w:val="auto"/>
                <w:szCs w:val="21"/>
                <w:lang w:val="de-DE"/>
              </w:rPr>
              <w:t>玻璃固定形式型材为易清洁不积灰安全牢固形式</w:t>
            </w:r>
            <w:r>
              <w:rPr>
                <w:rFonts w:hint="eastAsia" w:ascii="仿宋_GB2312" w:hAnsi="仿宋_GB2312" w:eastAsia="仿宋_GB2312" w:cs="仿宋_GB2312"/>
                <w:color w:val="auto"/>
                <w:szCs w:val="21"/>
              </w:rPr>
              <w:t>与彩钢板厚度一致。</w:t>
            </w:r>
          </w:p>
        </w:tc>
        <w:tc>
          <w:tcPr>
            <w:tcW w:w="901" w:type="dxa"/>
            <w:vAlign w:val="center"/>
          </w:tcPr>
          <w:p>
            <w:pPr>
              <w:jc w:val="left"/>
              <w:rPr>
                <w:rFonts w:hint="eastAsia" w:ascii="仿宋_GB2312" w:hAnsi="仿宋_GB2312" w:eastAsia="仿宋_GB2312" w:cs="仿宋_GB2312"/>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color w:val="auto"/>
                <w:szCs w:val="21"/>
              </w:rPr>
            </w:pPr>
            <w:r>
              <w:rPr>
                <w:rFonts w:hint="eastAsia" w:ascii="仿宋_GB2312" w:hAnsi="仿宋_GB2312" w:eastAsia="仿宋_GB2312" w:cs="仿宋_GB2312"/>
                <w:color w:val="auto"/>
                <w:kern w:val="2"/>
                <w:sz w:val="21"/>
                <w:szCs w:val="21"/>
                <w:lang w:val="en-US" w:eastAsia="zh-CN" w:bidi="ar-SA"/>
              </w:rPr>
              <w:t>19</w:t>
            </w:r>
          </w:p>
        </w:tc>
        <w:tc>
          <w:tcPr>
            <w:tcW w:w="7429" w:type="dxa"/>
            <w:vAlign w:val="center"/>
          </w:tcPr>
          <w:p>
            <w:pP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所有视窗玻璃厚为5mm钢化玻璃，特别说明除外。</w:t>
            </w:r>
          </w:p>
        </w:tc>
        <w:tc>
          <w:tcPr>
            <w:tcW w:w="901" w:type="dxa"/>
            <w:vAlign w:val="center"/>
          </w:tcPr>
          <w:p>
            <w:pPr>
              <w:jc w:val="left"/>
              <w:rPr>
                <w:rFonts w:hint="eastAsia" w:ascii="仿宋_GB2312" w:hAnsi="仿宋_GB2312" w:eastAsia="仿宋_GB2312" w:cs="仿宋_GB2312"/>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color w:val="auto"/>
                <w:szCs w:val="21"/>
              </w:rPr>
            </w:pPr>
            <w:r>
              <w:rPr>
                <w:rFonts w:hint="eastAsia" w:ascii="仿宋_GB2312" w:hAnsi="仿宋_GB2312" w:eastAsia="仿宋_GB2312" w:cs="仿宋_GB2312"/>
                <w:color w:val="auto"/>
                <w:kern w:val="2"/>
                <w:sz w:val="21"/>
                <w:szCs w:val="21"/>
                <w:lang w:val="en-US" w:eastAsia="zh-CN" w:bidi="ar-SA"/>
              </w:rPr>
              <w:t>20</w:t>
            </w:r>
          </w:p>
        </w:tc>
        <w:tc>
          <w:tcPr>
            <w:tcW w:w="7429" w:type="dxa"/>
            <w:vAlign w:val="center"/>
          </w:tcPr>
          <w:p>
            <w:pP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窗框为铝合金材质，框内冲氩气，内置吸湿剂，保证密封性，可防止玻璃内部结露。</w:t>
            </w:r>
          </w:p>
        </w:tc>
        <w:tc>
          <w:tcPr>
            <w:tcW w:w="901" w:type="dxa"/>
            <w:vAlign w:val="center"/>
          </w:tcPr>
          <w:p>
            <w:pPr>
              <w:jc w:val="left"/>
              <w:rPr>
                <w:rFonts w:hint="eastAsia" w:ascii="仿宋_GB2312" w:hAnsi="仿宋_GB2312" w:eastAsia="仿宋_GB2312" w:cs="仿宋_GB2312"/>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color w:val="auto"/>
                <w:szCs w:val="21"/>
              </w:rPr>
            </w:pPr>
            <w:r>
              <w:rPr>
                <w:rFonts w:hint="eastAsia" w:ascii="仿宋_GB2312" w:hAnsi="仿宋_GB2312" w:eastAsia="仿宋_GB2312" w:cs="仿宋_GB2312"/>
                <w:color w:val="auto"/>
                <w:kern w:val="2"/>
                <w:sz w:val="21"/>
                <w:szCs w:val="21"/>
                <w:lang w:val="en-US" w:eastAsia="zh-CN" w:bidi="ar-SA"/>
              </w:rPr>
              <w:t>21</w:t>
            </w:r>
          </w:p>
        </w:tc>
        <w:tc>
          <w:tcPr>
            <w:tcW w:w="7429" w:type="dxa"/>
            <w:vAlign w:val="center"/>
          </w:tcPr>
          <w:p>
            <w:pP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窗框边缝进行中性硅胶密封处理，密封无泄露。</w:t>
            </w:r>
          </w:p>
        </w:tc>
        <w:tc>
          <w:tcPr>
            <w:tcW w:w="901" w:type="dxa"/>
            <w:vAlign w:val="center"/>
          </w:tcPr>
          <w:p>
            <w:pPr>
              <w:jc w:val="left"/>
              <w:rPr>
                <w:rFonts w:hint="eastAsia" w:ascii="仿宋_GB2312" w:hAnsi="仿宋_GB2312" w:eastAsia="仿宋_GB2312" w:cs="仿宋_GB2312"/>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color w:val="auto"/>
                <w:szCs w:val="21"/>
              </w:rPr>
            </w:pPr>
            <w:r>
              <w:rPr>
                <w:rFonts w:hint="eastAsia" w:ascii="仿宋_GB2312" w:hAnsi="仿宋_GB2312" w:eastAsia="仿宋_GB2312" w:cs="仿宋_GB2312"/>
                <w:color w:val="auto"/>
                <w:kern w:val="2"/>
                <w:sz w:val="21"/>
                <w:szCs w:val="21"/>
                <w:lang w:val="en-US" w:eastAsia="zh-CN" w:bidi="ar-SA"/>
              </w:rPr>
              <w:t>22</w:t>
            </w:r>
          </w:p>
        </w:tc>
        <w:tc>
          <w:tcPr>
            <w:tcW w:w="7429" w:type="dxa"/>
            <w:vAlign w:val="center"/>
          </w:tcPr>
          <w:p>
            <w:pP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不得在现场加工，应为成型窗。</w:t>
            </w:r>
          </w:p>
        </w:tc>
        <w:tc>
          <w:tcPr>
            <w:tcW w:w="901" w:type="dxa"/>
            <w:vAlign w:val="center"/>
          </w:tcPr>
          <w:p>
            <w:pPr>
              <w:jc w:val="left"/>
              <w:rPr>
                <w:rFonts w:hint="eastAsia" w:ascii="仿宋_GB2312" w:hAnsi="仿宋_GB2312" w:eastAsia="仿宋_GB2312" w:cs="仿宋_GB2312"/>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9104" w:type="dxa"/>
            <w:gridSpan w:val="3"/>
            <w:vAlign w:val="center"/>
          </w:tcPr>
          <w:p>
            <w:pPr>
              <w:numPr>
                <w:ilvl w:val="0"/>
                <w:numId w:val="34"/>
              </w:numPr>
              <w:ind w:left="420" w:leftChars="0" w:hanging="420" w:firstLineChars="0"/>
              <w:jc w:val="left"/>
              <w:rPr>
                <w:rFonts w:hint="eastAsia" w:ascii="仿宋_GB2312" w:hAnsi="仿宋_GB2312" w:eastAsia="仿宋_GB2312" w:cs="仿宋_GB2312"/>
                <w:szCs w:val="21"/>
              </w:rPr>
            </w:pPr>
            <w:r>
              <w:rPr>
                <w:rFonts w:hint="eastAsia" w:ascii="仿宋_GB2312" w:hAnsi="仿宋_GB2312" w:eastAsia="仿宋_GB2312" w:cs="仿宋_GB2312"/>
                <w:szCs w:val="21"/>
              </w:rPr>
              <w:t>传递窗要求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kern w:val="2"/>
                <w:sz w:val="21"/>
                <w:szCs w:val="21"/>
                <w:lang w:val="en-US" w:eastAsia="zh-CN" w:bidi="ar-SA"/>
                <w14:textFill>
                  <w14:solidFill>
                    <w14:schemeClr w14:val="tx1"/>
                  </w14:solidFill>
                </w14:textFill>
              </w:rPr>
              <w:t>23</w:t>
            </w:r>
          </w:p>
        </w:tc>
        <w:tc>
          <w:tcPr>
            <w:tcW w:w="7429" w:type="dxa"/>
            <w:vAlign w:val="center"/>
          </w:tcPr>
          <w:p>
            <w:pPr>
              <w:rPr>
                <w:rFonts w:hint="eastAsia" w:ascii="仿宋_GB2312" w:hAnsi="仿宋_GB2312" w:eastAsia="仿宋_GB2312" w:cs="仿宋_GB2312"/>
                <w:color w:val="000000" w:themeColor="text1"/>
                <w:szCs w:val="21"/>
                <w:lang w:val="en-US" w:eastAsia="zh-CN"/>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 xml:space="preserve">传递窗需带电子互锁功能、紫外杀菌及自循环层流吹淋，密封性能满足要求，可设定风机循环时间。 </w:t>
            </w:r>
            <w:r>
              <w:rPr>
                <w:rFonts w:hint="eastAsia" w:ascii="仿宋_GB2312" w:hAnsi="仿宋_GB2312" w:eastAsia="仿宋_GB2312" w:cs="仿宋_GB2312"/>
                <w:color w:val="000000" w:themeColor="text1"/>
                <w:szCs w:val="21"/>
                <w:lang w:val="en-US" w:eastAsia="zh-CN"/>
                <w14:textFill>
                  <w14:solidFill>
                    <w14:schemeClr w14:val="tx1"/>
                  </w14:solidFill>
                </w14:textFill>
              </w:rPr>
              <w:t>配有可对讲电话；</w:t>
            </w:r>
          </w:p>
        </w:tc>
        <w:tc>
          <w:tcPr>
            <w:tcW w:w="901" w:type="dxa"/>
            <w:vAlign w:val="center"/>
          </w:tcPr>
          <w:p>
            <w:pPr>
              <w:jc w:val="left"/>
              <w:rPr>
                <w:rFonts w:hint="eastAsia"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kern w:val="2"/>
                <w:sz w:val="21"/>
                <w:szCs w:val="21"/>
                <w:lang w:val="en-US" w:eastAsia="zh-CN" w:bidi="ar-SA"/>
                <w14:textFill>
                  <w14:solidFill>
                    <w14:schemeClr w14:val="tx1"/>
                  </w14:solidFill>
                </w14:textFill>
              </w:rPr>
              <w:t>24</w:t>
            </w:r>
          </w:p>
        </w:tc>
        <w:tc>
          <w:tcPr>
            <w:tcW w:w="7429" w:type="dxa"/>
            <w:vAlign w:val="center"/>
          </w:tcPr>
          <w:p>
            <w:pPr>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传递窗的内尺寸为800*800*800mm、600*600*600mm</w:t>
            </w:r>
          </w:p>
        </w:tc>
        <w:tc>
          <w:tcPr>
            <w:tcW w:w="901" w:type="dxa"/>
            <w:vAlign w:val="center"/>
          </w:tcPr>
          <w:p>
            <w:pPr>
              <w:jc w:val="left"/>
              <w:rPr>
                <w:rFonts w:hint="eastAsia"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kern w:val="2"/>
                <w:sz w:val="21"/>
                <w:szCs w:val="21"/>
                <w:lang w:val="en-US" w:eastAsia="zh-CN" w:bidi="ar-SA"/>
                <w14:textFill>
                  <w14:solidFill>
                    <w14:schemeClr w14:val="tx1"/>
                  </w14:solidFill>
                </w14:textFill>
              </w:rPr>
              <w:t>25</w:t>
            </w:r>
          </w:p>
        </w:tc>
        <w:tc>
          <w:tcPr>
            <w:tcW w:w="7429" w:type="dxa"/>
            <w:vAlign w:val="center"/>
          </w:tcPr>
          <w:p>
            <w:pPr>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材料不易腐蚀生锈，不产生颗粒等杂物，配有H1</w:t>
            </w:r>
            <w:r>
              <w:rPr>
                <w:rFonts w:hint="eastAsia" w:ascii="仿宋_GB2312" w:hAnsi="仿宋_GB2312" w:eastAsia="仿宋_GB2312" w:cs="仿宋_GB2312"/>
                <w:color w:val="000000" w:themeColor="text1"/>
                <w:szCs w:val="21"/>
                <w:lang w:val="en-US" w:eastAsia="zh-CN"/>
                <w14:textFill>
                  <w14:solidFill>
                    <w14:schemeClr w14:val="tx1"/>
                  </w14:solidFill>
                </w14:textFill>
              </w:rPr>
              <w:t>3</w:t>
            </w:r>
            <w:r>
              <w:rPr>
                <w:rFonts w:hint="eastAsia" w:ascii="仿宋_GB2312" w:hAnsi="仿宋_GB2312" w:eastAsia="仿宋_GB2312" w:cs="仿宋_GB2312"/>
                <w:color w:val="000000" w:themeColor="text1"/>
                <w:szCs w:val="21"/>
                <w14:textFill>
                  <w14:solidFill>
                    <w14:schemeClr w14:val="tx1"/>
                  </w14:solidFill>
                </w14:textFill>
              </w:rPr>
              <w:t>以上的高效过滤器，整体洁净度需在D级以上。</w:t>
            </w:r>
          </w:p>
        </w:tc>
        <w:tc>
          <w:tcPr>
            <w:tcW w:w="901" w:type="dxa"/>
            <w:vAlign w:val="center"/>
          </w:tcPr>
          <w:p>
            <w:pPr>
              <w:jc w:val="left"/>
              <w:rPr>
                <w:rFonts w:hint="eastAsia"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9104" w:type="dxa"/>
            <w:gridSpan w:val="3"/>
            <w:vAlign w:val="center"/>
          </w:tcPr>
          <w:p>
            <w:pPr>
              <w:numPr>
                <w:ilvl w:val="0"/>
                <w:numId w:val="34"/>
              </w:numPr>
              <w:ind w:left="420" w:leftChars="0" w:hanging="420"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净化门要求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kern w:val="2"/>
                <w:sz w:val="21"/>
                <w:szCs w:val="21"/>
                <w:lang w:val="en-US" w:eastAsia="zh-CN" w:bidi="ar-SA"/>
                <w14:textFill>
                  <w14:solidFill>
                    <w14:schemeClr w14:val="tx1"/>
                  </w14:solidFill>
                </w14:textFill>
              </w:rPr>
              <w:t>26</w:t>
            </w:r>
          </w:p>
        </w:tc>
        <w:tc>
          <w:tcPr>
            <w:tcW w:w="7429" w:type="dxa"/>
            <w:vAlign w:val="center"/>
          </w:tcPr>
          <w:p>
            <w:pPr>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安装与壁板表面齐平的轻质钢制门，门板厚度δ=50mm。表面面层厚度1.0mm的优质钢板；烤漆处理颜色由建设方指定；或者选优于钢制烤漆门的材质工艺并在报价中备注</w:t>
            </w:r>
          </w:p>
        </w:tc>
        <w:tc>
          <w:tcPr>
            <w:tcW w:w="901" w:type="dxa"/>
            <w:vAlign w:val="center"/>
          </w:tcPr>
          <w:p>
            <w:pPr>
              <w:jc w:val="left"/>
              <w:rPr>
                <w:rFonts w:hint="eastAsia"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kern w:val="2"/>
                <w:sz w:val="21"/>
                <w:szCs w:val="21"/>
                <w:lang w:val="en-US" w:eastAsia="zh-CN" w:bidi="ar-SA"/>
                <w14:textFill>
                  <w14:solidFill>
                    <w14:schemeClr w14:val="tx1"/>
                  </w14:solidFill>
                </w14:textFill>
              </w:rPr>
              <w:t>27</w:t>
            </w:r>
          </w:p>
        </w:tc>
        <w:tc>
          <w:tcPr>
            <w:tcW w:w="7429" w:type="dxa"/>
            <w:vAlign w:val="center"/>
          </w:tcPr>
          <w:p>
            <w:pPr>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门板内应做加强处理，内部龙骨加强，合页三个；双面平整，完全密封。</w:t>
            </w:r>
          </w:p>
          <w:p>
            <w:pPr>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门上设观察窗，内充氮气防止产生水雾，窗面与门板面齐平，双层5mm钢化玻璃，玻璃内外完全密封处理，直角黑边处理。</w:t>
            </w:r>
          </w:p>
        </w:tc>
        <w:tc>
          <w:tcPr>
            <w:tcW w:w="901" w:type="dxa"/>
            <w:vAlign w:val="center"/>
          </w:tcPr>
          <w:p>
            <w:pPr>
              <w:jc w:val="left"/>
              <w:rPr>
                <w:rFonts w:hint="eastAsia"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kern w:val="2"/>
                <w:sz w:val="21"/>
                <w:szCs w:val="21"/>
                <w:lang w:val="en-US" w:eastAsia="zh-CN" w:bidi="ar-SA"/>
                <w14:textFill>
                  <w14:solidFill>
                    <w14:schemeClr w14:val="tx1"/>
                  </w14:solidFill>
                </w14:textFill>
              </w:rPr>
              <w:t>28</w:t>
            </w:r>
          </w:p>
        </w:tc>
        <w:tc>
          <w:tcPr>
            <w:tcW w:w="7429" w:type="dxa"/>
            <w:vAlign w:val="center"/>
          </w:tcPr>
          <w:p>
            <w:pPr>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采用不锈钢L型锁，门与锁有加固处理，门框上的锁舌孔与门框结合处应密封处理，除公用系统外围、车间外围、外包装间、包材间、暂存间、值班室等门锁外，其它均不采用配钥匙的门锁；</w:t>
            </w:r>
          </w:p>
          <w:p>
            <w:pPr>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钢质门框，喷塑，厚度≥1.2mm；</w:t>
            </w:r>
          </w:p>
        </w:tc>
        <w:tc>
          <w:tcPr>
            <w:tcW w:w="901" w:type="dxa"/>
            <w:vAlign w:val="center"/>
          </w:tcPr>
          <w:p>
            <w:pPr>
              <w:jc w:val="left"/>
              <w:rPr>
                <w:rFonts w:hint="eastAsia"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kern w:val="2"/>
                <w:sz w:val="21"/>
                <w:szCs w:val="21"/>
                <w:lang w:val="en-US" w:eastAsia="zh-CN" w:bidi="ar-SA"/>
                <w14:textFill>
                  <w14:solidFill>
                    <w14:schemeClr w14:val="tx1"/>
                  </w14:solidFill>
                </w14:textFill>
              </w:rPr>
              <w:t>29</w:t>
            </w:r>
          </w:p>
        </w:tc>
        <w:tc>
          <w:tcPr>
            <w:tcW w:w="7429" w:type="dxa"/>
            <w:vAlign w:val="center"/>
          </w:tcPr>
          <w:p>
            <w:pPr>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门下应有自动升降式密封硅胶条等可靠密封措施；依据设计图纸配备优质闭门器表面可清洗、可消毒。能耐受臭氧、酒精等消毒剂的消毒。</w:t>
            </w:r>
          </w:p>
        </w:tc>
        <w:tc>
          <w:tcPr>
            <w:tcW w:w="901" w:type="dxa"/>
            <w:vAlign w:val="center"/>
          </w:tcPr>
          <w:p>
            <w:pPr>
              <w:jc w:val="left"/>
              <w:rPr>
                <w:rFonts w:hint="eastAsia"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kern w:val="2"/>
                <w:sz w:val="21"/>
                <w:szCs w:val="21"/>
                <w:lang w:val="en-US" w:eastAsia="zh-CN" w:bidi="ar-SA"/>
                <w14:textFill>
                  <w14:solidFill>
                    <w14:schemeClr w14:val="tx1"/>
                  </w14:solidFill>
                </w14:textFill>
              </w:rPr>
              <w:t>30</w:t>
            </w:r>
          </w:p>
        </w:tc>
        <w:tc>
          <w:tcPr>
            <w:tcW w:w="7429" w:type="dxa"/>
            <w:vAlign w:val="center"/>
          </w:tcPr>
          <w:p>
            <w:pPr>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洁净区门原则上朝洁净级别高方向开。</w:t>
            </w:r>
          </w:p>
        </w:tc>
        <w:tc>
          <w:tcPr>
            <w:tcW w:w="901" w:type="dxa"/>
            <w:vAlign w:val="center"/>
          </w:tcPr>
          <w:p>
            <w:pPr>
              <w:jc w:val="left"/>
              <w:rPr>
                <w:rFonts w:hint="eastAsia"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74" w:type="dxa"/>
            <w:vAlign w:val="center"/>
          </w:tcPr>
          <w:p>
            <w:pPr>
              <w:numPr>
                <w:ilvl w:val="0"/>
                <w:numId w:val="0"/>
              </w:numPr>
              <w:ind w:left="425" w:leftChars="0" w:hanging="425" w:firstLineChars="0"/>
              <w:jc w:val="left"/>
              <w:rPr>
                <w:rFonts w:hint="default" w:ascii="仿宋_GB2312" w:hAnsi="仿宋_GB2312" w:eastAsia="仿宋_GB2312" w:cs="仿宋_GB2312"/>
                <w:color w:val="000000" w:themeColor="text1"/>
                <w:kern w:val="2"/>
                <w:sz w:val="21"/>
                <w:szCs w:val="21"/>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1"/>
                <w:szCs w:val="21"/>
                <w:lang w:val="en-US" w:eastAsia="zh-CN" w:bidi="ar-SA"/>
                <w14:textFill>
                  <w14:solidFill>
                    <w14:schemeClr w14:val="tx1"/>
                  </w14:solidFill>
                </w14:textFill>
              </w:rPr>
              <w:t>31</w:t>
            </w:r>
          </w:p>
        </w:tc>
        <w:tc>
          <w:tcPr>
            <w:tcW w:w="7429" w:type="dxa"/>
            <w:vAlign w:val="center"/>
          </w:tcPr>
          <w:p>
            <w:pPr>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门窗要求</w:t>
            </w:r>
          </w:p>
          <w:p>
            <w:pPr>
              <w:numPr>
                <w:ilvl w:val="0"/>
                <w:numId w:val="35"/>
              </w:numPr>
              <w:ind w:left="420" w:leftChars="0" w:hanging="420" w:firstLineChars="0"/>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洁净室门采用钢质门。</w:t>
            </w:r>
          </w:p>
          <w:p>
            <w:pPr>
              <w:numPr>
                <w:ilvl w:val="0"/>
                <w:numId w:val="35"/>
              </w:numPr>
              <w:ind w:left="420" w:leftChars="0" w:hanging="420" w:firstLineChars="0"/>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所有洁净门设置观察窗。</w:t>
            </w:r>
          </w:p>
          <w:p>
            <w:pPr>
              <w:numPr>
                <w:ilvl w:val="0"/>
                <w:numId w:val="35"/>
              </w:numPr>
              <w:ind w:left="420" w:leftChars="0" w:hanging="420" w:firstLineChars="0"/>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门框与门扇之间设置密封条。</w:t>
            </w:r>
          </w:p>
          <w:p>
            <w:pPr>
              <w:numPr>
                <w:ilvl w:val="0"/>
                <w:numId w:val="35"/>
              </w:numPr>
              <w:ind w:left="420" w:leftChars="0" w:hanging="420" w:firstLineChars="0"/>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所有洁净室门加设闭门器（闭门器为暗装，样式见下图），同一组缓冲门设置机械互锁。</w:t>
            </w:r>
          </w:p>
          <w:p>
            <w:pPr>
              <w:numPr>
                <w:ilvl w:val="0"/>
                <w:numId w:val="35"/>
              </w:numPr>
              <w:ind w:left="420" w:leftChars="0" w:hanging="420" w:firstLineChars="0"/>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当单扇门宽度大于600mm时，门扇和门框的铰链不少于3副，门窗框与墙体固定片间距不应大于600mm。</w:t>
            </w:r>
          </w:p>
          <w:p>
            <w:pPr>
              <w:numPr>
                <w:ilvl w:val="0"/>
                <w:numId w:val="35"/>
              </w:numPr>
              <w:ind w:left="420" w:leftChars="0" w:hanging="420" w:firstLineChars="0"/>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门底部设置自动升降式密封条。门框密封设置密封条，门扇关闭后，密封条处于压缩状态。</w:t>
            </w:r>
          </w:p>
          <w:p>
            <w:pPr>
              <w:numPr>
                <w:ilvl w:val="0"/>
                <w:numId w:val="35"/>
              </w:numPr>
              <w:ind w:left="420" w:leftChars="0" w:hanging="420" w:firstLineChars="0"/>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洁净窗采用断桥铝材质，双层玻璃，抽真空并放干燥剂。</w:t>
            </w:r>
          </w:p>
          <w:p>
            <w:pPr>
              <w:numPr>
                <w:ilvl w:val="0"/>
                <w:numId w:val="35"/>
              </w:numPr>
              <w:ind w:left="420" w:leftChars="0" w:hanging="420" w:firstLineChars="0"/>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窗面应与其安装部位的表面齐平，当不能齐平时，应采用斜坡、弧坡，边、角应为圆弧过渡。</w:t>
            </w:r>
          </w:p>
          <w:p>
            <w:pPr>
              <w:numPr>
                <w:ilvl w:val="0"/>
                <w:numId w:val="35"/>
              </w:numPr>
              <w:ind w:left="420" w:leftChars="0" w:hanging="420" w:firstLineChars="0"/>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门窗金属部分需有接地。</w:t>
            </w:r>
          </w:p>
          <w:p>
            <w:pPr>
              <w:numPr>
                <w:ilvl w:val="0"/>
                <w:numId w:val="35"/>
              </w:numPr>
              <w:ind w:left="420" w:leftChars="0" w:hanging="420" w:firstLineChars="0"/>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门窗色调应与房间、走廊保持一致，投标人需提供具体样式，经招标人确认后方可采购。</w:t>
            </w:r>
          </w:p>
          <w:p>
            <w:pPr>
              <w:numPr>
                <w:ilvl w:val="0"/>
                <w:numId w:val="35"/>
              </w:numPr>
              <w:ind w:left="420" w:leftChars="0" w:hanging="420" w:firstLineChars="0"/>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成品门、窗必须有合格证书或性能检验报告。</w:t>
            </w:r>
          </w:p>
          <w:p>
            <w:pPr>
              <w:rPr>
                <w:rFonts w:hint="eastAsia" w:ascii="仿宋_GB2312" w:hAnsi="仿宋_GB2312" w:eastAsia="仿宋_GB2312" w:cs="仿宋_GB2312"/>
                <w:color w:val="000000" w:themeColor="text1"/>
                <w:szCs w:val="21"/>
                <w14:textFill>
                  <w14:solidFill>
                    <w14:schemeClr w14:val="tx1"/>
                  </w14:solidFill>
                </w14:textFill>
              </w:rPr>
            </w:pPr>
          </w:p>
        </w:tc>
        <w:tc>
          <w:tcPr>
            <w:tcW w:w="901" w:type="dxa"/>
            <w:vAlign w:val="center"/>
          </w:tcPr>
          <w:p>
            <w:pPr>
              <w:jc w:val="left"/>
              <w:rPr>
                <w:rFonts w:hint="eastAsia"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9104" w:type="dxa"/>
            <w:gridSpan w:val="3"/>
            <w:vAlign w:val="center"/>
          </w:tcPr>
          <w:p>
            <w:pPr>
              <w:numPr>
                <w:ilvl w:val="0"/>
                <w:numId w:val="34"/>
              </w:numPr>
              <w:ind w:left="420" w:leftChars="0" w:hanging="420"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安全门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kern w:val="2"/>
                <w:sz w:val="21"/>
                <w:szCs w:val="21"/>
                <w:lang w:val="en-US" w:eastAsia="zh-CN" w:bidi="ar-SA"/>
                <w14:textFill>
                  <w14:solidFill>
                    <w14:schemeClr w14:val="tx1"/>
                  </w14:solidFill>
                </w14:textFill>
              </w:rPr>
              <w:t>31</w:t>
            </w:r>
          </w:p>
        </w:tc>
        <w:tc>
          <w:tcPr>
            <w:tcW w:w="7429" w:type="dxa"/>
            <w:vAlign w:val="center"/>
          </w:tcPr>
          <w:p>
            <w:pPr>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玻璃安全门：安全门采用双层5mm厚的钢化玻璃，满足规范要求，材质同窗户，配不锈钢消防锤1把，安全门边框厚度为50mm与洁净室墙体齐平，边缝进行中性硅胶密封处理，密封无泄露。距地面200mm，满足消防规范要求.</w:t>
            </w:r>
          </w:p>
        </w:tc>
        <w:tc>
          <w:tcPr>
            <w:tcW w:w="901" w:type="dxa"/>
            <w:vAlign w:val="center"/>
          </w:tcPr>
          <w:p>
            <w:pPr>
              <w:jc w:val="left"/>
              <w:rPr>
                <w:rFonts w:hint="eastAsia"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kern w:val="2"/>
                <w:sz w:val="21"/>
                <w:szCs w:val="21"/>
                <w:lang w:val="en-US" w:eastAsia="zh-CN" w:bidi="ar-SA"/>
                <w14:textFill>
                  <w14:solidFill>
                    <w14:schemeClr w14:val="tx1"/>
                  </w14:solidFill>
                </w14:textFill>
              </w:rPr>
              <w:t>32</w:t>
            </w:r>
          </w:p>
        </w:tc>
        <w:tc>
          <w:tcPr>
            <w:tcW w:w="7429" w:type="dxa"/>
            <w:vAlign w:val="center"/>
          </w:tcPr>
          <w:p>
            <w:pPr>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铝合金材质，门框厚度≥1.5m。采用6mm厚钢化玻璃（最大允许使用面积3㎡）。采用8mm厚钢化玻璃（最大允许使用面积4㎡）。</w:t>
            </w:r>
          </w:p>
        </w:tc>
        <w:tc>
          <w:tcPr>
            <w:tcW w:w="901" w:type="dxa"/>
            <w:vAlign w:val="center"/>
          </w:tcPr>
          <w:p>
            <w:pPr>
              <w:jc w:val="left"/>
              <w:rPr>
                <w:rFonts w:hint="eastAsia" w:ascii="仿宋_GB2312" w:hAnsi="仿宋_GB2312" w:eastAsia="仿宋_GB2312" w:cs="仿宋_GB2312"/>
                <w:color w:val="000000" w:themeColor="text1"/>
                <w:szCs w:val="21"/>
                <w14:textFill>
                  <w14:solidFill>
                    <w14:schemeClr w14:val="tx1"/>
                  </w14:solidFill>
                </w14:textFill>
              </w:rPr>
            </w:pPr>
          </w:p>
          <w:p>
            <w:pPr>
              <w:jc w:val="left"/>
              <w:rPr>
                <w:rFonts w:hint="eastAsia"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774" w:type="dxa"/>
            <w:vAlign w:val="center"/>
          </w:tcPr>
          <w:p>
            <w:pPr>
              <w:numPr>
                <w:ilvl w:val="0"/>
                <w:numId w:val="0"/>
              </w:numPr>
              <w:ind w:left="425" w:leftChars="0" w:hanging="425" w:firstLineChars="0"/>
              <w:jc w:val="left"/>
              <w:rPr>
                <w:rFonts w:hint="default" w:ascii="仿宋_GB2312" w:hAnsi="仿宋_GB2312" w:eastAsia="仿宋_GB2312" w:cs="仿宋_GB2312"/>
                <w:color w:val="000000" w:themeColor="text1"/>
                <w:kern w:val="2"/>
                <w:sz w:val="21"/>
                <w:szCs w:val="21"/>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1"/>
                <w:szCs w:val="21"/>
                <w:lang w:val="en-US" w:eastAsia="zh-CN" w:bidi="ar-SA"/>
                <w14:textFill>
                  <w14:solidFill>
                    <w14:schemeClr w14:val="tx1"/>
                  </w14:solidFill>
                </w14:textFill>
              </w:rPr>
              <w:t>33</w:t>
            </w:r>
          </w:p>
        </w:tc>
        <w:tc>
          <w:tcPr>
            <w:tcW w:w="7429" w:type="dxa"/>
            <w:vAlign w:val="center"/>
          </w:tcPr>
          <w:p>
            <w:pPr>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防火门：采用有资质厂家生的钢制防火门,满足消防规范要求及洁净室相关要求。</w:t>
            </w:r>
          </w:p>
        </w:tc>
        <w:tc>
          <w:tcPr>
            <w:tcW w:w="901" w:type="dxa"/>
            <w:vAlign w:val="center"/>
          </w:tcPr>
          <w:p>
            <w:pPr>
              <w:jc w:val="left"/>
              <w:rPr>
                <w:rFonts w:hint="eastAsia"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774" w:type="dxa"/>
            <w:vAlign w:val="center"/>
          </w:tcPr>
          <w:p>
            <w:pPr>
              <w:numPr>
                <w:ilvl w:val="0"/>
                <w:numId w:val="0"/>
              </w:numPr>
              <w:ind w:left="425" w:leftChars="0" w:hanging="425" w:firstLineChars="0"/>
              <w:jc w:val="left"/>
              <w:rPr>
                <w:rFonts w:hint="eastAsia" w:ascii="仿宋_GB2312" w:hAnsi="仿宋_GB2312" w:eastAsia="仿宋_GB2312" w:cs="仿宋_GB2312"/>
                <w:color w:val="000000" w:themeColor="text1"/>
                <w:kern w:val="2"/>
                <w:sz w:val="21"/>
                <w:szCs w:val="21"/>
                <w:lang w:val="en-US" w:eastAsia="zh-CN" w:bidi="ar-SA"/>
                <w14:textFill>
                  <w14:solidFill>
                    <w14:schemeClr w14:val="tx1"/>
                  </w14:solidFill>
                </w14:textFill>
              </w:rPr>
            </w:pPr>
          </w:p>
          <w:p>
            <w:pPr>
              <w:numPr>
                <w:ilvl w:val="0"/>
                <w:numId w:val="0"/>
              </w:numPr>
              <w:ind w:left="425" w:leftChars="0" w:hanging="425" w:firstLineChars="0"/>
              <w:jc w:val="left"/>
              <w:rPr>
                <w:rFonts w:hint="default" w:ascii="仿宋_GB2312" w:hAnsi="仿宋_GB2312" w:eastAsia="仿宋_GB2312" w:cs="仿宋_GB2312"/>
                <w:color w:val="000000" w:themeColor="text1"/>
                <w:kern w:val="2"/>
                <w:sz w:val="21"/>
                <w:szCs w:val="21"/>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1"/>
                <w:szCs w:val="21"/>
                <w:lang w:val="en-US" w:eastAsia="zh-CN" w:bidi="ar-SA"/>
                <w14:textFill>
                  <w14:solidFill>
                    <w14:schemeClr w14:val="tx1"/>
                  </w14:solidFill>
                </w14:textFill>
              </w:rPr>
              <w:t>34</w:t>
            </w:r>
          </w:p>
          <w:p>
            <w:pPr>
              <w:numPr>
                <w:ilvl w:val="0"/>
                <w:numId w:val="0"/>
              </w:numPr>
              <w:ind w:left="425" w:leftChars="0" w:hanging="425" w:firstLineChars="0"/>
              <w:jc w:val="left"/>
              <w:rPr>
                <w:rFonts w:hint="eastAsia" w:ascii="仿宋_GB2312" w:hAnsi="仿宋_GB2312" w:eastAsia="仿宋_GB2312" w:cs="仿宋_GB2312"/>
                <w:color w:val="000000" w:themeColor="text1"/>
                <w:kern w:val="2"/>
                <w:sz w:val="21"/>
                <w:szCs w:val="21"/>
                <w:lang w:val="en-US" w:eastAsia="zh-CN" w:bidi="ar-SA"/>
                <w14:textFill>
                  <w14:solidFill>
                    <w14:schemeClr w14:val="tx1"/>
                  </w14:solidFill>
                </w14:textFill>
              </w:rPr>
            </w:pPr>
          </w:p>
        </w:tc>
        <w:tc>
          <w:tcPr>
            <w:tcW w:w="7429" w:type="dxa"/>
            <w:vAlign w:val="center"/>
          </w:tcPr>
          <w:p>
            <w:pPr>
              <w:jc w:val="left"/>
              <w:rPr>
                <w:rFonts w:hint="eastAsia" w:ascii="仿宋_GB2312" w:hAnsi="仿宋_GB2312" w:eastAsia="仿宋_GB2312" w:cs="仿宋_GB2312"/>
                <w:color w:val="000000" w:themeColor="text1"/>
                <w:szCs w:val="21"/>
                <w:lang w:val="en-US" w:eastAsia="zh-CN"/>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普通安全门：采用普通门加装紧急推杆锁，门上的视窗为双面钢化玻璃，满足消防规范要求，安全门边框适用于洁净室的要求，边缝进行打胶处理，密封无泄露。</w:t>
            </w:r>
          </w:p>
        </w:tc>
        <w:tc>
          <w:tcPr>
            <w:tcW w:w="901" w:type="dxa"/>
            <w:vAlign w:val="center"/>
          </w:tcPr>
          <w:p>
            <w:pPr>
              <w:jc w:val="left"/>
              <w:rPr>
                <w:rFonts w:hint="eastAsia"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9104" w:type="dxa"/>
            <w:gridSpan w:val="3"/>
            <w:vAlign w:val="center"/>
          </w:tcPr>
          <w:p>
            <w:pPr>
              <w:pStyle w:val="17"/>
              <w:numPr>
                <w:ilvl w:val="0"/>
                <w:numId w:val="34"/>
              </w:numPr>
              <w:spacing w:line="360" w:lineRule="auto"/>
              <w:ind w:left="420" w:leftChars="0" w:hanging="420" w:firstLineChars="0"/>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kern w:val="2"/>
                <w:sz w:val="21"/>
                <w:szCs w:val="21"/>
                <w:lang w:val="en-US" w:eastAsia="zh-CN" w:bidi="ar-SA"/>
                <w14:textFill>
                  <w14:solidFill>
                    <w14:schemeClr w14:val="tx1"/>
                  </w14:solidFill>
                </w14:textFill>
              </w:rPr>
              <w:t>风淋室、货淋室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774" w:type="dxa"/>
            <w:vAlign w:val="center"/>
          </w:tcPr>
          <w:p>
            <w:pPr>
              <w:numPr>
                <w:ilvl w:val="0"/>
                <w:numId w:val="0"/>
              </w:numPr>
              <w:ind w:left="425" w:leftChars="0" w:hanging="425" w:firstLineChars="0"/>
              <w:jc w:val="left"/>
              <w:rPr>
                <w:rFonts w:hint="default" w:ascii="仿宋_GB2312" w:hAnsi="仿宋_GB2312" w:eastAsia="仿宋_GB2312" w:cs="仿宋_GB2312"/>
                <w:color w:val="000000" w:themeColor="text1"/>
                <w:kern w:val="2"/>
                <w:sz w:val="21"/>
                <w:szCs w:val="21"/>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1"/>
                <w:szCs w:val="21"/>
                <w:lang w:val="en-US" w:eastAsia="zh-CN" w:bidi="ar-SA"/>
                <w14:textFill>
                  <w14:solidFill>
                    <w14:schemeClr w14:val="tx1"/>
                  </w14:solidFill>
                </w14:textFill>
              </w:rPr>
              <w:t>3</w:t>
            </w:r>
            <w:r>
              <w:rPr>
                <w:rFonts w:hint="eastAsia" w:ascii="仿宋_GB2312" w:hAnsi="仿宋_GB2312" w:eastAsia="仿宋_GB2312" w:cs="仿宋_GB2312"/>
                <w:kern w:val="2"/>
                <w:sz w:val="21"/>
                <w:szCs w:val="21"/>
                <w:lang w:val="en-US" w:eastAsia="zh-CN" w:bidi="ar-SA"/>
              </w:rPr>
              <w:t>5</w:t>
            </w:r>
          </w:p>
        </w:tc>
        <w:tc>
          <w:tcPr>
            <w:tcW w:w="7429" w:type="dxa"/>
            <w:vAlign w:val="center"/>
          </w:tcPr>
          <w:p>
            <w:pPr>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人员风淋室</w:t>
            </w:r>
          </w:p>
          <w:p>
            <w:pPr>
              <w:numPr>
                <w:ilvl w:val="0"/>
                <w:numId w:val="36"/>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材质：外箱体采用1.0冷板喷塑或不锈钢，内胆采用1.2厚冷板喷塑，内底板采用0.8厚砂光304不锈钢板（内嵌补强板），门框采用1.2厚砂光304不锈钢门框加30*60不锈钢扁通；</w:t>
            </w:r>
          </w:p>
          <w:p>
            <w:pPr>
              <w:numPr>
                <w:ilvl w:val="0"/>
                <w:numId w:val="36"/>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采用三面吹风形式；</w:t>
            </w:r>
          </w:p>
          <w:p>
            <w:pPr>
              <w:numPr>
                <w:ilvl w:val="0"/>
                <w:numId w:val="36"/>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高效过滤器：</w:t>
            </w:r>
            <w:r>
              <w:rPr>
                <w:rFonts w:hint="eastAsia" w:ascii="仿宋_GB2312" w:hAnsi="仿宋_GB2312" w:eastAsia="仿宋_GB2312" w:cs="仿宋_GB2312"/>
                <w:color w:val="000000" w:themeColor="text1"/>
                <w:szCs w:val="21"/>
                <w14:textFill>
                  <w14:solidFill>
                    <w14:schemeClr w14:val="tx1"/>
                  </w14:solidFill>
                </w14:textFill>
              </w:rPr>
              <w:fldChar w:fldCharType="begin"/>
            </w:r>
            <w:r>
              <w:rPr>
                <w:rFonts w:hint="eastAsia" w:ascii="仿宋_GB2312" w:hAnsi="仿宋_GB2312" w:eastAsia="仿宋_GB2312" w:cs="仿宋_GB2312"/>
                <w:color w:val="000000" w:themeColor="text1"/>
                <w:szCs w:val="21"/>
                <w14:textFill>
                  <w14:solidFill>
                    <w14:schemeClr w14:val="tx1"/>
                  </w14:solidFill>
                </w14:textFill>
              </w:rPr>
              <w:instrText xml:space="preserve">HYPERLINK "mailto:效率为99.99@0.3μm"</w:instrText>
            </w:r>
            <w:r>
              <w:rPr>
                <w:rFonts w:hint="eastAsia" w:ascii="仿宋_GB2312" w:hAnsi="仿宋_GB2312" w:eastAsia="仿宋_GB2312" w:cs="仿宋_GB2312"/>
                <w:color w:val="000000" w:themeColor="text1"/>
                <w:szCs w:val="21"/>
                <w14:textFill>
                  <w14:solidFill>
                    <w14:schemeClr w14:val="tx1"/>
                  </w14:solidFill>
                </w14:textFill>
              </w:rPr>
              <w:fldChar w:fldCharType="separate"/>
            </w:r>
            <w:r>
              <w:rPr>
                <w:rFonts w:hint="eastAsia" w:ascii="仿宋_GB2312" w:hAnsi="仿宋_GB2312" w:eastAsia="仿宋_GB2312" w:cs="仿宋_GB2312"/>
                <w:color w:val="000000" w:themeColor="text1"/>
                <w:szCs w:val="21"/>
                <w14:textFill>
                  <w14:solidFill>
                    <w14:schemeClr w14:val="tx1"/>
                  </w14:solidFill>
                </w14:textFill>
              </w:rPr>
              <w:t>效率为99.99%@0.3μm</w:t>
            </w:r>
            <w:r>
              <w:rPr>
                <w:rFonts w:hint="eastAsia" w:ascii="仿宋_GB2312" w:hAnsi="仿宋_GB2312" w:eastAsia="仿宋_GB2312" w:cs="仿宋_GB2312"/>
                <w:color w:val="000000" w:themeColor="text1"/>
                <w:szCs w:val="21"/>
                <w14:textFill>
                  <w14:solidFill>
                    <w14:schemeClr w14:val="tx1"/>
                  </w14:solidFill>
                </w14:textFill>
              </w:rPr>
              <w:fldChar w:fldCharType="end"/>
            </w:r>
            <w:r>
              <w:rPr>
                <w:rFonts w:hint="eastAsia" w:ascii="仿宋_GB2312" w:hAnsi="仿宋_GB2312" w:eastAsia="仿宋_GB2312" w:cs="仿宋_GB2312"/>
                <w:color w:val="000000" w:themeColor="text1"/>
                <w:szCs w:val="21"/>
                <w14:textFill>
                  <w14:solidFill>
                    <w14:schemeClr w14:val="tx1"/>
                  </w14:solidFill>
                </w14:textFill>
              </w:rPr>
              <w:t>，数量为2台；</w:t>
            </w:r>
          </w:p>
          <w:p>
            <w:pPr>
              <w:numPr>
                <w:ilvl w:val="0"/>
                <w:numId w:val="36"/>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初效过滤器：效率为35%，数量为2台；</w:t>
            </w:r>
          </w:p>
          <w:p>
            <w:pPr>
              <w:numPr>
                <w:ilvl w:val="0"/>
                <w:numId w:val="36"/>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喷嘴：SUS喷嘴，喷嘴出口风速≥23m/s；</w:t>
            </w:r>
          </w:p>
          <w:p>
            <w:pPr>
              <w:numPr>
                <w:ilvl w:val="0"/>
                <w:numId w:val="36"/>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门：手动单开SUS304门，镶5mm钢化玻璃。</w:t>
            </w:r>
          </w:p>
          <w:p>
            <w:pPr>
              <w:numPr>
                <w:ilvl w:val="0"/>
                <w:numId w:val="36"/>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控制：采用全电脑语音控制（PLC系统），电子互锁装置，红外感应全自动喷淋，LED时间计数器控制吹淋时间，风淋时间0-99秒可调。风淋室中间部位设置红外感应探头，并与进入门联锁（确保任何情况进入洁净区均会吹风）。</w:t>
            </w:r>
          </w:p>
          <w:p>
            <w:pPr>
              <w:numPr>
                <w:ilvl w:val="0"/>
                <w:numId w:val="36"/>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风淋室除进出口位置设置急停按钮，在风淋室内也需设置急停按钮（急停按下后风淋室断电，风淋室门可被开启）；</w:t>
            </w:r>
          </w:p>
          <w:p>
            <w:pPr>
              <w:numPr>
                <w:ilvl w:val="0"/>
                <w:numId w:val="36"/>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照明采用嵌入式LED小灯，设置防积尘结构；</w:t>
            </w:r>
          </w:p>
          <w:p>
            <w:pPr>
              <w:numPr>
                <w:ilvl w:val="0"/>
                <w:numId w:val="36"/>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风淋室内部控制板加防护罩，以防人员误拨动；</w:t>
            </w:r>
          </w:p>
          <w:p>
            <w:pPr>
              <w:numPr>
                <w:ilvl w:val="0"/>
                <w:numId w:val="36"/>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电源：380V 50Hz</w:t>
            </w:r>
            <w:r>
              <w:rPr>
                <w:rFonts w:hint="eastAsia" w:ascii="仿宋_GB2312" w:hAnsi="仿宋_GB2312" w:eastAsia="仿宋_GB2312" w:cs="仿宋_GB2312"/>
                <w:color w:val="000000" w:themeColor="text1"/>
                <w:szCs w:val="21"/>
                <w:lang w:eastAsia="zh-CN"/>
                <w14:textFill>
                  <w14:solidFill>
                    <w14:schemeClr w14:val="tx1"/>
                  </w14:solidFill>
                </w14:textFill>
              </w:rPr>
              <w:t>；</w:t>
            </w:r>
          </w:p>
          <w:p>
            <w:pPr>
              <w:numPr>
                <w:ilvl w:val="0"/>
                <w:numId w:val="36"/>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lang w:val="en-US" w:eastAsia="zh-CN"/>
                <w14:textFill>
                  <w14:solidFill>
                    <w14:schemeClr w14:val="tx1"/>
                  </w14:solidFill>
                </w14:textFill>
              </w:rPr>
              <w:t>静电消除、接地；</w:t>
            </w:r>
          </w:p>
          <w:p>
            <w:pPr>
              <w:numPr>
                <w:ilvl w:val="0"/>
                <w:numId w:val="36"/>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lang w:val="en-US" w:eastAsia="zh-CN"/>
                <w14:textFill>
                  <w14:solidFill>
                    <w14:schemeClr w14:val="tx1"/>
                  </w14:solidFill>
                </w14:textFill>
              </w:rPr>
              <w:t>风淋室在风淋时能达到与洁净室内同级别的洁净度。</w:t>
            </w:r>
          </w:p>
        </w:tc>
        <w:tc>
          <w:tcPr>
            <w:tcW w:w="901" w:type="dxa"/>
            <w:vAlign w:val="center"/>
          </w:tcPr>
          <w:p>
            <w:pPr>
              <w:jc w:val="left"/>
              <w:rPr>
                <w:rFonts w:hint="eastAsia" w:ascii="仿宋_GB2312" w:hAnsi="仿宋_GB2312" w:eastAsia="仿宋_GB2312" w:cs="仿宋_GB2312"/>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774" w:type="dxa"/>
            <w:vAlign w:val="center"/>
          </w:tcPr>
          <w:p>
            <w:pPr>
              <w:numPr>
                <w:ilvl w:val="0"/>
                <w:numId w:val="0"/>
              </w:numPr>
              <w:ind w:left="425" w:leftChars="0" w:hanging="425" w:firstLineChars="0"/>
              <w:jc w:val="left"/>
              <w:rPr>
                <w:rFonts w:hint="default" w:ascii="仿宋_GB2312" w:hAnsi="仿宋_GB2312" w:eastAsia="仿宋_GB2312" w:cs="仿宋_GB2312"/>
                <w:color w:val="000000" w:themeColor="text1"/>
                <w:kern w:val="2"/>
                <w:sz w:val="21"/>
                <w:szCs w:val="21"/>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21"/>
                <w:szCs w:val="21"/>
                <w:lang w:val="en-US" w:eastAsia="zh-CN" w:bidi="ar-SA"/>
                <w14:textFill>
                  <w14:solidFill>
                    <w14:schemeClr w14:val="tx1"/>
                  </w14:solidFill>
                </w14:textFill>
              </w:rPr>
              <w:t>36</w:t>
            </w:r>
          </w:p>
        </w:tc>
        <w:tc>
          <w:tcPr>
            <w:tcW w:w="7429" w:type="dxa"/>
            <w:vAlign w:val="center"/>
          </w:tcPr>
          <w:p>
            <w:pPr>
              <w:numPr>
                <w:ilvl w:val="0"/>
                <w:numId w:val="0"/>
              </w:numPr>
              <w:ind w:left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货淋室</w:t>
            </w:r>
          </w:p>
          <w:p>
            <w:pPr>
              <w:numPr>
                <w:ilvl w:val="0"/>
                <w:numId w:val="36"/>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材质：外箱体采用1.0冷板喷塑或不锈钢，内胆采用1.2厚冷板喷塑，内底板采用0.8厚砂光304不锈钢板（内嵌补强板），门框采用1.2厚砂光304不锈钢门框加30*60不锈钢扁通；</w:t>
            </w:r>
          </w:p>
          <w:p>
            <w:pPr>
              <w:numPr>
                <w:ilvl w:val="0"/>
                <w:numId w:val="36"/>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采用三面吹风形式；</w:t>
            </w:r>
          </w:p>
          <w:p>
            <w:pPr>
              <w:numPr>
                <w:ilvl w:val="0"/>
                <w:numId w:val="36"/>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高效过滤器：效率为99.99%@0.3μm；</w:t>
            </w:r>
          </w:p>
          <w:p>
            <w:pPr>
              <w:numPr>
                <w:ilvl w:val="0"/>
                <w:numId w:val="36"/>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初效过滤器：效率为35%；</w:t>
            </w:r>
          </w:p>
          <w:p>
            <w:pPr>
              <w:numPr>
                <w:ilvl w:val="0"/>
                <w:numId w:val="36"/>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喷嘴：SUS喷嘴；</w:t>
            </w:r>
          </w:p>
          <w:p>
            <w:pPr>
              <w:numPr>
                <w:ilvl w:val="0"/>
                <w:numId w:val="36"/>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门：快速卷帘门；</w:t>
            </w:r>
          </w:p>
          <w:p>
            <w:pPr>
              <w:numPr>
                <w:ilvl w:val="0"/>
                <w:numId w:val="36"/>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控制：采用全电脑语音控制（PLC系统），电子互锁装置，红外感应全自动感应开关门及喷淋，LED时间计数器控制吹淋时间，风淋时间0-99秒可调，含模块以及配合AGV动线调试；</w:t>
            </w:r>
          </w:p>
          <w:p>
            <w:pPr>
              <w:numPr>
                <w:ilvl w:val="0"/>
                <w:numId w:val="36"/>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货淋室进出口位置设置急停按钮及手动自动开关；</w:t>
            </w:r>
          </w:p>
          <w:p>
            <w:pPr>
              <w:numPr>
                <w:ilvl w:val="0"/>
                <w:numId w:val="36"/>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照明采用嵌入式LED小灯，设置防积尘结构；</w:t>
            </w:r>
          </w:p>
          <w:p>
            <w:pPr>
              <w:numPr>
                <w:ilvl w:val="0"/>
                <w:numId w:val="36"/>
              </w:numPr>
              <w:ind w:left="425" w:leftChars="0" w:hanging="425" w:firstLineChars="0"/>
              <w:jc w:val="left"/>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电源：380v 50Hz。</w:t>
            </w:r>
          </w:p>
        </w:tc>
        <w:tc>
          <w:tcPr>
            <w:tcW w:w="901" w:type="dxa"/>
            <w:vAlign w:val="center"/>
          </w:tcPr>
          <w:p>
            <w:pPr>
              <w:jc w:val="left"/>
              <w:rPr>
                <w:rFonts w:hint="eastAsia" w:ascii="仿宋_GB2312" w:hAnsi="仿宋_GB2312" w:eastAsia="仿宋_GB2312" w:cs="仿宋_GB2312"/>
                <w:color w:val="000000" w:themeColor="text1"/>
                <w:szCs w:val="21"/>
                <w14:textFill>
                  <w14:solidFill>
                    <w14:schemeClr w14:val="tx1"/>
                  </w14:solidFill>
                </w14:textFill>
              </w:rPr>
            </w:pPr>
          </w:p>
        </w:tc>
      </w:tr>
    </w:tbl>
    <w:p>
      <w:pPr>
        <w:pStyle w:val="15"/>
        <w:numPr>
          <w:ilvl w:val="0"/>
          <w:numId w:val="37"/>
        </w:numPr>
        <w:ind w:left="420" w:leftChars="0" w:hanging="420" w:firstLineChars="0"/>
        <w:rPr>
          <w:rFonts w:hint="eastAsia" w:ascii="仿宋_GB2312" w:hAnsi="仿宋_GB2312" w:eastAsia="仿宋_GB2312" w:cs="仿宋_GB2312"/>
          <w:sz w:val="21"/>
          <w:szCs w:val="21"/>
        </w:rPr>
      </w:pPr>
      <w:r>
        <w:rPr>
          <w:rFonts w:hint="eastAsia" w:ascii="仿宋_GB2312" w:hAnsi="仿宋_GB2312" w:eastAsia="仿宋_GB2312" w:cs="仿宋_GB2312"/>
          <w:color w:val="000000" w:themeColor="text1"/>
          <w:sz w:val="21"/>
          <w:szCs w:val="21"/>
          <w14:textFill>
            <w14:solidFill>
              <w14:schemeClr w14:val="tx1"/>
            </w14:solidFill>
          </w14:textFill>
        </w:rPr>
        <w:t>暖通系统技术要求</w:t>
      </w:r>
    </w:p>
    <w:tbl>
      <w:tblPr>
        <w:tblStyle w:val="10"/>
        <w:tblW w:w="97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8258"/>
        <w:gridCol w:w="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43" w:type="dxa"/>
            <w:vAlign w:val="center"/>
          </w:tcPr>
          <w:p>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需求编号</w:t>
            </w:r>
          </w:p>
        </w:tc>
        <w:tc>
          <w:tcPr>
            <w:tcW w:w="8258" w:type="dxa"/>
            <w:vAlign w:val="center"/>
          </w:tcPr>
          <w:p>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要求</w:t>
            </w:r>
          </w:p>
        </w:tc>
        <w:tc>
          <w:tcPr>
            <w:tcW w:w="725" w:type="dxa"/>
            <w:vAlign w:val="center"/>
          </w:tcPr>
          <w:p>
            <w:pPr>
              <w:jc w:val="center"/>
              <w:rPr>
                <w:rStyle w:val="16"/>
                <w:rFonts w:hint="eastAsia" w:ascii="仿宋_GB2312" w:hAnsi="仿宋_GB2312" w:eastAsia="仿宋_GB2312" w:cs="仿宋_GB2312"/>
                <w:sz w:val="21"/>
                <w:szCs w:val="21"/>
              </w:rPr>
            </w:pPr>
            <w:r>
              <w:rPr>
                <w:rStyle w:val="16"/>
                <w:rFonts w:hint="eastAsia" w:ascii="仿宋_GB2312" w:hAnsi="仿宋_GB2312" w:eastAsia="仿宋_GB2312" w:cs="仿宋_GB2312"/>
                <w:sz w:val="21"/>
                <w:szCs w:val="21"/>
              </w:rPr>
              <w:t>响应</w:t>
            </w:r>
          </w:p>
          <w:p>
            <w:pPr>
              <w:jc w:val="center"/>
              <w:rPr>
                <w:rFonts w:hint="eastAsia" w:ascii="仿宋_GB2312" w:hAnsi="仿宋_GB2312" w:eastAsia="仿宋_GB2312" w:cs="仿宋_GB2312"/>
                <w:sz w:val="21"/>
                <w:szCs w:val="21"/>
              </w:rPr>
            </w:pPr>
            <w:r>
              <w:rPr>
                <w:rStyle w:val="16"/>
                <w:rFonts w:hint="eastAsia" w:ascii="仿宋_GB2312" w:hAnsi="仿宋_GB2312" w:eastAsia="仿宋_GB2312" w:cs="仿宋_GB2312"/>
                <w:sz w:val="21"/>
                <w:szCs w:val="21"/>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726" w:type="dxa"/>
            <w:gridSpan w:val="3"/>
            <w:vAlign w:val="center"/>
          </w:tcPr>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743" w:type="dxa"/>
            <w:vAlign w:val="center"/>
          </w:tcPr>
          <w:p>
            <w:pPr>
              <w:numPr>
                <w:ilvl w:val="0"/>
                <w:numId w:val="0"/>
              </w:numPr>
              <w:ind w:left="425" w:leftChars="0" w:hanging="425" w:firstLineChars="0"/>
              <w:jc w:val="left"/>
              <w:rPr>
                <w:rFonts w:hint="eastAsia" w:ascii="仿宋_GB2312" w:hAnsi="仿宋_GB2312" w:eastAsia="仿宋_GB2312" w:cs="仿宋_GB2312"/>
                <w:sz w:val="21"/>
                <w:szCs w:val="21"/>
              </w:rPr>
            </w:pPr>
            <w:r>
              <w:rPr>
                <w:rFonts w:hint="eastAsia" w:ascii="仿宋_GB2312" w:hAnsi="仿宋_GB2312" w:eastAsia="仿宋_GB2312" w:cs="仿宋_GB2312"/>
                <w:kern w:val="2"/>
                <w:sz w:val="21"/>
                <w:szCs w:val="21"/>
                <w:lang w:val="en-US" w:eastAsia="zh-CN" w:bidi="ar-SA"/>
              </w:rPr>
              <w:t>37</w:t>
            </w:r>
          </w:p>
        </w:tc>
        <w:tc>
          <w:tcPr>
            <w:tcW w:w="8258" w:type="dxa"/>
            <w:vAlign w:val="center"/>
          </w:tcPr>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洁净厂房净化空调系统的施工、验收应符合国家</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lang w:val="en-US" w:eastAsia="zh-CN"/>
              </w:rPr>
              <w:t>行业</w:t>
            </w:r>
            <w:r>
              <w:rPr>
                <w:rFonts w:hint="eastAsia" w:ascii="仿宋_GB2312" w:hAnsi="仿宋_GB2312" w:eastAsia="仿宋_GB2312" w:cs="仿宋_GB2312"/>
                <w:sz w:val="21"/>
                <w:szCs w:val="21"/>
              </w:rPr>
              <w:t>相关规范规定。</w:t>
            </w:r>
          </w:p>
        </w:tc>
        <w:tc>
          <w:tcPr>
            <w:tcW w:w="725" w:type="dxa"/>
            <w:vAlign w:val="center"/>
          </w:tcPr>
          <w:p>
            <w:pPr>
              <w:jc w:val="left"/>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43" w:type="dxa"/>
            <w:vAlign w:val="center"/>
          </w:tcPr>
          <w:p>
            <w:pPr>
              <w:numPr>
                <w:ilvl w:val="0"/>
                <w:numId w:val="0"/>
              </w:numPr>
              <w:ind w:left="425" w:leftChars="0" w:hanging="425" w:firstLineChars="0"/>
              <w:jc w:val="left"/>
              <w:rPr>
                <w:rFonts w:hint="eastAsia" w:ascii="仿宋_GB2312" w:hAnsi="仿宋_GB2312" w:eastAsia="仿宋_GB2312" w:cs="仿宋_GB2312"/>
                <w:sz w:val="21"/>
                <w:szCs w:val="21"/>
              </w:rPr>
            </w:pPr>
            <w:r>
              <w:rPr>
                <w:rFonts w:hint="eastAsia" w:ascii="仿宋_GB2312" w:hAnsi="仿宋_GB2312" w:eastAsia="仿宋_GB2312" w:cs="仿宋_GB2312"/>
                <w:kern w:val="2"/>
                <w:sz w:val="21"/>
                <w:szCs w:val="21"/>
                <w:lang w:val="en-US" w:eastAsia="zh-CN" w:bidi="ar-SA"/>
              </w:rPr>
              <w:t>38</w:t>
            </w:r>
          </w:p>
        </w:tc>
        <w:tc>
          <w:tcPr>
            <w:tcW w:w="8258" w:type="dxa"/>
            <w:vAlign w:val="center"/>
          </w:tcPr>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洁净室内装修材料的燃烧性能，应符合现行国家标准《建筑内部装修设计防火规范》GB 50222</w:t>
            </w:r>
            <w:r>
              <w:rPr>
                <w:rFonts w:hint="eastAsia" w:ascii="仿宋_GB2312" w:hAnsi="仿宋_GB2312" w:eastAsia="仿宋_GB2312" w:cs="仿宋_GB2312"/>
                <w:sz w:val="21"/>
                <w:szCs w:val="21"/>
                <w:lang w:val="en-US" w:eastAsia="zh-CN"/>
              </w:rPr>
              <w:t>及国家规范</w:t>
            </w:r>
            <w:r>
              <w:rPr>
                <w:rFonts w:hint="eastAsia" w:ascii="仿宋_GB2312" w:hAnsi="仿宋_GB2312" w:eastAsia="仿宋_GB2312" w:cs="仿宋_GB2312"/>
                <w:sz w:val="21"/>
                <w:szCs w:val="21"/>
              </w:rPr>
              <w:t>有关规定。</w:t>
            </w:r>
          </w:p>
        </w:tc>
        <w:tc>
          <w:tcPr>
            <w:tcW w:w="725" w:type="dxa"/>
            <w:vAlign w:val="center"/>
          </w:tcPr>
          <w:p>
            <w:pPr>
              <w:jc w:val="left"/>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743" w:type="dxa"/>
            <w:vAlign w:val="center"/>
          </w:tcPr>
          <w:p>
            <w:pPr>
              <w:numPr>
                <w:ilvl w:val="0"/>
                <w:numId w:val="0"/>
              </w:numPr>
              <w:ind w:left="425" w:leftChars="0" w:hanging="425" w:firstLineChars="0"/>
              <w:jc w:val="left"/>
              <w:rPr>
                <w:rFonts w:hint="eastAsia" w:ascii="仿宋_GB2312" w:hAnsi="仿宋_GB2312" w:eastAsia="仿宋_GB2312" w:cs="仿宋_GB2312"/>
                <w:sz w:val="21"/>
                <w:szCs w:val="21"/>
              </w:rPr>
            </w:pPr>
            <w:r>
              <w:rPr>
                <w:rFonts w:hint="eastAsia" w:ascii="仿宋_GB2312" w:hAnsi="仿宋_GB2312" w:eastAsia="仿宋_GB2312" w:cs="仿宋_GB2312"/>
                <w:kern w:val="2"/>
                <w:sz w:val="21"/>
                <w:szCs w:val="21"/>
                <w:lang w:val="en-US" w:eastAsia="zh-CN" w:bidi="ar-SA"/>
              </w:rPr>
              <w:t>39</w:t>
            </w:r>
          </w:p>
        </w:tc>
        <w:tc>
          <w:tcPr>
            <w:tcW w:w="8258" w:type="dxa"/>
            <w:vAlign w:val="center"/>
          </w:tcPr>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净化空调系统施工中使用的材料、附件和设备应符合工程设计图纸的要求，并不得产生或散发对产品生产的正常进行、产品质量和人员健康有害的物质。</w:t>
            </w:r>
          </w:p>
        </w:tc>
        <w:tc>
          <w:tcPr>
            <w:tcW w:w="725" w:type="dxa"/>
            <w:vAlign w:val="center"/>
          </w:tcPr>
          <w:p>
            <w:pPr>
              <w:jc w:val="left"/>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743" w:type="dxa"/>
            <w:vAlign w:val="center"/>
          </w:tcPr>
          <w:p>
            <w:pPr>
              <w:numPr>
                <w:ilvl w:val="0"/>
                <w:numId w:val="0"/>
              </w:numPr>
              <w:ind w:left="425" w:leftChars="0" w:hanging="425" w:firstLineChars="0"/>
              <w:jc w:val="left"/>
              <w:rPr>
                <w:rFonts w:hint="eastAsia" w:ascii="仿宋_GB2312" w:hAnsi="仿宋_GB2312" w:eastAsia="仿宋_GB2312" w:cs="仿宋_GB2312"/>
                <w:sz w:val="21"/>
                <w:szCs w:val="21"/>
              </w:rPr>
            </w:pPr>
            <w:r>
              <w:rPr>
                <w:rFonts w:hint="eastAsia" w:ascii="仿宋_GB2312" w:hAnsi="仿宋_GB2312" w:eastAsia="仿宋_GB2312" w:cs="仿宋_GB2312"/>
                <w:kern w:val="2"/>
                <w:sz w:val="21"/>
                <w:szCs w:val="21"/>
                <w:lang w:val="en-US" w:eastAsia="zh-CN" w:bidi="ar-SA"/>
              </w:rPr>
              <w:t>40</w:t>
            </w:r>
          </w:p>
        </w:tc>
        <w:tc>
          <w:tcPr>
            <w:tcW w:w="8258" w:type="dxa"/>
            <w:vAlign w:val="center"/>
          </w:tcPr>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施工中所使用的材料、附件和设备应具有产品出厂合格证等，进施工现场前应经验收，并应做好产品验收记录。</w:t>
            </w:r>
          </w:p>
        </w:tc>
        <w:tc>
          <w:tcPr>
            <w:tcW w:w="725" w:type="dxa"/>
            <w:vAlign w:val="center"/>
          </w:tcPr>
          <w:p>
            <w:pPr>
              <w:jc w:val="left"/>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43" w:type="dxa"/>
            <w:vAlign w:val="center"/>
          </w:tcPr>
          <w:p>
            <w:pPr>
              <w:numPr>
                <w:ilvl w:val="0"/>
                <w:numId w:val="0"/>
              </w:numPr>
              <w:ind w:left="425" w:leftChars="0" w:hanging="425" w:firstLineChars="0"/>
              <w:jc w:val="left"/>
              <w:rPr>
                <w:rFonts w:hint="eastAsia" w:ascii="仿宋_GB2312" w:hAnsi="仿宋_GB2312" w:eastAsia="仿宋_GB2312" w:cs="仿宋_GB2312"/>
                <w:sz w:val="21"/>
                <w:szCs w:val="21"/>
              </w:rPr>
            </w:pPr>
            <w:r>
              <w:rPr>
                <w:rFonts w:hint="eastAsia" w:ascii="仿宋_GB2312" w:hAnsi="仿宋_GB2312" w:eastAsia="仿宋_GB2312" w:cs="仿宋_GB2312"/>
                <w:kern w:val="2"/>
                <w:sz w:val="21"/>
                <w:szCs w:val="21"/>
                <w:lang w:val="en-US" w:eastAsia="zh-CN" w:bidi="ar-SA"/>
              </w:rPr>
              <w:t>41.</w:t>
            </w:r>
          </w:p>
        </w:tc>
        <w:tc>
          <w:tcPr>
            <w:tcW w:w="8258" w:type="dxa"/>
            <w:vAlign w:val="center"/>
          </w:tcPr>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净化空调系统施工中的隐蔽工程应经验收和做好记录后再进行隐蔽。</w:t>
            </w:r>
          </w:p>
        </w:tc>
        <w:tc>
          <w:tcPr>
            <w:tcW w:w="725" w:type="dxa"/>
            <w:vAlign w:val="center"/>
          </w:tcPr>
          <w:p>
            <w:pPr>
              <w:jc w:val="left"/>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743" w:type="dxa"/>
            <w:vAlign w:val="center"/>
          </w:tcPr>
          <w:p>
            <w:pPr>
              <w:numPr>
                <w:ilvl w:val="0"/>
                <w:numId w:val="0"/>
              </w:numPr>
              <w:ind w:left="425" w:leftChars="0" w:hanging="425" w:firstLineChars="0"/>
              <w:jc w:val="left"/>
              <w:rPr>
                <w:rFonts w:hint="eastAsia" w:ascii="仿宋_GB2312" w:hAnsi="仿宋_GB2312" w:eastAsia="仿宋_GB2312" w:cs="仿宋_GB2312"/>
                <w:sz w:val="21"/>
                <w:szCs w:val="21"/>
              </w:rPr>
            </w:pPr>
            <w:r>
              <w:rPr>
                <w:rFonts w:hint="eastAsia" w:ascii="仿宋_GB2312" w:hAnsi="仿宋_GB2312" w:eastAsia="仿宋_GB2312" w:cs="仿宋_GB2312"/>
                <w:kern w:val="2"/>
                <w:sz w:val="21"/>
                <w:szCs w:val="21"/>
                <w:lang w:val="en-US" w:eastAsia="zh-CN" w:bidi="ar-SA"/>
              </w:rPr>
              <w:t>42.</w:t>
            </w:r>
          </w:p>
        </w:tc>
        <w:tc>
          <w:tcPr>
            <w:tcW w:w="8258" w:type="dxa"/>
            <w:vAlign w:val="center"/>
          </w:tcPr>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净化空调系统的调试和试运转应在洁净室建筑装饰装修验收合格和各种管线吹扫及试压等工序完成后进行。</w:t>
            </w:r>
          </w:p>
        </w:tc>
        <w:tc>
          <w:tcPr>
            <w:tcW w:w="725" w:type="dxa"/>
            <w:vAlign w:val="center"/>
          </w:tcPr>
          <w:p>
            <w:pPr>
              <w:jc w:val="left"/>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43" w:type="dxa"/>
            <w:vAlign w:val="center"/>
          </w:tcPr>
          <w:p>
            <w:pPr>
              <w:numPr>
                <w:ilvl w:val="0"/>
                <w:numId w:val="0"/>
              </w:numPr>
              <w:ind w:left="425" w:leftChars="0" w:hanging="425" w:firstLineChars="0"/>
              <w:jc w:val="left"/>
              <w:rPr>
                <w:rFonts w:hint="eastAsia" w:ascii="仿宋_GB2312" w:hAnsi="仿宋_GB2312" w:eastAsia="仿宋_GB2312" w:cs="仿宋_GB2312"/>
                <w:sz w:val="21"/>
                <w:szCs w:val="21"/>
              </w:rPr>
            </w:pPr>
            <w:r>
              <w:rPr>
                <w:rFonts w:hint="eastAsia" w:ascii="仿宋_GB2312" w:hAnsi="仿宋_GB2312" w:eastAsia="仿宋_GB2312" w:cs="仿宋_GB2312"/>
                <w:kern w:val="2"/>
                <w:sz w:val="21"/>
                <w:szCs w:val="21"/>
                <w:lang w:val="en-US" w:eastAsia="zh-CN" w:bidi="ar-SA"/>
              </w:rPr>
              <w:t>43</w:t>
            </w:r>
          </w:p>
        </w:tc>
        <w:tc>
          <w:tcPr>
            <w:tcW w:w="8258" w:type="dxa"/>
            <w:vAlign w:val="center"/>
          </w:tcPr>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系统施工全过程应有标准化操作手册做为指导文件。</w:t>
            </w:r>
          </w:p>
        </w:tc>
        <w:tc>
          <w:tcPr>
            <w:tcW w:w="725" w:type="dxa"/>
            <w:vAlign w:val="center"/>
          </w:tcPr>
          <w:p>
            <w:pPr>
              <w:jc w:val="left"/>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43" w:type="dxa"/>
            <w:vAlign w:val="center"/>
          </w:tcPr>
          <w:p>
            <w:pPr>
              <w:numPr>
                <w:ilvl w:val="0"/>
                <w:numId w:val="0"/>
              </w:numPr>
              <w:ind w:left="425" w:leftChars="0" w:hanging="425" w:firstLineChars="0"/>
              <w:jc w:val="left"/>
              <w:rPr>
                <w:rFonts w:hint="eastAsia" w:ascii="仿宋_GB2312" w:hAnsi="仿宋_GB2312" w:eastAsia="仿宋_GB2312" w:cs="仿宋_GB2312"/>
                <w:sz w:val="21"/>
                <w:szCs w:val="21"/>
              </w:rPr>
            </w:pPr>
            <w:r>
              <w:rPr>
                <w:rFonts w:hint="eastAsia" w:ascii="仿宋_GB2312" w:hAnsi="仿宋_GB2312" w:eastAsia="仿宋_GB2312" w:cs="仿宋_GB2312"/>
                <w:kern w:val="2"/>
                <w:sz w:val="21"/>
                <w:szCs w:val="21"/>
                <w:lang w:val="en-US" w:eastAsia="zh-CN" w:bidi="ar-SA"/>
              </w:rPr>
              <w:t>44</w:t>
            </w:r>
          </w:p>
        </w:tc>
        <w:tc>
          <w:tcPr>
            <w:tcW w:w="8258" w:type="dxa"/>
            <w:vAlign w:val="center"/>
          </w:tcPr>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及时清运工程施工过程中产生的建筑垃圾。</w:t>
            </w:r>
          </w:p>
        </w:tc>
        <w:tc>
          <w:tcPr>
            <w:tcW w:w="725" w:type="dxa"/>
            <w:vAlign w:val="center"/>
          </w:tcPr>
          <w:p>
            <w:pPr>
              <w:jc w:val="left"/>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43" w:type="dxa"/>
            <w:vAlign w:val="center"/>
          </w:tcPr>
          <w:p>
            <w:pPr>
              <w:numPr>
                <w:ilvl w:val="0"/>
                <w:numId w:val="0"/>
              </w:numPr>
              <w:ind w:left="425" w:leftChars="0" w:hanging="425" w:firstLineChars="0"/>
              <w:jc w:val="left"/>
              <w:rPr>
                <w:rFonts w:hint="eastAsia" w:ascii="仿宋_GB2312" w:hAnsi="仿宋_GB2312" w:eastAsia="仿宋_GB2312" w:cs="仿宋_GB2312"/>
                <w:sz w:val="21"/>
                <w:szCs w:val="21"/>
              </w:rPr>
            </w:pPr>
            <w:r>
              <w:rPr>
                <w:rFonts w:hint="eastAsia" w:ascii="仿宋_GB2312" w:hAnsi="仿宋_GB2312" w:eastAsia="仿宋_GB2312" w:cs="仿宋_GB2312"/>
                <w:kern w:val="2"/>
                <w:sz w:val="21"/>
                <w:szCs w:val="21"/>
                <w:lang w:val="en-US" w:eastAsia="zh-CN" w:bidi="ar-SA"/>
              </w:rPr>
              <w:t>45</w:t>
            </w:r>
          </w:p>
        </w:tc>
        <w:tc>
          <w:tcPr>
            <w:tcW w:w="8258" w:type="dxa"/>
            <w:vAlign w:val="center"/>
          </w:tcPr>
          <w:p>
            <w:pPr>
              <w:jc w:val="left"/>
              <w:rPr>
                <w:rStyle w:val="16"/>
                <w:rFonts w:hint="eastAsia" w:ascii="仿宋_GB2312" w:hAnsi="仿宋_GB2312" w:eastAsia="仿宋_GB2312" w:cs="仿宋_GB2312"/>
                <w:sz w:val="21"/>
                <w:szCs w:val="21"/>
              </w:rPr>
            </w:pPr>
            <w:r>
              <w:rPr>
                <w:rStyle w:val="16"/>
                <w:rFonts w:hint="eastAsia" w:ascii="仿宋_GB2312" w:hAnsi="仿宋_GB2312" w:eastAsia="仿宋_GB2312" w:cs="仿宋_GB2312"/>
                <w:sz w:val="21"/>
                <w:szCs w:val="21"/>
              </w:rPr>
              <w:t>鼓励使用绿色建材。</w:t>
            </w:r>
          </w:p>
        </w:tc>
        <w:tc>
          <w:tcPr>
            <w:tcW w:w="725" w:type="dxa"/>
            <w:vAlign w:val="center"/>
          </w:tcPr>
          <w:p>
            <w:pPr>
              <w:jc w:val="left"/>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46</w:t>
            </w:r>
          </w:p>
        </w:tc>
        <w:tc>
          <w:tcPr>
            <w:tcW w:w="8258" w:type="dxa"/>
            <w:vAlign w:val="center"/>
          </w:tcPr>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引用的标准和规范</w:t>
            </w:r>
            <w:r>
              <w:rPr>
                <w:rFonts w:hint="eastAsia" w:ascii="仿宋_GB2312" w:hAnsi="仿宋_GB2312" w:eastAsia="仿宋_GB2312" w:cs="仿宋_GB2312"/>
                <w:sz w:val="21"/>
                <w:szCs w:val="21"/>
              </w:rPr>
              <w:t>包含但不仅限于以下规范、标准：</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《制冷系统及热泵安全与环境要求》GB/T 9237-2017/XG2-2020</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《工业建筑供暖通风与空气调节设计规范》GB50019-2015</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《离心式或螺杆式冷水机组试验的标准要求》美国ARI标准550</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《蒸气压缩循环冷水(热泵)机组第1部分:工业或商业用及类似用途的冷水(热泵)机组》GB/T 18430.1-2007</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《机械设备安装工程施工及验收通用规范》GB50231-2009</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《冷水机组能效限定值及能效等级》GB19577-2015</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《蒸汽压缩循环冷水（热泵）机组性能试验方法》GB/T10870-2014</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《制冷装置用压力容器》NB/T 47012-2020</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《旋转电机整体结构的防护等级（IP代码）分级》GB/T 4942-2021</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《空调与制冷用电磁阀》JB/T 4119-2022</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《制冷剂编号方法和安全性分类》GB/T 7778-2017/XG2-2020</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《智能建筑设计标准》GB/T 50314-2015</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《机电产品包装通用技术条件》GB/T 13384-2008</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《制冷设备、空气分离设备安装工程施工及验收规范》GB50274-2010</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《离心泵技术条件》GB/T5656-2008</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《离心泵效率》GB/13007-2011</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《泵产品涂漆技术条件》JB/T4297-2021</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《回转动力泵水力性能验收试验1级、2级和3级》GB/T 3216-2016/XG1-2018</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《洁净厂房设计规范》GB50073-2013</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《洁净室施工及验收规范》GB50591-2010</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《通风与空调施工质量验收规范》GB50243-2016</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《工业企业噪声控制设计规范》GB/T 50087-2013</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《声环境质量标准》GB3096-2008</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《工业企业厂界环境噪声排放标准》GB12348-2008</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《空气处理机组安全要求》GB10891-1989</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《空气过滤器》GB/T14295-2019</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《组合式空调机组》GB/T14294-2008</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《建筑设计防火规范》（2018版）GB50016-2014；</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《建筑机电工程抗震设计规范》GB50981-2014；</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《建筑与市政工程抗震通用规范》 GB55002-2021；</w:t>
            </w:r>
          </w:p>
          <w:p>
            <w:pPr>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《锂离子电池工厂设计标准》（GB51377-2019）等。</w:t>
            </w:r>
          </w:p>
          <w:p>
            <w:pPr>
              <w:jc w:val="left"/>
              <w:rPr>
                <w:rStyle w:val="16"/>
                <w:rFonts w:hint="eastAsia" w:ascii="仿宋_GB2312" w:hAnsi="仿宋_GB2312" w:eastAsia="仿宋_GB2312" w:cs="仿宋_GB2312"/>
                <w:sz w:val="21"/>
                <w:szCs w:val="21"/>
              </w:rPr>
            </w:pPr>
            <w:r>
              <w:rPr>
                <w:rFonts w:hint="eastAsia" w:ascii="仿宋_GB2312" w:hAnsi="仿宋_GB2312" w:eastAsia="仿宋_GB2312" w:cs="仿宋_GB2312"/>
                <w:sz w:val="21"/>
                <w:szCs w:val="21"/>
              </w:rPr>
              <w:t>所有标准、规范如有最新版本，按有最新版执行。</w:t>
            </w:r>
          </w:p>
        </w:tc>
        <w:tc>
          <w:tcPr>
            <w:tcW w:w="725" w:type="dxa"/>
            <w:vAlign w:val="center"/>
          </w:tcPr>
          <w:p>
            <w:pPr>
              <w:jc w:val="left"/>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9726" w:type="dxa"/>
            <w:gridSpan w:val="3"/>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设备、材料要求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726" w:type="dxa"/>
            <w:gridSpan w:val="3"/>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高效送风口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47</w:t>
            </w:r>
          </w:p>
        </w:tc>
        <w:tc>
          <w:tcPr>
            <w:tcW w:w="8258" w:type="dxa"/>
            <w:vAlign w:val="center"/>
          </w:tcPr>
          <w:p>
            <w:pP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rPr>
              <w:t>过滤器过滤等级</w:t>
            </w:r>
            <w:r>
              <w:rPr>
                <w:rFonts w:hint="eastAsia" w:ascii="仿宋_GB2312" w:hAnsi="仿宋_GB2312" w:eastAsia="仿宋_GB2312" w:cs="仿宋_GB2312"/>
                <w:szCs w:val="21"/>
                <w:lang w:val="en-US" w:eastAsia="zh-CN"/>
              </w:rPr>
              <w:t>不</w:t>
            </w:r>
            <w:r>
              <w:rPr>
                <w:rFonts w:hint="eastAsia" w:ascii="仿宋_GB2312" w:hAnsi="仿宋_GB2312" w:eastAsia="仿宋_GB2312" w:cs="仿宋_GB2312"/>
                <w:szCs w:val="21"/>
              </w:rPr>
              <w:t>应</w:t>
            </w:r>
            <w:r>
              <w:rPr>
                <w:rFonts w:hint="eastAsia" w:ascii="仿宋_GB2312" w:hAnsi="仿宋_GB2312" w:eastAsia="仿宋_GB2312" w:cs="仿宋_GB2312"/>
                <w:szCs w:val="21"/>
                <w:lang w:val="en-US" w:eastAsia="zh-CN"/>
              </w:rPr>
              <w:t>低于</w:t>
            </w:r>
            <w:r>
              <w:rPr>
                <w:rFonts w:hint="eastAsia" w:ascii="仿宋_GB2312" w:hAnsi="仿宋_GB2312" w:eastAsia="仿宋_GB2312" w:cs="仿宋_GB2312"/>
                <w:szCs w:val="21"/>
              </w:rPr>
              <w:t>为H1</w:t>
            </w:r>
            <w:r>
              <w:rPr>
                <w:rFonts w:hint="eastAsia" w:ascii="仿宋_GB2312" w:hAnsi="仿宋_GB2312" w:eastAsia="仿宋_GB2312" w:cs="仿宋_GB2312"/>
                <w:szCs w:val="21"/>
                <w:lang w:val="en-US" w:eastAsia="zh-CN"/>
              </w:rPr>
              <w:t>1</w:t>
            </w:r>
            <w:r>
              <w:rPr>
                <w:rFonts w:hint="eastAsia" w:ascii="仿宋_GB2312" w:hAnsi="仿宋_GB2312" w:eastAsia="仿宋_GB2312" w:cs="仿宋_GB2312"/>
                <w:szCs w:val="21"/>
              </w:rPr>
              <w:t>，采用铝合金边框，液槽密封。</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根据设计）</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43"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48</w:t>
            </w:r>
          </w:p>
        </w:tc>
        <w:tc>
          <w:tcPr>
            <w:tcW w:w="8258"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每个过滤器外标有出厂合格证等标识，并附过滤效率测试报告。</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49</w:t>
            </w:r>
          </w:p>
        </w:tc>
        <w:tc>
          <w:tcPr>
            <w:tcW w:w="8258"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静压箱采用1.2mm厚镀锌钢板，所有焊缝满焊、平整、无变形、无泄漏。静压箱表面采用静电喷涂。</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50</w:t>
            </w:r>
          </w:p>
        </w:tc>
        <w:tc>
          <w:tcPr>
            <w:tcW w:w="8258"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各零部件要耐臭氧、甲醛消毒。</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51</w:t>
            </w:r>
          </w:p>
        </w:tc>
        <w:tc>
          <w:tcPr>
            <w:tcW w:w="8258"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静压箱带PAO检测孔和过滤器压差检测孔。</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52</w:t>
            </w:r>
          </w:p>
        </w:tc>
        <w:tc>
          <w:tcPr>
            <w:tcW w:w="8258"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散流板为不锈钢材质，其厚度不小于1.0mm, 表面光泽无缺陷。</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kern w:val="2"/>
                <w:sz w:val="21"/>
                <w:szCs w:val="21"/>
                <w:lang w:val="en-US" w:eastAsia="zh-CN" w:bidi="ar-SA"/>
              </w:rPr>
              <w:t>53</w:t>
            </w:r>
          </w:p>
        </w:tc>
        <w:tc>
          <w:tcPr>
            <w:tcW w:w="8258" w:type="dxa"/>
            <w:vAlign w:val="center"/>
          </w:tcPr>
          <w:p>
            <w:pPr>
              <w:widowControl/>
              <w:numPr>
                <w:ilvl w:val="0"/>
                <w:numId w:val="38"/>
              </w:numPr>
              <w:spacing w:line="360" w:lineRule="auto"/>
              <w:ind w:left="425" w:leftChars="0" w:hanging="425" w:firstLineChars="0"/>
              <w:rPr>
                <w:rFonts w:hint="eastAsia" w:ascii="仿宋_GB2312" w:hAnsi="仿宋_GB2312" w:eastAsia="仿宋_GB2312" w:cs="仿宋_GB2312"/>
                <w:szCs w:val="21"/>
              </w:rPr>
            </w:pPr>
            <w:r>
              <w:rPr>
                <w:rFonts w:hint="eastAsia" w:ascii="仿宋_GB2312" w:hAnsi="仿宋_GB2312" w:eastAsia="仿宋_GB2312" w:cs="仿宋_GB2312"/>
                <w:szCs w:val="21"/>
              </w:rPr>
              <w:t>高效送风口采用下安装结构，安装洞按静压箱配做，在工厂加工密封好，出节点图。</w:t>
            </w:r>
          </w:p>
          <w:p>
            <w:pPr>
              <w:widowControl/>
              <w:numPr>
                <w:ilvl w:val="0"/>
                <w:numId w:val="38"/>
              </w:numPr>
              <w:spacing w:line="360" w:lineRule="auto"/>
              <w:ind w:left="425" w:leftChars="0" w:hanging="425" w:firstLineChars="0"/>
              <w:rPr>
                <w:rFonts w:hint="eastAsia" w:ascii="仿宋_GB2312" w:hAnsi="仿宋_GB2312" w:eastAsia="仿宋_GB2312" w:cs="仿宋_GB2312"/>
                <w:szCs w:val="21"/>
              </w:rPr>
            </w:pPr>
            <w:r>
              <w:rPr>
                <w:rFonts w:hint="eastAsia" w:ascii="仿宋_GB2312" w:hAnsi="仿宋_GB2312" w:eastAsia="仿宋_GB2312" w:cs="仿宋_GB2312"/>
                <w:szCs w:val="21"/>
              </w:rPr>
              <w:t>高效送风口规格数量按原设计设备表(要经过确认)，</w:t>
            </w:r>
          </w:p>
          <w:p>
            <w:pPr>
              <w:widowControl/>
              <w:numPr>
                <w:ilvl w:val="0"/>
                <w:numId w:val="38"/>
              </w:numPr>
              <w:spacing w:line="360" w:lineRule="auto"/>
              <w:ind w:left="425" w:leftChars="0" w:hanging="425" w:firstLineChars="0"/>
              <w:rPr>
                <w:rFonts w:hint="eastAsia" w:ascii="仿宋_GB2312" w:hAnsi="仿宋_GB2312" w:eastAsia="仿宋_GB2312" w:cs="仿宋_GB2312"/>
                <w:szCs w:val="21"/>
              </w:rPr>
            </w:pPr>
            <w:r>
              <w:rPr>
                <w:rFonts w:hint="eastAsia" w:ascii="仿宋_GB2312" w:hAnsi="仿宋_GB2312" w:eastAsia="仿宋_GB2312" w:cs="仿宋_GB2312"/>
                <w:szCs w:val="21"/>
              </w:rPr>
              <w:t>高效送风口安装吊点不少于四个，预定板密封接触面水平缝隙、受力均匀。</w:t>
            </w:r>
          </w:p>
          <w:p>
            <w:pPr>
              <w:widowControl/>
              <w:numPr>
                <w:ilvl w:val="0"/>
                <w:numId w:val="38"/>
              </w:numPr>
              <w:spacing w:line="360" w:lineRule="auto"/>
              <w:ind w:left="425" w:leftChars="0" w:hanging="425" w:firstLineChars="0"/>
              <w:rPr>
                <w:rFonts w:hint="eastAsia" w:ascii="仿宋_GB2312" w:hAnsi="仿宋_GB2312" w:eastAsia="仿宋_GB2312" w:cs="仿宋_GB2312"/>
                <w:szCs w:val="21"/>
              </w:rPr>
            </w:pPr>
            <w:r>
              <w:rPr>
                <w:rFonts w:hint="eastAsia" w:ascii="仿宋_GB2312" w:hAnsi="仿宋_GB2312" w:eastAsia="仿宋_GB2312" w:cs="仿宋_GB2312"/>
                <w:szCs w:val="21"/>
              </w:rPr>
              <w:t>静压箱与顶板安装密封出节点图。</w:t>
            </w:r>
          </w:p>
          <w:p>
            <w:pPr>
              <w:numPr>
                <w:ilvl w:val="0"/>
                <w:numId w:val="38"/>
              </w:numPr>
              <w:ind w:left="425" w:leftChars="0" w:hanging="425" w:firstLineChars="0"/>
              <w:rPr>
                <w:rFonts w:hint="eastAsia" w:ascii="仿宋_GB2312" w:hAnsi="仿宋_GB2312" w:eastAsia="仿宋_GB2312" w:cs="仿宋_GB2312"/>
                <w:szCs w:val="21"/>
              </w:rPr>
            </w:pPr>
            <w:r>
              <w:rPr>
                <w:rFonts w:hint="eastAsia" w:ascii="仿宋_GB2312" w:hAnsi="仿宋_GB2312" w:eastAsia="仿宋_GB2312" w:cs="仿宋_GB2312"/>
                <w:szCs w:val="21"/>
              </w:rPr>
              <w:t>按要求做开箱检验、安装测试、检漏测试，配合空调系统调试做洁净度测试，并出报告文件。</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9726" w:type="dxa"/>
            <w:gridSpan w:val="3"/>
            <w:vAlign w:val="center"/>
          </w:tcPr>
          <w:p>
            <w:pPr>
              <w:numPr>
                <w:ilvl w:val="0"/>
                <w:numId w:val="39"/>
              </w:numPr>
              <w:ind w:left="420" w:leftChars="0" w:hanging="420" w:firstLineChars="0"/>
              <w:jc w:val="both"/>
              <w:rPr>
                <w:rFonts w:hint="eastAsia" w:ascii="仿宋_GB2312" w:hAnsi="仿宋_GB2312" w:eastAsia="仿宋_GB2312" w:cs="仿宋_GB2312"/>
                <w:szCs w:val="21"/>
              </w:rPr>
            </w:pPr>
            <w:r>
              <w:rPr>
                <w:rFonts w:hint="eastAsia" w:ascii="仿宋_GB2312" w:hAnsi="仿宋_GB2312" w:eastAsia="仿宋_GB2312" w:cs="仿宋_GB2312"/>
                <w:szCs w:val="21"/>
              </w:rPr>
              <w:t>门铰式百叶风口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43"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53</w:t>
            </w:r>
          </w:p>
        </w:tc>
        <w:tc>
          <w:tcPr>
            <w:tcW w:w="8258" w:type="dxa"/>
            <w:vAlign w:val="center"/>
          </w:tcPr>
          <w:p>
            <w:pPr>
              <w:numPr>
                <w:ilvl w:val="0"/>
                <w:numId w:val="40"/>
              </w:numPr>
              <w:ind w:left="425" w:leftChars="0" w:hanging="425" w:firstLineChars="0"/>
              <w:jc w:val="left"/>
              <w:rPr>
                <w:rStyle w:val="16"/>
                <w:rFonts w:hint="eastAsia" w:ascii="仿宋_GB2312" w:hAnsi="仿宋_GB2312" w:eastAsia="仿宋_GB2312" w:cs="仿宋_GB2312"/>
                <w:sz w:val="21"/>
                <w:szCs w:val="21"/>
              </w:rPr>
            </w:pPr>
            <w:r>
              <w:rPr>
                <w:rFonts w:hint="eastAsia" w:ascii="仿宋_GB2312" w:hAnsi="仿宋_GB2312" w:eastAsia="仿宋_GB2312" w:cs="仿宋_GB2312"/>
                <w:szCs w:val="21"/>
              </w:rPr>
              <w:t>回、排风口选用铝合金静电喷塑，不可调节百叶。铝合金边框，δ≥1.0mm，颜色同彩钢板材料色（白色），带活动回风不锈钢过滤网，能方便抽出清洗，磁吸关闭，并带有密封胶条。铝合金材质应优良，光泽无缺陷。</w:t>
            </w:r>
          </w:p>
          <w:p>
            <w:pPr>
              <w:numPr>
                <w:ilvl w:val="0"/>
                <w:numId w:val="4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szCs w:val="21"/>
              </w:rPr>
              <w:t>回风口规格数量按原设计设备表，要经过确认。</w:t>
            </w:r>
          </w:p>
          <w:p>
            <w:pPr>
              <w:numPr>
                <w:ilvl w:val="0"/>
                <w:numId w:val="4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szCs w:val="21"/>
              </w:rPr>
              <w:t>回风夹墙接风口的立板洞、顶板洞工厂加工预置，机械成型，封口包边密封无泄漏。</w:t>
            </w:r>
          </w:p>
          <w:p>
            <w:pPr>
              <w:numPr>
                <w:ilvl w:val="0"/>
                <w:numId w:val="40"/>
              </w:numPr>
              <w:ind w:left="425" w:leftChars="0" w:hanging="425" w:firstLineChars="0"/>
              <w:jc w:val="left"/>
              <w:rPr>
                <w:rStyle w:val="16"/>
                <w:rFonts w:hint="eastAsia" w:ascii="仿宋_GB2312" w:hAnsi="仿宋_GB2312" w:eastAsia="仿宋_GB2312" w:cs="仿宋_GB2312"/>
                <w:sz w:val="21"/>
                <w:szCs w:val="21"/>
              </w:rPr>
            </w:pPr>
            <w:r>
              <w:rPr>
                <w:rFonts w:hint="eastAsia" w:ascii="仿宋_GB2312" w:hAnsi="仿宋_GB2312" w:eastAsia="仿宋_GB2312" w:cs="仿宋_GB2312"/>
                <w:szCs w:val="21"/>
              </w:rPr>
              <w:t>下口安装百叶风口后用胶密封，胶线均匀牢固无气泡。</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9726" w:type="dxa"/>
            <w:gridSpan w:val="3"/>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FFU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43"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54</w:t>
            </w:r>
          </w:p>
        </w:tc>
        <w:tc>
          <w:tcPr>
            <w:tcW w:w="8258" w:type="dxa"/>
            <w:vAlign w:val="center"/>
          </w:tcPr>
          <w:p>
            <w:pPr>
              <w:rPr>
                <w:rFonts w:hint="eastAsia" w:ascii="仿宋_GB2312" w:hAnsi="仿宋_GB2312" w:eastAsia="仿宋_GB2312" w:cs="仿宋_GB2312"/>
                <w:sz w:val="20"/>
                <w:szCs w:val="20"/>
              </w:rPr>
            </w:pPr>
            <w:r>
              <w:rPr>
                <w:rFonts w:hint="eastAsia" w:ascii="仿宋_GB2312" w:hAnsi="仿宋_GB2312" w:eastAsia="仿宋_GB2312" w:cs="仿宋_GB2312"/>
                <w:sz w:val="20"/>
                <w:szCs w:val="20"/>
              </w:rPr>
              <w:t>如需要设备自带FFU来保证设备内环境洁净度时，应满足以下要求：</w:t>
            </w:r>
          </w:p>
          <w:p>
            <w:pPr>
              <w:numPr>
                <w:ilvl w:val="0"/>
                <w:numId w:val="0"/>
              </w:numPr>
              <w:ind w:leftChars="0"/>
              <w:rPr>
                <w:rFonts w:hint="eastAsia" w:ascii="仿宋_GB2312" w:hAnsi="仿宋_GB2312" w:eastAsia="仿宋_GB2312" w:cs="仿宋_GB2312"/>
                <w:szCs w:val="21"/>
              </w:rPr>
            </w:pPr>
            <w:r>
              <w:rPr>
                <w:rFonts w:hint="eastAsia" w:ascii="仿宋_GB2312" w:hAnsi="仿宋_GB2312" w:eastAsia="仿宋_GB2312" w:cs="仿宋_GB2312"/>
                <w:sz w:val="20"/>
                <w:szCs w:val="20"/>
                <w:lang w:val="en-US" w:eastAsia="zh-CN"/>
              </w:rPr>
              <w:t>a.</w:t>
            </w:r>
            <w:r>
              <w:rPr>
                <w:rFonts w:hint="eastAsia" w:ascii="仿宋_GB2312" w:hAnsi="仿宋_GB2312" w:eastAsia="仿宋_GB2312" w:cs="仿宋_GB2312"/>
                <w:sz w:val="20"/>
                <w:szCs w:val="20"/>
              </w:rPr>
              <w:t>万级设备内FFU覆盖率应不低于30%，高效过滤器等级应不低于H12；1000级设备内FFU覆盖率应不低于50%，高效过滤器等级应不低于H13；100级设备FFU覆盖率应不低于80%，高效过滤器等级应不低于H14。</w:t>
            </w:r>
            <w:r>
              <w:rPr>
                <w:rFonts w:hint="eastAsia" w:ascii="仿宋_GB2312" w:hAnsi="仿宋_GB2312" w:eastAsia="仿宋_GB2312" w:cs="仿宋_GB2312"/>
                <w:sz w:val="20"/>
                <w:szCs w:val="20"/>
              </w:rPr>
              <w:br w:type="textWrapping"/>
            </w:r>
            <w:r>
              <w:rPr>
                <w:rFonts w:hint="eastAsia" w:ascii="仿宋_GB2312" w:hAnsi="仿宋_GB2312" w:eastAsia="仿宋_GB2312" w:cs="仿宋_GB2312"/>
                <w:sz w:val="20"/>
                <w:szCs w:val="20"/>
                <w:lang w:val="en-US" w:eastAsia="zh-CN"/>
              </w:rPr>
              <w:t>b.</w:t>
            </w:r>
            <w:r>
              <w:rPr>
                <w:rFonts w:hint="eastAsia" w:ascii="仿宋_GB2312" w:hAnsi="仿宋_GB2312" w:eastAsia="仿宋_GB2312" w:cs="仿宋_GB2312"/>
                <w:sz w:val="20"/>
                <w:szCs w:val="20"/>
              </w:rPr>
              <w:t>FFU安装边缘密封性良好，密封条无破损。</w:t>
            </w:r>
            <w:r>
              <w:rPr>
                <w:rFonts w:hint="eastAsia" w:ascii="仿宋_GB2312" w:hAnsi="仿宋_GB2312" w:eastAsia="仿宋_GB2312" w:cs="仿宋_GB2312"/>
                <w:sz w:val="20"/>
                <w:szCs w:val="20"/>
              </w:rPr>
              <w:br w:type="textWrapping"/>
            </w:r>
            <w:r>
              <w:rPr>
                <w:rFonts w:hint="eastAsia" w:ascii="仿宋_GB2312" w:hAnsi="仿宋_GB2312" w:eastAsia="仿宋_GB2312" w:cs="仿宋_GB2312"/>
                <w:sz w:val="20"/>
                <w:szCs w:val="20"/>
                <w:lang w:val="en-US" w:eastAsia="zh-CN"/>
              </w:rPr>
              <w:t>c.</w:t>
            </w:r>
            <w:r>
              <w:rPr>
                <w:rFonts w:hint="eastAsia" w:ascii="仿宋_GB2312" w:hAnsi="仿宋_GB2312" w:eastAsia="仿宋_GB2312" w:cs="仿宋_GB2312"/>
                <w:sz w:val="20"/>
                <w:szCs w:val="20"/>
              </w:rPr>
              <w:t>FFU 外壳材料应为不锈钢或油漆表面，且无破损等外观缺陷，禁止使用木材或镀锌铁皮；千级、百级及以上应优先选用不锈钢；</w:t>
            </w:r>
            <w:r>
              <w:rPr>
                <w:rFonts w:hint="eastAsia" w:ascii="仿宋_GB2312" w:hAnsi="仿宋_GB2312" w:eastAsia="仿宋_GB2312" w:cs="仿宋_GB2312"/>
                <w:sz w:val="20"/>
                <w:szCs w:val="20"/>
              </w:rPr>
              <w:br w:type="textWrapping"/>
            </w:r>
            <w:r>
              <w:rPr>
                <w:rFonts w:hint="eastAsia" w:ascii="仿宋_GB2312" w:hAnsi="仿宋_GB2312" w:eastAsia="仿宋_GB2312" w:cs="仿宋_GB2312"/>
                <w:sz w:val="20"/>
                <w:szCs w:val="20"/>
                <w:lang w:val="en-US" w:eastAsia="zh-CN"/>
              </w:rPr>
              <w:t>d.</w:t>
            </w:r>
            <w:r>
              <w:rPr>
                <w:rFonts w:hint="eastAsia" w:ascii="仿宋_GB2312" w:hAnsi="仿宋_GB2312" w:eastAsia="仿宋_GB2312" w:cs="仿宋_GB2312"/>
                <w:sz w:val="20"/>
                <w:szCs w:val="20"/>
              </w:rPr>
              <w:t>FFU应带有运行状况指示装置，方便日常检查实际运行状况。</w:t>
            </w:r>
            <w:r>
              <w:rPr>
                <w:rFonts w:hint="eastAsia" w:ascii="仿宋_GB2312" w:hAnsi="仿宋_GB2312" w:eastAsia="仿宋_GB2312" w:cs="仿宋_GB2312"/>
                <w:sz w:val="20"/>
                <w:szCs w:val="20"/>
              </w:rPr>
              <w:br w:type="textWrapping"/>
            </w:r>
            <w:r>
              <w:rPr>
                <w:rFonts w:hint="eastAsia" w:ascii="仿宋_GB2312" w:hAnsi="仿宋_GB2312" w:eastAsia="仿宋_GB2312" w:cs="仿宋_GB2312"/>
                <w:sz w:val="20"/>
                <w:szCs w:val="20"/>
                <w:lang w:val="en-US" w:eastAsia="zh-CN"/>
              </w:rPr>
              <w:t>e.</w:t>
            </w:r>
            <w:r>
              <w:rPr>
                <w:rFonts w:hint="eastAsia" w:ascii="仿宋_GB2312" w:hAnsi="仿宋_GB2312" w:eastAsia="仿宋_GB2312" w:cs="仿宋_GB2312"/>
                <w:sz w:val="20"/>
                <w:szCs w:val="20"/>
              </w:rPr>
              <w:t>FFU性能：泄漏扫描应无泄漏；风速测试应满足 0.45±20% m/s。</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726" w:type="dxa"/>
            <w:gridSpan w:val="3"/>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普通风口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55</w:t>
            </w:r>
          </w:p>
        </w:tc>
        <w:tc>
          <w:tcPr>
            <w:tcW w:w="8258"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外墙上的排风出口须安装铝合金固定百叶风口，其颜色与整体墙面保持一致</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56</w:t>
            </w:r>
          </w:p>
        </w:tc>
        <w:tc>
          <w:tcPr>
            <w:tcW w:w="8258"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防雨百叶带不锈钢防虫网，防虫网目数50目。风口底板水平向下倾斜15度，以利于雨水排放。</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726" w:type="dxa"/>
            <w:gridSpan w:val="3"/>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手动风阀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57</w:t>
            </w:r>
          </w:p>
        </w:tc>
        <w:tc>
          <w:tcPr>
            <w:tcW w:w="8258" w:type="dxa"/>
            <w:vAlign w:val="center"/>
          </w:tcPr>
          <w:p>
            <w:pPr>
              <w:rPr>
                <w:rFonts w:hint="eastAsia" w:ascii="仿宋_GB2312" w:hAnsi="仿宋_GB2312" w:eastAsia="仿宋_GB2312" w:cs="仿宋_GB2312"/>
                <w:bCs/>
                <w:kern w:val="44"/>
                <w:szCs w:val="21"/>
              </w:rPr>
            </w:pPr>
            <w:r>
              <w:rPr>
                <w:rFonts w:hint="eastAsia" w:ascii="仿宋_GB2312" w:hAnsi="仿宋_GB2312" w:eastAsia="仿宋_GB2312" w:cs="仿宋_GB2312"/>
                <w:szCs w:val="21"/>
              </w:rPr>
              <w:t>风</w:t>
            </w:r>
            <w:r>
              <w:rPr>
                <w:rFonts w:hint="eastAsia" w:ascii="仿宋_GB2312" w:hAnsi="仿宋_GB2312" w:eastAsia="仿宋_GB2312" w:cs="仿宋_GB2312"/>
                <w:bCs/>
                <w:kern w:val="44"/>
                <w:szCs w:val="21"/>
              </w:rPr>
              <w:t>阀及配件为镀锌，叶片与阀体缝隙小于2mm，阀杆与阀体间应有防止泄露的密封件，</w:t>
            </w:r>
            <w:r>
              <w:rPr>
                <w:rFonts w:hint="eastAsia" w:ascii="仿宋_GB2312" w:hAnsi="仿宋_GB2312" w:eastAsia="仿宋_GB2312" w:cs="仿宋_GB2312"/>
                <w:szCs w:val="21"/>
              </w:rPr>
              <w:t>耐腐蚀，开启灵活。</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58</w:t>
            </w:r>
          </w:p>
        </w:tc>
        <w:tc>
          <w:tcPr>
            <w:tcW w:w="8258"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手动调节阀操作手柄应为蜗轮蜗杆。</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59</w:t>
            </w:r>
          </w:p>
        </w:tc>
        <w:tc>
          <w:tcPr>
            <w:tcW w:w="8258"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操作杆开启旋转方向一致，开度应有明确指示（0~90度）。阀门的开、闭度应无级调节。阀位指示定位牢靠，指示牌不易脱落或移位。转轴两端应有轴密，密封严密。</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60</w:t>
            </w:r>
          </w:p>
        </w:tc>
        <w:tc>
          <w:tcPr>
            <w:tcW w:w="8258"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风阀材质同相应系统风管材质，防火阀需有3C认证。</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726" w:type="dxa"/>
            <w:gridSpan w:val="3"/>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电动阀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61</w:t>
            </w:r>
          </w:p>
        </w:tc>
        <w:tc>
          <w:tcPr>
            <w:tcW w:w="8258" w:type="dxa"/>
            <w:vAlign w:val="center"/>
          </w:tcPr>
          <w:p>
            <w:pPr>
              <w:rPr>
                <w:rFonts w:hint="eastAsia" w:ascii="仿宋_GB2312" w:hAnsi="仿宋_GB2312" w:eastAsia="仿宋_GB2312" w:cs="仿宋_GB2312"/>
                <w:bCs/>
                <w:kern w:val="44"/>
                <w:szCs w:val="21"/>
              </w:rPr>
            </w:pPr>
            <w:r>
              <w:rPr>
                <w:rFonts w:hint="eastAsia" w:ascii="仿宋_GB2312" w:hAnsi="仿宋_GB2312" w:eastAsia="仿宋_GB2312" w:cs="仿宋_GB2312"/>
                <w:szCs w:val="21"/>
              </w:rPr>
              <w:t>风</w:t>
            </w:r>
            <w:r>
              <w:rPr>
                <w:rFonts w:hint="eastAsia" w:ascii="仿宋_GB2312" w:hAnsi="仿宋_GB2312" w:eastAsia="仿宋_GB2312" w:cs="仿宋_GB2312"/>
                <w:bCs/>
                <w:kern w:val="44"/>
                <w:szCs w:val="21"/>
              </w:rPr>
              <w:t xml:space="preserve">阀及配件为镀锌，叶片与阀体缝隙小于2mm，阀杆与阀体间应有防止泄露的密封件 </w:t>
            </w:r>
            <w:r>
              <w:rPr>
                <w:rFonts w:hint="eastAsia" w:ascii="仿宋_GB2312" w:hAnsi="仿宋_GB2312" w:eastAsia="仿宋_GB2312" w:cs="仿宋_GB2312"/>
                <w:szCs w:val="21"/>
              </w:rPr>
              <w:t>，耐腐蚀，开启灵活。</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62</w:t>
            </w:r>
          </w:p>
        </w:tc>
        <w:tc>
          <w:tcPr>
            <w:tcW w:w="8258"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角钢法兰连接方式，</w:t>
            </w:r>
            <w:r>
              <w:rPr>
                <w:rFonts w:hint="eastAsia" w:ascii="仿宋_GB2312" w:hAnsi="仿宋_GB2312" w:eastAsia="仿宋_GB2312" w:cs="仿宋_GB2312"/>
                <w:bCs/>
                <w:kern w:val="44"/>
                <w:szCs w:val="21"/>
              </w:rPr>
              <w:t>法兰规格应与风管相一致。严禁使用无法兰风管的连接形式。</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63</w:t>
            </w:r>
          </w:p>
        </w:tc>
        <w:tc>
          <w:tcPr>
            <w:tcW w:w="8258"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操作杆开启旋转方向一致，开度应有明确指示（0~90度）。阀门的开、闭度应无级调节。阀位指示定位牢靠，指示牌不易脱落或移位。转轴两端应有轴密，密封严密。</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64</w:t>
            </w:r>
          </w:p>
        </w:tc>
        <w:tc>
          <w:tcPr>
            <w:tcW w:w="8258"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带电动执行器，带阀位显示，并能输出阀位反馈信号给控制系统。</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743"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62</w:t>
            </w:r>
          </w:p>
        </w:tc>
        <w:tc>
          <w:tcPr>
            <w:tcW w:w="8258"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风阀叶片上带有密封条，保证关阀后，密封严密，且不易脱落。对送风机组进行变频运行控制；新风管电动阀与空调风机连锁，风机停时，关闭新风电动阀，风机运行时,打开新风电动阀。</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63</w:t>
            </w:r>
          </w:p>
        </w:tc>
        <w:tc>
          <w:tcPr>
            <w:tcW w:w="8258" w:type="dxa"/>
            <w:vAlign w:val="center"/>
          </w:tcPr>
          <w:p>
            <w:pPr>
              <w:rPr>
                <w:rFonts w:hint="eastAsia" w:ascii="仿宋_GB2312" w:hAnsi="仿宋_GB2312" w:eastAsia="仿宋_GB2312" w:cs="仿宋_GB2312"/>
                <w:szCs w:val="21"/>
                <w:lang w:val="zh-TW" w:eastAsia="zh-TW"/>
              </w:rPr>
            </w:pPr>
            <w:r>
              <w:rPr>
                <w:rFonts w:hint="eastAsia" w:ascii="仿宋_GB2312" w:hAnsi="仿宋_GB2312" w:eastAsia="仿宋_GB2312" w:cs="仿宋_GB2312"/>
                <w:szCs w:val="21"/>
                <w:lang w:val="zh-TW" w:eastAsia="zh-TW"/>
              </w:rPr>
              <w:t>电动阀门安装前，进行模拟动作试验。机械传动应灵活，无松动、卡滞现象。驱动器通电后，检查阀门开启、关闭行程是否能到位。</w:t>
            </w:r>
          </w:p>
          <w:p>
            <w:pPr>
              <w:rPr>
                <w:rFonts w:hint="eastAsia" w:ascii="仿宋_GB2312" w:hAnsi="仿宋_GB2312" w:eastAsia="仿宋_GB2312" w:cs="仿宋_GB2312"/>
                <w:szCs w:val="21"/>
                <w:lang w:val="zh-TW" w:eastAsia="zh-TW"/>
              </w:rPr>
            </w:pPr>
            <w:r>
              <w:rPr>
                <w:rFonts w:hint="eastAsia" w:ascii="仿宋_GB2312" w:hAnsi="仿宋_GB2312" w:eastAsia="仿宋_GB2312" w:cs="仿宋_GB2312"/>
                <w:szCs w:val="21"/>
                <w:lang w:val="zh-TW" w:eastAsia="zh-TW"/>
              </w:rPr>
              <w:t>空调电动阀阀组安装时，先安装阀体，执行器待接线时再进行安装，</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726" w:type="dxa"/>
            <w:gridSpan w:val="3"/>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消声器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64</w:t>
            </w:r>
          </w:p>
        </w:tc>
        <w:tc>
          <w:tcPr>
            <w:tcW w:w="8258"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bCs/>
                <w:kern w:val="44"/>
                <w:szCs w:val="21"/>
              </w:rPr>
              <w:t>消声器宜采用微穿孔板类型。消声器应采用角钢法兰连接，法兰尺寸不得小于风管法兰的尺寸。</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65</w:t>
            </w:r>
          </w:p>
        </w:tc>
        <w:tc>
          <w:tcPr>
            <w:tcW w:w="8258" w:type="dxa"/>
            <w:vAlign w:val="center"/>
          </w:tcPr>
          <w:p>
            <w:pPr>
              <w:rPr>
                <w:rFonts w:hint="eastAsia" w:ascii="仿宋_GB2312" w:hAnsi="仿宋_GB2312" w:eastAsia="仿宋_GB2312" w:cs="仿宋_GB2312"/>
                <w:bCs/>
                <w:kern w:val="44"/>
                <w:szCs w:val="21"/>
              </w:rPr>
            </w:pPr>
            <w:r>
              <w:rPr>
                <w:rFonts w:hint="eastAsia" w:ascii="仿宋_GB2312" w:hAnsi="仿宋_GB2312" w:eastAsia="仿宋_GB2312" w:cs="仿宋_GB2312"/>
                <w:bCs/>
                <w:kern w:val="44"/>
                <w:szCs w:val="21"/>
              </w:rPr>
              <w:t>消声器内表面应清洁，不得有油污、毛刺，样品表面不得有划痕，表面应平整，不得使用抽芯铆钉（可采用实芯铆钉），不得有横向接缝。消声器、消声弯头、静压箱等配件应采购成品，消声弯头下单时应注明为水平型还是垂直型；</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9726" w:type="dxa"/>
            <w:gridSpan w:val="3"/>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 xml:space="preserve"> 风管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66</w:t>
            </w:r>
          </w:p>
        </w:tc>
        <w:tc>
          <w:tcPr>
            <w:tcW w:w="8258"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风管采用优质热镀锌板，厚度符合设计、《通风与空调工程施工质量验收规范》、消防要求的规定，钢板表面应光洁平整，无脱落物。用于洁净室（区）的送风管、回风管、排风管、风阀及风口的制作材料和涂料，应耐受消毒剂的腐蚀。</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szCs w:val="21"/>
                <w:lang w:val="en-US" w:eastAsia="zh-CN"/>
              </w:rPr>
              <w:t>67</w:t>
            </w:r>
          </w:p>
        </w:tc>
        <w:tc>
          <w:tcPr>
            <w:tcW w:w="8258"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风管制作与安装所用板材、型材以及其他主要成品材料，应符合设计要求，并应有出场验证合格证明。</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43"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68</w:t>
            </w:r>
          </w:p>
        </w:tc>
        <w:tc>
          <w:tcPr>
            <w:tcW w:w="8258"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穿防火隔断、防火墙和楼板的护套管采用2mm钢板制作，法兰连接；</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69</w:t>
            </w:r>
          </w:p>
        </w:tc>
        <w:tc>
          <w:tcPr>
            <w:tcW w:w="8258"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风管安装前要求清洁，达到要求后再进行安装，风管保温要在网管进行漏风检验无误后才能进行；</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70</w:t>
            </w:r>
          </w:p>
        </w:tc>
        <w:tc>
          <w:tcPr>
            <w:tcW w:w="8258"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采用热镀锌钢板，如需要防腐和清洁应采用不锈钢材质并做PVC膜封处理，厚度按规范技术要求。风管制作和验收记录、风管清洗记录、风管安装和验收记录、风管检漏记录。</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726" w:type="dxa"/>
            <w:gridSpan w:val="3"/>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橡塑保温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1"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71</w:t>
            </w:r>
          </w:p>
        </w:tc>
        <w:tc>
          <w:tcPr>
            <w:tcW w:w="8258"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风管保温采用橡塑保温材料（密度：50~70kg/m3；导热系数≤0.034w/(m.k),0℃，≤0.037w/(m.k),40℃；氧指数：大于等于32，烟密度≤65;湿阻因子μ≥10000，需提供30mm标准厚度本年度型式检验报告），为难燃B1级，颜色为黑色，选用阻燃型闭孔橡塑材料。</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743"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72</w:t>
            </w:r>
          </w:p>
        </w:tc>
        <w:tc>
          <w:tcPr>
            <w:tcW w:w="8258"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保温胶水：胶水配套橡塑发泡保温材料一起使用时须达到难燃B1级, GB 8624-1997）。</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9726" w:type="dxa"/>
            <w:gridSpan w:val="3"/>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排风机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743"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72</w:t>
            </w:r>
          </w:p>
        </w:tc>
        <w:tc>
          <w:tcPr>
            <w:tcW w:w="8258" w:type="dxa"/>
            <w:vAlign w:val="center"/>
          </w:tcPr>
          <w:p>
            <w:pPr>
              <w:rPr>
                <w:rFonts w:hint="eastAsia" w:ascii="仿宋_GB2312" w:hAnsi="仿宋_GB2312" w:eastAsia="仿宋_GB2312" w:cs="仿宋_GB2312"/>
                <w:bCs/>
                <w:kern w:val="44"/>
                <w:szCs w:val="21"/>
              </w:rPr>
            </w:pPr>
            <w:r>
              <w:rPr>
                <w:rFonts w:hint="eastAsia" w:ascii="仿宋_GB2312" w:hAnsi="仿宋_GB2312" w:eastAsia="仿宋_GB2312" w:cs="仿宋_GB2312"/>
                <w:szCs w:val="21"/>
              </w:rPr>
              <w:t>按设计图纸及规范标准要求，质量优良，有合格证明。</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743"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73</w:t>
            </w:r>
          </w:p>
        </w:tc>
        <w:tc>
          <w:tcPr>
            <w:tcW w:w="8258"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风机、风管的材料需抗溶剂腐蚀。</w:t>
            </w:r>
          </w:p>
        </w:tc>
        <w:tc>
          <w:tcPr>
            <w:tcW w:w="725"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743"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74</w:t>
            </w:r>
          </w:p>
        </w:tc>
        <w:tc>
          <w:tcPr>
            <w:tcW w:w="8258" w:type="dxa"/>
            <w:vAlign w:val="center"/>
          </w:tcPr>
          <w:p>
            <w:pPr>
              <w:rPr>
                <w:rFonts w:hint="default" w:ascii="仿宋_GB2312" w:hAnsi="仿宋_GB2312" w:eastAsia="仿宋_GB2312" w:cs="仿宋_GB2312"/>
                <w:bCs/>
                <w:kern w:val="44"/>
                <w:szCs w:val="21"/>
                <w:lang w:val="en-US" w:eastAsia="zh-CN"/>
              </w:rPr>
            </w:pPr>
            <w:r>
              <w:rPr>
                <w:rFonts w:hint="eastAsia" w:ascii="仿宋_GB2312" w:hAnsi="仿宋_GB2312" w:eastAsia="仿宋_GB2312" w:cs="仿宋_GB2312"/>
                <w:szCs w:val="21"/>
              </w:rPr>
              <w:t>除尘排风系统必须满足所在区域要求，涉及粉尘排放需要增加过滤器并统一排放。室外需有防雨措施。</w:t>
            </w:r>
            <w:r>
              <w:rPr>
                <w:rFonts w:hint="eastAsia" w:ascii="仿宋_GB2312" w:hAnsi="仿宋_GB2312" w:eastAsia="仿宋_GB2312" w:cs="仿宋_GB2312"/>
                <w:szCs w:val="21"/>
                <w:lang w:val="en-US" w:eastAsia="zh-CN"/>
              </w:rPr>
              <w:t>需达到环保设施要求，根据环评要求设置车间排风和清洗间排风设施。</w:t>
            </w:r>
          </w:p>
        </w:tc>
        <w:tc>
          <w:tcPr>
            <w:tcW w:w="725" w:type="dxa"/>
            <w:vAlign w:val="center"/>
          </w:tcPr>
          <w:p>
            <w:pPr>
              <w:jc w:val="left"/>
              <w:rPr>
                <w:rFonts w:hint="eastAsia" w:ascii="仿宋_GB2312" w:hAnsi="仿宋_GB2312" w:eastAsia="仿宋_GB2312" w:cs="仿宋_GB2312"/>
                <w:szCs w:val="21"/>
              </w:rPr>
            </w:pPr>
          </w:p>
        </w:tc>
      </w:tr>
    </w:tbl>
    <w:p>
      <w:pPr>
        <w:pStyle w:val="15"/>
        <w:numPr>
          <w:ilvl w:val="0"/>
          <w:numId w:val="41"/>
        </w:numPr>
        <w:ind w:left="420" w:leftChars="0" w:hanging="420" w:firstLineChars="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管道技术要求</w:t>
      </w:r>
    </w:p>
    <w:tbl>
      <w:tblPr>
        <w:tblStyle w:val="10"/>
        <w:tblW w:w="91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
        <w:gridCol w:w="6973"/>
        <w:gridCol w:w="12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930" w:type="dxa"/>
            <w:tcBorders>
              <w:top w:val="single" w:color="auto" w:sz="4" w:space="0"/>
            </w:tcBorders>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需求编号</w:t>
            </w:r>
          </w:p>
        </w:tc>
        <w:tc>
          <w:tcPr>
            <w:tcW w:w="6973" w:type="dxa"/>
            <w:tcBorders>
              <w:top w:val="single" w:color="auto" w:sz="4" w:space="0"/>
            </w:tcBorders>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要求</w:t>
            </w:r>
          </w:p>
        </w:tc>
        <w:tc>
          <w:tcPr>
            <w:tcW w:w="1240" w:type="dxa"/>
            <w:tcBorders>
              <w:top w:val="single" w:color="auto" w:sz="4" w:space="0"/>
            </w:tcBorders>
            <w:vAlign w:val="center"/>
          </w:tcPr>
          <w:p>
            <w:pPr>
              <w:jc w:val="center"/>
              <w:rPr>
                <w:rStyle w:val="16"/>
                <w:rFonts w:hint="eastAsia" w:ascii="仿宋_GB2312" w:hAnsi="仿宋_GB2312" w:eastAsia="仿宋_GB2312" w:cs="仿宋_GB2312"/>
                <w:sz w:val="21"/>
                <w:szCs w:val="21"/>
              </w:rPr>
            </w:pPr>
            <w:r>
              <w:rPr>
                <w:rStyle w:val="16"/>
                <w:rFonts w:hint="eastAsia" w:ascii="仿宋_GB2312" w:hAnsi="仿宋_GB2312" w:eastAsia="仿宋_GB2312" w:cs="仿宋_GB2312"/>
                <w:sz w:val="21"/>
                <w:szCs w:val="21"/>
              </w:rPr>
              <w:t>响应</w:t>
            </w:r>
          </w:p>
          <w:p>
            <w:pPr>
              <w:jc w:val="center"/>
              <w:rPr>
                <w:rFonts w:hint="eastAsia" w:ascii="仿宋_GB2312" w:hAnsi="仿宋_GB2312" w:eastAsia="仿宋_GB2312" w:cs="仿宋_GB2312"/>
                <w:szCs w:val="21"/>
              </w:rPr>
            </w:pPr>
            <w:r>
              <w:rPr>
                <w:rStyle w:val="16"/>
                <w:rFonts w:hint="eastAsia" w:ascii="仿宋_GB2312" w:hAnsi="仿宋_GB2312" w:eastAsia="仿宋_GB2312" w:cs="仿宋_GB2312"/>
                <w:sz w:val="21"/>
                <w:szCs w:val="21"/>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143" w:type="dxa"/>
            <w:gridSpan w:val="3"/>
            <w:vAlign w:val="center"/>
          </w:tcPr>
          <w:p>
            <w:pPr>
              <w:jc w:val="left"/>
              <w:rPr>
                <w:rStyle w:val="16"/>
                <w:rFonts w:hint="eastAsia" w:ascii="仿宋_GB2312" w:hAnsi="仿宋_GB2312" w:eastAsia="仿宋_GB2312" w:cs="仿宋_GB2312"/>
                <w:sz w:val="21"/>
                <w:szCs w:val="21"/>
              </w:rPr>
            </w:pPr>
            <w:r>
              <w:rPr>
                <w:rStyle w:val="16"/>
                <w:rFonts w:hint="eastAsia" w:ascii="仿宋_GB2312" w:hAnsi="仿宋_GB2312" w:eastAsia="仿宋_GB2312" w:cs="仿宋_GB2312"/>
                <w:sz w:val="21"/>
                <w:szCs w:val="21"/>
              </w:rPr>
              <w:t>管道通用要求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30"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75</w:t>
            </w:r>
          </w:p>
        </w:tc>
        <w:tc>
          <w:tcPr>
            <w:tcW w:w="6973" w:type="dxa"/>
            <w:vAlign w:val="center"/>
          </w:tcPr>
          <w:p>
            <w:pPr>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管道走向符合工艺及设计要求</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930"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76</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kern w:val="0"/>
                <w:szCs w:val="21"/>
              </w:rPr>
              <w:t>管径符合工艺用量要求和流速要求。如需要安装异径管，除垂直管道外，不得使用同心变径。</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930"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77</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每个焊接点要求提供焊接程序、焊接记录、焊工作业人员的资质。</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930"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78</w:t>
            </w:r>
          </w:p>
        </w:tc>
        <w:tc>
          <w:tcPr>
            <w:tcW w:w="6973"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焊工需持有国家规定的焊工证书，且证书在有效期内，并提供相应证书复印件，以及厂商的考核证书。手动和自动焊工必需要现场考核编号。</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930"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79</w:t>
            </w:r>
          </w:p>
        </w:tc>
        <w:tc>
          <w:tcPr>
            <w:tcW w:w="6973"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不锈钢管道焊接首选自动焊接。自动焊接和手动焊接都必需提供焊接工艺评定与焊接作业指导书。</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930"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80</w:t>
            </w:r>
          </w:p>
        </w:tc>
        <w:tc>
          <w:tcPr>
            <w:tcW w:w="6973"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不锈钢管道的焊条材质应与焊接部位材质一致，并提供焊条材质证明。</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930"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81</w:t>
            </w:r>
          </w:p>
        </w:tc>
        <w:tc>
          <w:tcPr>
            <w:tcW w:w="6973"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焊接必须平整连续，无烧痕，裂痕/裂缝、平滑，抛光需做到和前后周围表面一致。</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930"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82</w:t>
            </w:r>
          </w:p>
        </w:tc>
        <w:tc>
          <w:tcPr>
            <w:tcW w:w="6973"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不锈钢管道焊接记录完整，需有有效的焊接日志，打印焊接参数并记录。留存每次开机或更换焊接规格时的焊样。</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30"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83</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与物料接触的不锈钢管道，应做酸洗钝化并提供报告。</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930"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84</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管道焊缝与支吊架、建筑物及套管边缘距离不小于200mm，穿越屋面时需设防雨措施。</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930"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85</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管道穿越洁净区的隔墙、吊顶及楼板处，除必须填实及封堵外，暴露于洁净区内的管道穿越处必须加装不锈钢掩孔板，并用硅胶密封。</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930"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86</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在洁净区内的管道支架及其构件均需采用304不锈钢材料</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930"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87</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不锈钢与碳钢管道或支架间应垫以不锈钢板或其他绝缘材料或涂以良好的绝缘漆。</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930"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88</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地漏材质应选用304材质，地漏和排水存水弯水封高度≥50mm，严禁使用淘汰的钟罩式地漏。</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930"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89</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地漏安装与地面平整，并具有一定坡度，盖板面不倾斜，内表面光洁，易清洗，开启方便，能防止废水、废气倒灌，排水通畅。</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930"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90</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橡胶、塑料等非金属垫片，应质地柔韧，无老化及分裂现象，表面更不得有折损及皱纹等缺陷，金属垫片的加工尺寸、精度、表面粗糙度、硬度、厚度应符合要求，表面应无裂纹、毛刺，凹槽、径向裂痕及锈斑等缺陷</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930"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91</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温度计、压力表相邻安装时，压力表应安装在温度计的上游侧。</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930"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92</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各种计量和控制仪器仪表（如压差计、温湿度、压力表、温度计）的数量设置、使用范围和精密度必须符合生产、检验及控制要求。安装要端正、牢固、便于操作。</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930"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93</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防爆区的管道、设备及钢制框架均应静电接地，其连接处应设置金属连接导体，导体为铜芯软绞线，导线截面积不少于6平方毫米，并用螺栓螺母固定在连接板上，将其系统导至接地干线。</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930"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94</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阀门编号选用不锈钢材质，内容包括名称、状态、编号。</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3" w:hRule="atLeast"/>
        </w:trPr>
        <w:tc>
          <w:tcPr>
            <w:tcW w:w="930"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95</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非不锈钢管道油漆要求符合《工业管路的基本识别色和色别符号》GB7231-2003规范，非不锈钢管道及未保温管道的面漆颜色符合企业相关文件要求。</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930"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96</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不锈钢管道标识材质为不干胶，内容包括介质名称、流向，颜色符合企业相关文件要求。</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9143" w:type="dxa"/>
            <w:gridSpan w:val="3"/>
            <w:vAlign w:val="center"/>
          </w:tcPr>
          <w:p>
            <w:pPr>
              <w:numPr>
                <w:ilvl w:val="0"/>
                <w:numId w:val="41"/>
              </w:numPr>
              <w:ind w:left="420" w:leftChars="0" w:hanging="420" w:firstLineChars="0"/>
              <w:jc w:val="left"/>
              <w:rPr>
                <w:rStyle w:val="16"/>
                <w:rFonts w:hint="eastAsia" w:ascii="仿宋_GB2312" w:hAnsi="仿宋_GB2312" w:eastAsia="仿宋_GB2312" w:cs="仿宋_GB2312"/>
                <w:sz w:val="21"/>
                <w:szCs w:val="21"/>
              </w:rPr>
            </w:pPr>
            <w:r>
              <w:rPr>
                <w:rStyle w:val="16"/>
                <w:rFonts w:hint="eastAsia" w:ascii="仿宋_GB2312" w:hAnsi="仿宋_GB2312" w:eastAsia="仿宋_GB2312" w:cs="仿宋_GB2312"/>
                <w:sz w:val="21"/>
                <w:szCs w:val="21"/>
              </w:rPr>
              <w:t>空调及工艺冷冻水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97</w:t>
            </w:r>
          </w:p>
        </w:tc>
        <w:tc>
          <w:tcPr>
            <w:tcW w:w="6973" w:type="dxa"/>
            <w:vAlign w:val="center"/>
          </w:tcPr>
          <w:p>
            <w:pPr>
              <w:numPr>
                <w:ilvl w:val="0"/>
                <w:numId w:val="42"/>
              </w:numPr>
              <w:ind w:left="425" w:leftChars="0" w:hanging="425" w:firstLineChars="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空调房设置就地控制操作台,包括电脑、UPS电源，并安装好相关软件，可对HVAC系统的运行等情况进行实时监测,并可在监视设备的电脑上实现显示、记录、存储、打印、报警、历史记录查询等功能.当有参数偏离设定的正常值时，系统会在定义的时间段后显示报警并存储报警信息。</w:t>
            </w:r>
          </w:p>
          <w:p>
            <w:pPr>
              <w:numPr>
                <w:ilvl w:val="0"/>
                <w:numId w:val="42"/>
              </w:numPr>
              <w:ind w:left="425" w:leftChars="0" w:hanging="425" w:firstLineChars="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空调系统的启停可在微机上进行远程控制（设置权限,操作人员凭权限操作），也可在控制柜上进行控制，在控制柜上有就地和远传的调节开关.当在空调控制界面上进行系统的启停操作时，该空调系统所有相关机组及阀门均按照设定好的顺序自动进行调节.</w:t>
            </w:r>
          </w:p>
          <w:p>
            <w:pPr>
              <w:numPr>
                <w:ilvl w:val="0"/>
                <w:numId w:val="42"/>
              </w:numPr>
              <w:ind w:left="425" w:leftChars="0" w:hanging="425" w:firstLineChars="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冷冻水（≤7℃）系统管道采用无缝钢管</w:t>
            </w:r>
            <w:r>
              <w:rPr>
                <w:rFonts w:hint="eastAsia" w:ascii="仿宋_GB2312" w:hAnsi="仿宋_GB2312" w:eastAsia="仿宋_GB2312" w:cs="仿宋_GB2312"/>
                <w:szCs w:val="21"/>
                <w:lang w:eastAsia="zh-CN"/>
              </w:rPr>
              <w:t>；</w:t>
            </w:r>
          </w:p>
          <w:p>
            <w:pPr>
              <w:numPr>
                <w:ilvl w:val="0"/>
                <w:numId w:val="42"/>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szCs w:val="21"/>
              </w:rPr>
              <w:t>对送风机组进行变频运行控制；新风管电动阀与空调风机连锁，风机停时，关闭新风电动阀，风机运行时,打开新风电动阀。</w:t>
            </w:r>
          </w:p>
          <w:p>
            <w:pPr>
              <w:numPr>
                <w:ilvl w:val="0"/>
                <w:numId w:val="42"/>
              </w:numPr>
              <w:ind w:left="425" w:leftChars="0" w:hanging="425" w:firstLineChars="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空调机组的风机段设置压差开关，当风机出现故障停转时,压差应能进行异常报警,并控制新电动风阀关闭。</w:t>
            </w:r>
          </w:p>
          <w:p>
            <w:pPr>
              <w:numPr>
                <w:ilvl w:val="0"/>
                <w:numId w:val="42"/>
              </w:numPr>
              <w:ind w:left="425" w:leftChars="0" w:hanging="425" w:firstLineChars="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空调机组的初、中效段均置压差开关，可检测过滤器的工作情况，当压差超过原始压差的2倍时会报警，提醒及时更换过滤器</w:t>
            </w:r>
            <w:r>
              <w:rPr>
                <w:rFonts w:hint="eastAsia" w:ascii="仿宋_GB2312" w:hAnsi="仿宋_GB2312" w:eastAsia="仿宋_GB2312" w:cs="仿宋_GB2312"/>
                <w:szCs w:val="21"/>
                <w:lang w:eastAsia="zh-CN"/>
              </w:rPr>
              <w:t>；</w:t>
            </w:r>
          </w:p>
          <w:p>
            <w:pPr>
              <w:numPr>
                <w:ilvl w:val="0"/>
                <w:numId w:val="42"/>
              </w:numPr>
              <w:ind w:left="425" w:leftChars="0" w:hanging="425" w:firstLineChars="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房间温度控制：在每个系统有一回风温度传感器,可检测经各功能间后的回风温度，并将信号发给PLC,当数值超出设定值时，系统会产生报警，同时会做出调整,通过控制空调机组的冷冻水管路上的自动调节阀门的开度,使数值趋于设定值，保证在要求范围(</w:t>
            </w:r>
            <w:r>
              <w:rPr>
                <w:rFonts w:hint="eastAsia" w:ascii="仿宋_GB2312" w:hAnsi="仿宋_GB2312" w:eastAsia="仿宋_GB2312" w:cs="仿宋_GB2312"/>
                <w:szCs w:val="21"/>
                <w:lang w:val="en-US" w:eastAsia="zh-CN"/>
              </w:rPr>
              <w:t>20</w:t>
            </w:r>
            <w:r>
              <w:rPr>
                <w:rFonts w:hint="eastAsia" w:ascii="仿宋_GB2312" w:hAnsi="仿宋_GB2312" w:eastAsia="仿宋_GB2312" w:cs="仿宋_GB2312"/>
                <w:szCs w:val="21"/>
              </w:rPr>
              <w:t>℃－26℃）内工作。</w:t>
            </w:r>
          </w:p>
          <w:p>
            <w:pPr>
              <w:numPr>
                <w:ilvl w:val="0"/>
                <w:numId w:val="42"/>
              </w:numPr>
              <w:ind w:left="425" w:leftChars="0" w:hanging="425" w:firstLineChars="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房间湿度控制：每个系统有一回风湿度传感器，可检测经各功能间后的回风温度，并将信号发给PLC，当数值低于设定值时，系统会产生报警，同时会做出调整，通过控制空调机组的加湿器的管路上的自动调节阀门开度，使数值趋于设定值，当超出设定值时,系统会产生报警,同时会做出调整,通过控制空调机组的冷冻水管路上的自动调节阀门的开度，使数值趋于设定值，保证在要求范围(45％－</w:t>
            </w:r>
            <w:r>
              <w:rPr>
                <w:rFonts w:hint="eastAsia" w:ascii="仿宋_GB2312" w:hAnsi="仿宋_GB2312" w:eastAsia="仿宋_GB2312" w:cs="仿宋_GB2312"/>
                <w:szCs w:val="21"/>
                <w:lang w:val="en-US" w:eastAsia="zh-CN"/>
              </w:rPr>
              <w:t>7</w:t>
            </w:r>
            <w:r>
              <w:rPr>
                <w:rFonts w:hint="eastAsia" w:ascii="仿宋_GB2312" w:hAnsi="仿宋_GB2312" w:eastAsia="仿宋_GB2312" w:cs="仿宋_GB2312"/>
                <w:szCs w:val="21"/>
              </w:rPr>
              <w:t>5%）内工作。</w:t>
            </w:r>
          </w:p>
          <w:p>
            <w:pPr>
              <w:numPr>
                <w:ilvl w:val="0"/>
                <w:numId w:val="42"/>
              </w:numPr>
              <w:ind w:left="425" w:leftChars="0" w:hanging="425" w:firstLineChars="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空调系统与消防系统连锁(在空调系统的配电柜中预留端子，由消防专业连接线路至消防控制柜中）。</w:t>
            </w:r>
          </w:p>
          <w:p>
            <w:pPr>
              <w:numPr>
                <w:ilvl w:val="0"/>
                <w:numId w:val="42"/>
              </w:numPr>
              <w:ind w:left="425" w:leftChars="0" w:hanging="425" w:firstLineChars="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val="en-US" w:eastAsia="zh-CN"/>
              </w:rPr>
              <w:t>所有水泵配变频并配备有泵、若使用两台泵，备用一台泵；</w:t>
            </w:r>
          </w:p>
          <w:p>
            <w:pPr>
              <w:numPr>
                <w:ilvl w:val="0"/>
                <w:numId w:val="42"/>
              </w:numPr>
              <w:ind w:left="425" w:leftChars="0" w:hanging="425" w:firstLineChars="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val="en-US" w:eastAsia="zh-CN"/>
              </w:rPr>
              <w:t>所有风柜配变频器；</w:t>
            </w:r>
          </w:p>
          <w:p>
            <w:pPr>
              <w:numPr>
                <w:ilvl w:val="0"/>
                <w:numId w:val="42"/>
              </w:numPr>
              <w:ind w:left="425" w:leftChars="0" w:hanging="425" w:firstLineChars="0"/>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val="en-US" w:eastAsia="zh-CN"/>
              </w:rPr>
              <w:t>冷却水塔应根据水温启动风扇台数；</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98</w:t>
            </w:r>
          </w:p>
        </w:tc>
        <w:tc>
          <w:tcPr>
            <w:tcW w:w="6973" w:type="dxa"/>
            <w:vAlign w:val="center"/>
          </w:tcPr>
          <w:p>
            <w:pPr>
              <w:snapToGrid w:val="0"/>
              <w:ind w:right="-204"/>
              <w:jc w:val="left"/>
              <w:rPr>
                <w:rFonts w:hint="eastAsia" w:ascii="仿宋_GB2312" w:hAnsi="仿宋_GB2312" w:eastAsia="仿宋_GB2312" w:cs="仿宋_GB2312"/>
                <w:szCs w:val="21"/>
              </w:rPr>
            </w:pPr>
            <w:r>
              <w:rPr>
                <w:rFonts w:hint="eastAsia" w:ascii="仿宋_GB2312" w:hAnsi="仿宋_GB2312" w:eastAsia="仿宋_GB2312" w:cs="仿宋_GB2312"/>
                <w:szCs w:val="21"/>
              </w:rPr>
              <w:t>连接方式: 焊接连接，不同材料之间或必要时采用法兰连接</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99</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kern w:val="0"/>
                <w:szCs w:val="21"/>
              </w:rPr>
              <w:t>管道坡度不小于</w:t>
            </w:r>
            <w:r>
              <w:rPr>
                <w:rFonts w:hint="eastAsia" w:ascii="仿宋_GB2312" w:hAnsi="仿宋_GB2312" w:eastAsia="仿宋_GB2312" w:cs="仿宋_GB2312"/>
                <w:szCs w:val="21"/>
              </w:rPr>
              <w:t>3‰</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100</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保冷：除压力表、安全阀和减压阀外，其它均需要保冷，其保冷材料采用橡塑闭孔海绵，难燃B1级，厚度符合设计要求，保温外包1.0mm厚铝合金保护层。</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101</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冷机及空调机的进出水口应安装压力表、温度计，仪表最大读数不超过仪表满量程的2/3为宜。</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102</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温度计、压力表相邻安装时，压力表应安装在温度计的上游侧。</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103</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温度计压力表等仪表安装位置应正确，且易于观察读数。</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104</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水泵、机组附近宜设置地沟或围堰，排水地漏，保证检修时能有效排水。水泵、机组安装就位时，应留有足够的检修空间。</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105</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冷冻水及冷凝水管道支、吊架上的管卡部件应采用木垫(木垫外表应刷沥青漆防腐防水处理)支撑管道，以防产生冷桥。</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106</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系统最高点、各层末端和其他相对高处应安装自动排气阀，系统最低点应安装排水阀。</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107</w:t>
            </w:r>
          </w:p>
        </w:tc>
        <w:tc>
          <w:tcPr>
            <w:tcW w:w="6973" w:type="dxa"/>
            <w:vAlign w:val="center"/>
          </w:tcPr>
          <w:p>
            <w:pPr>
              <w:jc w:val="left"/>
              <w:rPr>
                <w:rFonts w:hint="eastAsia" w:ascii="仿宋_GB2312" w:hAnsi="仿宋_GB2312" w:eastAsia="仿宋_GB2312" w:cs="仿宋_GB2312"/>
                <w:szCs w:val="21"/>
                <w:highlight w:val="yellow"/>
              </w:rPr>
            </w:pPr>
            <w:r>
              <w:rPr>
                <w:rFonts w:hint="eastAsia" w:ascii="仿宋_GB2312" w:hAnsi="仿宋_GB2312" w:eastAsia="仿宋_GB2312" w:cs="仿宋_GB2312"/>
                <w:szCs w:val="21"/>
              </w:rPr>
              <w:t>冷冻水管路敷设时，合理设置自然补偿方式补偿其伸缩量，当自然补偿无法满足时，应考虑增加合适补偿器。</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9143" w:type="dxa"/>
            <w:gridSpan w:val="3"/>
            <w:vAlign w:val="center"/>
          </w:tcPr>
          <w:p>
            <w:pPr>
              <w:numPr>
                <w:ilvl w:val="0"/>
                <w:numId w:val="41"/>
              </w:numPr>
              <w:ind w:left="420" w:leftChars="0" w:hanging="420" w:firstLineChars="0"/>
              <w:jc w:val="left"/>
              <w:rPr>
                <w:rStyle w:val="16"/>
                <w:rFonts w:hint="eastAsia" w:ascii="仿宋_GB2312" w:hAnsi="仿宋_GB2312" w:eastAsia="仿宋_GB2312" w:cs="仿宋_GB2312"/>
                <w:sz w:val="21"/>
                <w:szCs w:val="21"/>
              </w:rPr>
            </w:pPr>
            <w:r>
              <w:rPr>
                <w:rFonts w:hint="eastAsia" w:ascii="仿宋_GB2312" w:hAnsi="仿宋_GB2312" w:eastAsia="仿宋_GB2312" w:cs="仿宋_GB2312"/>
                <w:szCs w:val="21"/>
              </w:rPr>
              <w:t>冷却水管道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108</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管径≥DN200的管道采用螺旋焊接钢管，管径&lt;DN200的管道采用无缝钢管，要求能适用传输32℃的水介质</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109</w:t>
            </w:r>
          </w:p>
        </w:tc>
        <w:tc>
          <w:tcPr>
            <w:tcW w:w="6973" w:type="dxa"/>
            <w:vAlign w:val="center"/>
          </w:tcPr>
          <w:p>
            <w:pPr>
              <w:snapToGrid w:val="0"/>
              <w:ind w:right="-204"/>
              <w:jc w:val="left"/>
              <w:rPr>
                <w:rFonts w:hint="eastAsia" w:ascii="仿宋_GB2312" w:hAnsi="仿宋_GB2312" w:eastAsia="仿宋_GB2312" w:cs="仿宋_GB2312"/>
                <w:szCs w:val="21"/>
              </w:rPr>
            </w:pPr>
            <w:r>
              <w:rPr>
                <w:rFonts w:hint="eastAsia" w:ascii="仿宋_GB2312" w:hAnsi="仿宋_GB2312" w:eastAsia="仿宋_GB2312" w:cs="仿宋_GB2312"/>
                <w:szCs w:val="21"/>
              </w:rPr>
              <w:t>连接方式: 焊接连接，不同材料之间或必要时采用法兰连接</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110</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水泵、机组附近宜设置地沟或围堰，排水地漏，保证检修时能有效排水。水泵、机组安装就位时，应留有足够的检修空间。</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111</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开放式冷却塔补水采用自来水自动补水，浮球阀控制，多台冷却塔并联使用时，应有联通管并加截断阀，冷却水系统应根据实际情况，设置过滤、缓蚀、阻垢、杀菌、灭藻等水处理功能。</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112</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冷却塔应设置在专用基础上，不得直接设置在屋面上，与屋面接接触的需要做防水处理，另外该设备需布置在建筑物的最小频率风向的上风侧。</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9143" w:type="dxa"/>
            <w:gridSpan w:val="3"/>
            <w:vAlign w:val="center"/>
          </w:tcPr>
          <w:p>
            <w:pPr>
              <w:numPr>
                <w:ilvl w:val="0"/>
                <w:numId w:val="41"/>
              </w:numPr>
              <w:ind w:left="420" w:leftChars="0" w:hanging="420" w:firstLineChars="0"/>
              <w:jc w:val="left"/>
              <w:rPr>
                <w:rStyle w:val="16"/>
                <w:rFonts w:hint="eastAsia" w:ascii="仿宋_GB2312" w:hAnsi="仿宋_GB2312" w:eastAsia="仿宋_GB2312" w:cs="仿宋_GB2312"/>
                <w:sz w:val="21"/>
                <w:szCs w:val="21"/>
              </w:rPr>
            </w:pPr>
            <w:r>
              <w:rPr>
                <w:rStyle w:val="16"/>
                <w:rFonts w:hint="eastAsia" w:ascii="仿宋_GB2312" w:hAnsi="仿宋_GB2312" w:eastAsia="仿宋_GB2312" w:cs="仿宋_GB2312"/>
                <w:sz w:val="21"/>
                <w:szCs w:val="21"/>
              </w:rPr>
              <w:t>真空管道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930"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113.</w:t>
            </w:r>
          </w:p>
        </w:tc>
        <w:tc>
          <w:tcPr>
            <w:tcW w:w="6973"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lang w:val="de-DE"/>
              </w:rPr>
              <w:t>系统材质选用</w:t>
            </w:r>
            <w:r>
              <w:rPr>
                <w:rFonts w:hint="eastAsia" w:ascii="仿宋_GB2312" w:hAnsi="仿宋_GB2312" w:eastAsia="仿宋_GB2312" w:cs="仿宋_GB2312"/>
                <w:szCs w:val="21"/>
              </w:rPr>
              <w:t>工业级304不锈钢管道，厚度为国标，相应管件材质与之对应。</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114</w:t>
            </w:r>
          </w:p>
        </w:tc>
        <w:tc>
          <w:tcPr>
            <w:tcW w:w="6973" w:type="dxa"/>
            <w:vAlign w:val="center"/>
          </w:tcPr>
          <w:p>
            <w:pPr>
              <w:rPr>
                <w:rFonts w:hint="eastAsia" w:ascii="仿宋_GB2312" w:hAnsi="仿宋_GB2312" w:eastAsia="仿宋_GB2312" w:cs="仿宋_GB2312"/>
                <w:szCs w:val="21"/>
                <w:lang w:val="de-DE"/>
              </w:rPr>
            </w:pPr>
            <w:r>
              <w:rPr>
                <w:rFonts w:hint="eastAsia" w:ascii="仿宋_GB2312" w:hAnsi="仿宋_GB2312" w:eastAsia="仿宋_GB2312" w:cs="仿宋_GB2312"/>
                <w:szCs w:val="21"/>
              </w:rPr>
              <w:t>管道内壁需要做抛光处理，其粗糙度为Ra≤0.8μm，真空管钢壁需承受压-0.15Mpa以下。</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115</w:t>
            </w:r>
          </w:p>
        </w:tc>
        <w:tc>
          <w:tcPr>
            <w:tcW w:w="6973" w:type="dxa"/>
            <w:vAlign w:val="center"/>
          </w:tcPr>
          <w:p>
            <w:pPr>
              <w:rPr>
                <w:rFonts w:hint="eastAsia" w:ascii="仿宋_GB2312" w:hAnsi="仿宋_GB2312" w:eastAsia="仿宋_GB2312" w:cs="仿宋_GB2312"/>
                <w:szCs w:val="21"/>
                <w:lang w:val="de-DE"/>
              </w:rPr>
            </w:pPr>
            <w:r>
              <w:rPr>
                <w:rFonts w:hint="eastAsia" w:ascii="仿宋_GB2312" w:hAnsi="仿宋_GB2312" w:eastAsia="仿宋_GB2312" w:cs="仿宋_GB2312"/>
                <w:szCs w:val="21"/>
                <w:lang w:val="de-DE"/>
              </w:rPr>
              <w:t>管道坡度</w:t>
            </w:r>
            <w:r>
              <w:rPr>
                <w:rFonts w:hint="eastAsia" w:ascii="仿宋_GB2312" w:hAnsi="仿宋_GB2312" w:eastAsia="仿宋_GB2312" w:cs="仿宋_GB2312"/>
                <w:kern w:val="0"/>
                <w:szCs w:val="21"/>
              </w:rPr>
              <w:t>不小于</w:t>
            </w:r>
            <w:r>
              <w:rPr>
                <w:rFonts w:hint="eastAsia" w:ascii="仿宋_GB2312" w:hAnsi="仿宋_GB2312" w:eastAsia="仿宋_GB2312" w:cs="仿宋_GB2312"/>
                <w:szCs w:val="21"/>
              </w:rPr>
              <w:t>3‰</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116</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kern w:val="0"/>
                <w:szCs w:val="21"/>
              </w:rPr>
              <w:t>管径大小设计需符合ISO 2037标准</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143" w:type="dxa"/>
            <w:gridSpan w:val="3"/>
            <w:vAlign w:val="center"/>
          </w:tcPr>
          <w:p>
            <w:pPr>
              <w:numPr>
                <w:ilvl w:val="0"/>
                <w:numId w:val="41"/>
              </w:numPr>
              <w:ind w:left="420" w:leftChars="0" w:hanging="420" w:firstLineChars="0"/>
              <w:jc w:val="left"/>
              <w:rPr>
                <w:rStyle w:val="16"/>
                <w:rFonts w:hint="eastAsia" w:ascii="仿宋_GB2312" w:hAnsi="仿宋_GB2312" w:eastAsia="仿宋_GB2312" w:cs="仿宋_GB2312"/>
                <w:sz w:val="21"/>
                <w:szCs w:val="21"/>
              </w:rPr>
            </w:pPr>
            <w:r>
              <w:rPr>
                <w:rStyle w:val="16"/>
                <w:rFonts w:hint="eastAsia" w:ascii="仿宋_GB2312" w:hAnsi="仿宋_GB2312" w:eastAsia="仿宋_GB2312" w:cs="仿宋_GB2312"/>
                <w:sz w:val="21"/>
                <w:szCs w:val="21"/>
              </w:rPr>
              <w:t>给水管道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117</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管材选用：PPR管</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118</w:t>
            </w:r>
          </w:p>
        </w:tc>
        <w:tc>
          <w:tcPr>
            <w:tcW w:w="6973" w:type="dxa"/>
            <w:vAlign w:val="center"/>
          </w:tcPr>
          <w:p>
            <w:pPr>
              <w:snapToGrid w:val="0"/>
              <w:ind w:right="-204"/>
              <w:jc w:val="left"/>
              <w:rPr>
                <w:rFonts w:hint="eastAsia" w:ascii="仿宋_GB2312" w:hAnsi="仿宋_GB2312" w:eastAsia="仿宋_GB2312" w:cs="仿宋_GB2312"/>
                <w:szCs w:val="21"/>
              </w:rPr>
            </w:pPr>
            <w:r>
              <w:rPr>
                <w:rFonts w:hint="eastAsia" w:ascii="仿宋_GB2312" w:hAnsi="仿宋_GB2312" w:eastAsia="仿宋_GB2312" w:cs="仿宋_GB2312"/>
                <w:szCs w:val="21"/>
              </w:rPr>
              <w:t>连接方式：热塑连接。</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119</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管道坡度</w:t>
            </w:r>
            <w:r>
              <w:rPr>
                <w:rFonts w:hint="eastAsia" w:ascii="仿宋_GB2312" w:hAnsi="仿宋_GB2312" w:eastAsia="仿宋_GB2312" w:cs="仿宋_GB2312"/>
                <w:kern w:val="0"/>
                <w:szCs w:val="21"/>
              </w:rPr>
              <w:t>不小于</w:t>
            </w:r>
            <w:r>
              <w:rPr>
                <w:rFonts w:hint="eastAsia" w:ascii="仿宋_GB2312" w:hAnsi="仿宋_GB2312" w:eastAsia="仿宋_GB2312" w:cs="仿宋_GB2312"/>
                <w:szCs w:val="21"/>
              </w:rPr>
              <w:t>3‰</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143" w:type="dxa"/>
            <w:gridSpan w:val="3"/>
            <w:vAlign w:val="center"/>
          </w:tcPr>
          <w:p>
            <w:pPr>
              <w:numPr>
                <w:ilvl w:val="0"/>
                <w:numId w:val="41"/>
              </w:numPr>
              <w:ind w:left="420" w:leftChars="0" w:hanging="420" w:firstLineChars="0"/>
              <w:jc w:val="left"/>
              <w:rPr>
                <w:rStyle w:val="16"/>
                <w:rFonts w:hint="eastAsia" w:ascii="仿宋_GB2312" w:hAnsi="仿宋_GB2312" w:eastAsia="仿宋_GB2312" w:cs="仿宋_GB2312"/>
                <w:sz w:val="21"/>
                <w:szCs w:val="21"/>
              </w:rPr>
            </w:pPr>
            <w:r>
              <w:rPr>
                <w:rStyle w:val="16"/>
                <w:rFonts w:hint="eastAsia" w:ascii="仿宋_GB2312" w:hAnsi="仿宋_GB2312" w:eastAsia="仿宋_GB2312" w:cs="仿宋_GB2312"/>
                <w:sz w:val="21"/>
                <w:szCs w:val="21"/>
              </w:rPr>
              <w:t>排水管道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120</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管材选用：PPR管</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121</w:t>
            </w:r>
          </w:p>
        </w:tc>
        <w:tc>
          <w:tcPr>
            <w:tcW w:w="6973"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连接方式:</w:t>
            </w:r>
            <w:r>
              <w:rPr>
                <w:rFonts w:hint="eastAsia" w:ascii="仿宋_GB2312" w:hAnsi="仿宋_GB2312" w:eastAsia="仿宋_GB2312" w:cs="仿宋_GB2312"/>
              </w:rPr>
              <w:t>热塑</w:t>
            </w:r>
            <w:r>
              <w:rPr>
                <w:rFonts w:hint="eastAsia" w:ascii="仿宋_GB2312" w:hAnsi="仿宋_GB2312" w:eastAsia="仿宋_GB2312" w:cs="仿宋_GB2312"/>
                <w:szCs w:val="21"/>
              </w:rPr>
              <w:t>/粘结连接</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122</w:t>
            </w:r>
          </w:p>
        </w:tc>
        <w:tc>
          <w:tcPr>
            <w:tcW w:w="6973"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排水管道的横管与立管连接，宜采用45°斜三通或顺水三通。</w:t>
            </w:r>
          </w:p>
        </w:tc>
        <w:tc>
          <w:tcPr>
            <w:tcW w:w="1240" w:type="dxa"/>
            <w:vAlign w:val="center"/>
          </w:tcPr>
          <w:p>
            <w:pPr>
              <w:jc w:val="left"/>
              <w:rPr>
                <w:rStyle w:val="16"/>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30"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123</w:t>
            </w:r>
          </w:p>
        </w:tc>
        <w:tc>
          <w:tcPr>
            <w:tcW w:w="6973"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管道坡度</w:t>
            </w:r>
            <w:r>
              <w:rPr>
                <w:rFonts w:hint="eastAsia" w:ascii="仿宋_GB2312" w:hAnsi="仿宋_GB2312" w:eastAsia="仿宋_GB2312" w:cs="仿宋_GB2312"/>
                <w:kern w:val="0"/>
                <w:szCs w:val="21"/>
              </w:rPr>
              <w:t>不小于</w:t>
            </w:r>
            <w:r>
              <w:rPr>
                <w:rFonts w:hint="eastAsia" w:ascii="仿宋_GB2312" w:hAnsi="仿宋_GB2312" w:eastAsia="仿宋_GB2312" w:cs="仿宋_GB2312"/>
                <w:szCs w:val="21"/>
              </w:rPr>
              <w:t>5‰</w:t>
            </w:r>
          </w:p>
        </w:tc>
        <w:tc>
          <w:tcPr>
            <w:tcW w:w="1240" w:type="dxa"/>
            <w:vAlign w:val="center"/>
          </w:tcPr>
          <w:p>
            <w:pPr>
              <w:jc w:val="left"/>
              <w:rPr>
                <w:rStyle w:val="16"/>
                <w:rFonts w:hint="eastAsia" w:ascii="仿宋_GB2312" w:hAnsi="仿宋_GB2312" w:eastAsia="仿宋_GB2312" w:cs="仿宋_GB2312"/>
                <w:sz w:val="21"/>
                <w:szCs w:val="21"/>
              </w:rPr>
            </w:pPr>
          </w:p>
        </w:tc>
      </w:tr>
    </w:tbl>
    <w:p>
      <w:pPr>
        <w:pStyle w:val="15"/>
        <w:numPr>
          <w:ilvl w:val="0"/>
          <w:numId w:val="41"/>
        </w:numPr>
        <w:ind w:left="420" w:leftChars="0" w:hanging="420" w:firstLineChars="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电气技术要求</w:t>
      </w:r>
    </w:p>
    <w:tbl>
      <w:tblPr>
        <w:tblStyle w:val="10"/>
        <w:tblW w:w="918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2"/>
        <w:gridCol w:w="6989"/>
        <w:gridCol w:w="12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需求编号</w:t>
            </w:r>
          </w:p>
        </w:tc>
        <w:tc>
          <w:tcPr>
            <w:tcW w:w="6989" w:type="dxa"/>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要求</w:t>
            </w:r>
          </w:p>
        </w:tc>
        <w:tc>
          <w:tcPr>
            <w:tcW w:w="1267" w:type="dxa"/>
            <w:vAlign w:val="center"/>
          </w:tcPr>
          <w:p>
            <w:pPr>
              <w:jc w:val="center"/>
              <w:rPr>
                <w:rStyle w:val="16"/>
                <w:rFonts w:hint="eastAsia" w:ascii="仿宋_GB2312" w:hAnsi="仿宋_GB2312" w:eastAsia="仿宋_GB2312" w:cs="仿宋_GB2312"/>
                <w:sz w:val="21"/>
                <w:szCs w:val="21"/>
              </w:rPr>
            </w:pPr>
            <w:r>
              <w:rPr>
                <w:rStyle w:val="16"/>
                <w:rFonts w:hint="eastAsia" w:ascii="仿宋_GB2312" w:hAnsi="仿宋_GB2312" w:eastAsia="仿宋_GB2312" w:cs="仿宋_GB2312"/>
                <w:sz w:val="21"/>
                <w:szCs w:val="21"/>
              </w:rPr>
              <w:t>响应</w:t>
            </w:r>
          </w:p>
          <w:p>
            <w:pPr>
              <w:jc w:val="center"/>
              <w:rPr>
                <w:rFonts w:hint="eastAsia" w:ascii="仿宋_GB2312" w:hAnsi="仿宋_GB2312" w:eastAsia="仿宋_GB2312" w:cs="仿宋_GB2312"/>
                <w:szCs w:val="21"/>
              </w:rPr>
            </w:pPr>
            <w:r>
              <w:rPr>
                <w:rStyle w:val="16"/>
                <w:rFonts w:hint="eastAsia" w:ascii="仿宋_GB2312" w:hAnsi="仿宋_GB2312" w:eastAsia="仿宋_GB2312" w:cs="仿宋_GB2312"/>
                <w:sz w:val="21"/>
                <w:szCs w:val="21"/>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188" w:type="dxa"/>
            <w:gridSpan w:val="3"/>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系统要求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124</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所有设备、材料施工前，必须送样品或样本经甲方确认后方可实施。</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125</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防爆区域按照防爆要求执行。</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126</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厂房、设施的设计和安装应当能够有效防止昆虫或其它动物进入。</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127</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弱电系统确保稳定运行，对高温、潮湿等具有一定的耐受性。</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128</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电气安全保护应至少包括漏电保护、缺相保护、电机过载保护等。</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188" w:type="dxa"/>
            <w:gridSpan w:val="3"/>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电气要求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188" w:type="dxa"/>
            <w:gridSpan w:val="3"/>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配电箱、配电柜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129</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落地式配电箱柜底座选用槽钢基础，高度≥100mm。</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130</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配电箱柜的安装方式和供货厂家应由用户确认。</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131</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小型动力或照明配电箱，尽量选用嵌入式安装方式。</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9188" w:type="dxa"/>
            <w:gridSpan w:val="3"/>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动力插座、开关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132</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技术夹层应考虑检修插座。</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133</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插座回路必须设漏电保护，洁净区的插座、开关应暗装，外平，封胶。</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134</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表面易于清洁，与壁板连接处密封良好。 </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135</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清洗间等可能有水溅的房间，选用防溅型插座。</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136</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大功率工艺设备动力电源若为插座连接，应选用工业用动力插座，施工前需由用户确认。</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188" w:type="dxa"/>
            <w:gridSpan w:val="3"/>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电线电缆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137</w:t>
            </w:r>
          </w:p>
        </w:tc>
        <w:tc>
          <w:tcPr>
            <w:tcW w:w="6989" w:type="dxa"/>
            <w:vAlign w:val="center"/>
          </w:tcPr>
          <w:p>
            <w:pPr>
              <w:rPr>
                <w:rFonts w:hint="eastAsia" w:ascii="仿宋_GB2312" w:hAnsi="仿宋_GB2312" w:eastAsia="仿宋_GB2312" w:cs="仿宋_GB2312"/>
                <w:szCs w:val="21"/>
              </w:rPr>
            </w:pPr>
            <w:bookmarkStart w:id="23" w:name="_Toc341650846"/>
            <w:bookmarkStart w:id="24" w:name="_Toc340908975"/>
            <w:r>
              <w:rPr>
                <w:rFonts w:hint="eastAsia" w:ascii="仿宋_GB2312" w:hAnsi="仿宋_GB2312" w:eastAsia="仿宋_GB2312" w:cs="仿宋_GB2312"/>
                <w:szCs w:val="21"/>
              </w:rPr>
              <w:t>电线、电缆的生产厂应有主管部门颁发的生产许可证。</w:t>
            </w:r>
            <w:bookmarkEnd w:id="23"/>
            <w:bookmarkEnd w:id="24"/>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138</w:t>
            </w:r>
          </w:p>
        </w:tc>
        <w:tc>
          <w:tcPr>
            <w:tcW w:w="6989" w:type="dxa"/>
            <w:vAlign w:val="center"/>
          </w:tcPr>
          <w:p>
            <w:pPr>
              <w:rPr>
                <w:rFonts w:hint="eastAsia" w:ascii="仿宋_GB2312" w:hAnsi="仿宋_GB2312" w:eastAsia="仿宋_GB2312" w:cs="仿宋_GB2312"/>
                <w:szCs w:val="21"/>
              </w:rPr>
            </w:pPr>
            <w:bookmarkStart w:id="25" w:name="_Toc340908976"/>
            <w:bookmarkStart w:id="26" w:name="_Toc341650847"/>
            <w:r>
              <w:rPr>
                <w:rFonts w:hint="eastAsia" w:ascii="仿宋_GB2312" w:hAnsi="仿宋_GB2312" w:eastAsia="仿宋_GB2312" w:cs="仿宋_GB2312"/>
                <w:szCs w:val="21"/>
              </w:rPr>
              <w:t>电线、电缆应有国家认可的质量检测机构出具的检验合格报告和“3C”认证。</w:t>
            </w:r>
            <w:bookmarkEnd w:id="25"/>
            <w:bookmarkEnd w:id="26"/>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139</w:t>
            </w:r>
          </w:p>
        </w:tc>
        <w:tc>
          <w:tcPr>
            <w:tcW w:w="6989" w:type="dxa"/>
            <w:vAlign w:val="center"/>
          </w:tcPr>
          <w:p>
            <w:pPr>
              <w:rPr>
                <w:rFonts w:hint="eastAsia" w:ascii="仿宋_GB2312" w:hAnsi="仿宋_GB2312" w:eastAsia="仿宋_GB2312" w:cs="仿宋_GB2312"/>
                <w:szCs w:val="21"/>
              </w:rPr>
            </w:pPr>
            <w:bookmarkStart w:id="27" w:name="_Toc341650848"/>
            <w:bookmarkStart w:id="28" w:name="_Toc340908977"/>
            <w:r>
              <w:rPr>
                <w:rFonts w:hint="eastAsia" w:ascii="仿宋_GB2312" w:hAnsi="仿宋_GB2312" w:eastAsia="仿宋_GB2312" w:cs="仿宋_GB2312"/>
                <w:szCs w:val="21"/>
              </w:rPr>
              <w:t>阻燃电缆、耐火电缆应通过国家级相关质量监督检验机构的型式认可检验。</w:t>
            </w:r>
            <w:bookmarkEnd w:id="27"/>
            <w:bookmarkEnd w:id="28"/>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140</w:t>
            </w:r>
          </w:p>
        </w:tc>
        <w:tc>
          <w:tcPr>
            <w:tcW w:w="6989" w:type="dxa"/>
            <w:vAlign w:val="center"/>
          </w:tcPr>
          <w:p>
            <w:pPr>
              <w:rPr>
                <w:rFonts w:hint="eastAsia" w:ascii="仿宋_GB2312" w:hAnsi="仿宋_GB2312" w:eastAsia="仿宋_GB2312" w:cs="仿宋_GB2312"/>
                <w:szCs w:val="21"/>
              </w:rPr>
            </w:pPr>
            <w:bookmarkStart w:id="29" w:name="_Toc340908978"/>
            <w:bookmarkStart w:id="30" w:name="_Toc341650849"/>
            <w:r>
              <w:rPr>
                <w:rFonts w:hint="eastAsia" w:ascii="仿宋_GB2312" w:hAnsi="仿宋_GB2312" w:eastAsia="仿宋_GB2312" w:cs="仿宋_GB2312"/>
                <w:szCs w:val="21"/>
              </w:rPr>
              <w:t>电缆盘上应表明电缆型号、规格、电压等级、长度及出厂日期，并与产品合格证相符。电缆盘应完好无损。</w:t>
            </w:r>
            <w:bookmarkEnd w:id="29"/>
            <w:bookmarkEnd w:id="30"/>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141</w:t>
            </w:r>
          </w:p>
        </w:tc>
        <w:tc>
          <w:tcPr>
            <w:tcW w:w="6989" w:type="dxa"/>
            <w:vAlign w:val="center"/>
          </w:tcPr>
          <w:p>
            <w:pPr>
              <w:rPr>
                <w:rFonts w:hint="eastAsia" w:ascii="仿宋_GB2312" w:hAnsi="仿宋_GB2312" w:eastAsia="仿宋_GB2312" w:cs="仿宋_GB2312"/>
                <w:szCs w:val="21"/>
              </w:rPr>
            </w:pPr>
            <w:bookmarkStart w:id="31" w:name="_Toc340908981"/>
            <w:bookmarkStart w:id="32" w:name="_Toc341650852"/>
            <w:r>
              <w:rPr>
                <w:rFonts w:hint="eastAsia" w:ascii="仿宋_GB2312" w:hAnsi="仿宋_GB2312" w:eastAsia="仿宋_GB2312" w:cs="仿宋_GB2312"/>
                <w:szCs w:val="21"/>
              </w:rPr>
              <w:t>电缆芯线和电线绝缘层的颜色必须满足以下要求：</w:t>
            </w:r>
            <w:bookmarkEnd w:id="31"/>
            <w:bookmarkEnd w:id="32"/>
          </w:p>
          <w:p>
            <w:pPr>
              <w:rPr>
                <w:rFonts w:hint="eastAsia" w:ascii="仿宋_GB2312" w:hAnsi="仿宋_GB2312" w:eastAsia="仿宋_GB2312" w:cs="仿宋_GB2312"/>
                <w:szCs w:val="21"/>
              </w:rPr>
            </w:pPr>
            <w:bookmarkStart w:id="33" w:name="_Toc340908982"/>
            <w:bookmarkStart w:id="34" w:name="_Toc341650853"/>
            <w:r>
              <w:rPr>
                <w:rFonts w:hint="eastAsia" w:ascii="仿宋_GB2312" w:hAnsi="仿宋_GB2312" w:eastAsia="仿宋_GB2312" w:cs="仿宋_GB2312"/>
                <w:szCs w:val="21"/>
              </w:rPr>
              <w:t>相线：黄、绿、红；零线：蓝；地线：黄/绿；控制线：白</w:t>
            </w:r>
            <w:bookmarkEnd w:id="33"/>
            <w:r>
              <w:rPr>
                <w:rFonts w:hint="eastAsia" w:ascii="仿宋_GB2312" w:hAnsi="仿宋_GB2312" w:eastAsia="仿宋_GB2312" w:cs="仿宋_GB2312"/>
                <w:szCs w:val="21"/>
              </w:rPr>
              <w:t>、黑</w:t>
            </w:r>
            <w:bookmarkEnd w:id="34"/>
            <w:bookmarkStart w:id="35" w:name="_Toc340908983"/>
            <w:bookmarkStart w:id="36" w:name="_Toc341650854"/>
          </w:p>
          <w:p>
            <w:pPr>
              <w:rPr>
                <w:rFonts w:hint="eastAsia" w:ascii="仿宋_GB2312" w:hAnsi="仿宋_GB2312" w:eastAsia="仿宋_GB2312" w:cs="仿宋_GB2312"/>
                <w:szCs w:val="21"/>
              </w:rPr>
            </w:pPr>
            <w:r>
              <w:rPr>
                <w:rFonts w:hint="eastAsia" w:ascii="仿宋_GB2312" w:hAnsi="仿宋_GB2312" w:eastAsia="仿宋_GB2312" w:cs="仿宋_GB2312"/>
                <w:szCs w:val="21"/>
              </w:rPr>
              <w:t>电线、电缆要符合当地电网的入网使用要求。</w:t>
            </w:r>
            <w:bookmarkEnd w:id="35"/>
            <w:bookmarkEnd w:id="36"/>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eastAsia" w:ascii="仿宋_GB2312" w:hAnsi="仿宋_GB2312" w:eastAsia="仿宋_GB2312" w:cs="仿宋_GB2312"/>
                <w:kern w:val="2"/>
                <w:sz w:val="21"/>
                <w:szCs w:val="21"/>
                <w:lang w:val="en-US" w:eastAsia="zh-CN" w:bidi="ar-SA"/>
              </w:rPr>
            </w:pPr>
          </w:p>
        </w:tc>
        <w:tc>
          <w:tcPr>
            <w:tcW w:w="6989" w:type="dxa"/>
            <w:vAlign w:val="center"/>
          </w:tcPr>
          <w:p>
            <w:pPr>
              <w:numPr>
                <w:ilvl w:val="0"/>
                <w:numId w:val="43"/>
              </w:numPr>
              <w:ind w:left="425" w:leftChars="0" w:hanging="425" w:firstLineChars="0"/>
              <w:rPr>
                <w:rFonts w:hint="eastAsia" w:ascii="仿宋_GB2312" w:hAnsi="仿宋_GB2312" w:eastAsia="仿宋_GB2312" w:cs="仿宋_GB2312"/>
                <w:szCs w:val="21"/>
              </w:rPr>
            </w:pPr>
            <w:r>
              <w:rPr>
                <w:rFonts w:hint="eastAsia" w:ascii="仿宋_GB2312" w:hAnsi="仿宋_GB2312" w:eastAsia="仿宋_GB2312" w:cs="仿宋_GB2312"/>
                <w:szCs w:val="21"/>
              </w:rPr>
              <w:t>电缆须完整，禁止采用中间接头驳接。</w:t>
            </w:r>
          </w:p>
          <w:p>
            <w:pPr>
              <w:numPr>
                <w:ilvl w:val="0"/>
                <w:numId w:val="43"/>
              </w:numPr>
              <w:ind w:left="425" w:leftChars="0" w:hanging="425" w:firstLineChars="0"/>
              <w:rPr>
                <w:rFonts w:hint="eastAsia" w:ascii="仿宋_GB2312" w:hAnsi="仿宋_GB2312" w:eastAsia="仿宋_GB2312" w:cs="仿宋_GB2312"/>
                <w:szCs w:val="21"/>
              </w:rPr>
            </w:pPr>
            <w:r>
              <w:rPr>
                <w:rFonts w:hint="eastAsia" w:ascii="仿宋_GB2312" w:hAnsi="仿宋_GB2312" w:eastAsia="仿宋_GB2312" w:cs="仿宋_GB2312"/>
                <w:szCs w:val="21"/>
              </w:rPr>
              <w:t>电缆必须使用热镀锌铜接线耳连接，禁止采用缠绕或螺母直接压接方式安装。电缆线耳压接后须用相应颜色色带热缩套封。</w:t>
            </w:r>
          </w:p>
          <w:p>
            <w:pPr>
              <w:numPr>
                <w:ilvl w:val="0"/>
                <w:numId w:val="43"/>
              </w:numPr>
              <w:ind w:left="425" w:leftChars="0" w:hanging="425" w:firstLineChars="0"/>
              <w:rPr>
                <w:rFonts w:hint="eastAsia" w:ascii="仿宋_GB2312" w:hAnsi="仿宋_GB2312" w:eastAsia="仿宋_GB2312" w:cs="仿宋_GB2312"/>
                <w:szCs w:val="21"/>
              </w:rPr>
            </w:pPr>
            <w:r>
              <w:rPr>
                <w:rFonts w:hint="eastAsia" w:ascii="仿宋_GB2312" w:hAnsi="仿宋_GB2312" w:eastAsia="仿宋_GB2312" w:cs="仿宋_GB2312"/>
                <w:szCs w:val="21"/>
              </w:rPr>
              <w:t>电缆两端悬挂电缆信息标识牌（包含电缆型号、电缆去向、安装时间等）。</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188" w:type="dxa"/>
            <w:gridSpan w:val="3"/>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线管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142</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洁净区内的电气管线管口，以及安装于墙上的各种电气设备与墙体接缝处均应有可靠密封。</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143</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洁净区内的电气管线宜暗敷，电线保护管宜采用不锈钢管或其他不宜腐蚀的材料。</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144</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电线、电缆、信号线等在夹层内和穿彩钢板中间的都应先套镀锌管保护，并采用专用接头管件连接，壁厚大于1.2mm；穿彩钢板的镀锌管应在彩钢板立墙之前预先埋好。</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145</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如果有进入生产车间/洁净区内部并裸露的线管应用外抛光的304不锈钢管安装。</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188" w:type="dxa"/>
            <w:gridSpan w:val="3"/>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桥架线槽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146</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采用镀锌桥架，厂家预制成品件，桥架厚度应符合国标要求，槽式桥架必须带盖板。</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147</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所有桥架敷设应根据图纸，其安装可由施工单位根据现场情况适当调整标高和走向，但必需符合相关法规标准的要求。</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148</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桥架应平整，无扭曲变形，内壁无毛刺，各种附件齐全。桥架的接口应平整，接缝处应紧密平直。盖板装上后应平整，无翘角，出线口的位置准确。不允许将穿过墙壁的桥架与墙上的孔洞一起抹死。</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149</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保护地线和桥架内导线均应留有补偿余量。</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150</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保护地线应根据设计要求敷设在桥架内一侧，接地处螺丝直径不应小于5mm；并且根据需要加平垫和弹垫，用螺母压接牢固。桥架的所有非导电部分的铁件均应相互连接和跨接，使之成为一连续导体，并做好整体接地。</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151</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安装桥架时，应注意保持墙面和顶棚的清洁。安装完成后，桥架盖板应齐全平实，不得遗漏。严禁施工人员拿桥架当脚手架随意踩踏。严禁随意拆卸、挪动支吊架和桥架。桥架安装完成后，不应再进行喷浆、刷油之类的工作，以防止桥架外观遭到破坏。</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152</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桥架或支架上多根电缆敷设时，应根据现场实际情况，事先将电缆的排列，用表或图的方式画出来，以防电缆的交叉或混乱。电缆穿过楼板或房间隔墙时，应装套管，敷设完后应将套管用防火材料堵死。</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153</w:t>
            </w:r>
          </w:p>
        </w:tc>
        <w:tc>
          <w:tcPr>
            <w:tcW w:w="6989" w:type="dxa"/>
            <w:vAlign w:val="center"/>
          </w:tcPr>
          <w:p>
            <w:pPr>
              <w:numPr>
                <w:ilvl w:val="0"/>
                <w:numId w:val="44"/>
              </w:numPr>
              <w:ind w:left="425" w:leftChars="0" w:hanging="425" w:firstLineChars="0"/>
              <w:rPr>
                <w:rFonts w:hint="eastAsia" w:ascii="仿宋_GB2312" w:hAnsi="仿宋_GB2312" w:eastAsia="仿宋_GB2312" w:cs="仿宋_GB2312"/>
                <w:szCs w:val="21"/>
              </w:rPr>
            </w:pPr>
            <w:r>
              <w:rPr>
                <w:rFonts w:hint="eastAsia" w:ascii="仿宋_GB2312" w:hAnsi="仿宋_GB2312" w:eastAsia="仿宋_GB2312" w:cs="仿宋_GB2312"/>
                <w:szCs w:val="21"/>
              </w:rPr>
              <w:t>金属电缆桥架及其支架全长应不小于2处与接地干线相连接，所有线槽或桥架PE连接可靠，末端与PE母排直接连接。</w:t>
            </w:r>
          </w:p>
          <w:p>
            <w:pPr>
              <w:numPr>
                <w:ilvl w:val="0"/>
                <w:numId w:val="44"/>
              </w:numPr>
              <w:ind w:left="425" w:leftChars="0" w:hanging="425" w:firstLineChars="0"/>
              <w:rPr>
                <w:rFonts w:hint="eastAsia" w:ascii="仿宋_GB2312" w:hAnsi="仿宋_GB2312" w:eastAsia="仿宋_GB2312" w:cs="仿宋_GB2312"/>
                <w:szCs w:val="21"/>
              </w:rPr>
            </w:pPr>
            <w:r>
              <w:rPr>
                <w:rFonts w:hint="eastAsia" w:ascii="仿宋_GB2312" w:hAnsi="仿宋_GB2312" w:eastAsia="仿宋_GB2312" w:cs="仿宋_GB2312"/>
                <w:szCs w:val="21"/>
              </w:rPr>
              <w:t>金属线槽内电线或电缆的总截面（包括外护层）不超过线槽截面的20%，载流导体不宜超过30根。电缆桥架总截面积与托盘内横截面积的比值，电力电缆不大于40%。控制和信号线路或电缆的总截面不超过50%。在有严重腐蚀的场所不宜采用金属线槽布线；</w:t>
            </w:r>
          </w:p>
          <w:p>
            <w:pPr>
              <w:numPr>
                <w:ilvl w:val="0"/>
                <w:numId w:val="44"/>
              </w:numPr>
              <w:ind w:left="425" w:leftChars="0" w:hanging="425" w:firstLineChars="0"/>
              <w:rPr>
                <w:rFonts w:hint="eastAsia" w:ascii="仿宋_GB2312" w:hAnsi="仿宋_GB2312" w:eastAsia="仿宋_GB2312" w:cs="仿宋_GB2312"/>
                <w:szCs w:val="21"/>
              </w:rPr>
            </w:pPr>
            <w:r>
              <w:rPr>
                <w:rFonts w:hint="eastAsia" w:ascii="仿宋_GB2312" w:hAnsi="仿宋_GB2312" w:eastAsia="仿宋_GB2312" w:cs="仿宋_GB2312"/>
                <w:szCs w:val="21"/>
              </w:rPr>
              <w:t>电缆桥架水平敷设时，距地面高度不低于2.5m，跨越通道大于6m；垂直敷设时，距地面高度不低于1.8m，且不宜敷设在腐蚀性气体管道和热力管道的上方及腐蚀性液体管道的下方。当不能满足上述要求时，采取防腐、隔热措施；</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eastAsia" w:ascii="仿宋_GB2312" w:hAnsi="仿宋_GB2312" w:eastAsia="仿宋_GB2312" w:cs="仿宋_GB2312"/>
                <w:kern w:val="2"/>
                <w:sz w:val="21"/>
                <w:szCs w:val="21"/>
                <w:lang w:val="en-US" w:eastAsia="zh-CN" w:bidi="ar-SA"/>
              </w:rPr>
            </w:pPr>
          </w:p>
        </w:tc>
        <w:tc>
          <w:tcPr>
            <w:tcW w:w="6989" w:type="dxa"/>
            <w:vAlign w:val="center"/>
          </w:tcPr>
          <w:p>
            <w:pPr>
              <w:numPr>
                <w:ilvl w:val="0"/>
                <w:numId w:val="44"/>
              </w:numPr>
              <w:ind w:left="425" w:leftChars="0" w:hanging="425" w:firstLineChars="0"/>
              <w:rPr>
                <w:rFonts w:hint="eastAsia" w:ascii="仿宋_GB2312" w:hAnsi="仿宋_GB2312" w:eastAsia="仿宋_GB2312" w:cs="仿宋_GB2312"/>
                <w:szCs w:val="21"/>
              </w:rPr>
            </w:pPr>
            <w:r>
              <w:rPr>
                <w:rFonts w:hint="eastAsia" w:ascii="仿宋_GB2312" w:hAnsi="仿宋_GB2312" w:eastAsia="仿宋_GB2312" w:cs="仿宋_GB2312"/>
                <w:szCs w:val="21"/>
              </w:rPr>
              <w:t>所有配电线路线管、线槽、桥架等必须使用跨接接地铜片或黄绿双色电线做跨接接地，跨接地线截面积≥4mm2。</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188" w:type="dxa"/>
            <w:gridSpan w:val="3"/>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照明灯具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154</w:t>
            </w:r>
          </w:p>
        </w:tc>
        <w:tc>
          <w:tcPr>
            <w:tcW w:w="6989" w:type="dxa"/>
            <w:vAlign w:val="center"/>
          </w:tcPr>
          <w:p>
            <w:pPr>
              <w:rPr>
                <w:rFonts w:hint="eastAsia" w:ascii="仿宋_GB2312" w:hAnsi="仿宋_GB2312" w:eastAsia="仿宋_GB2312" w:cs="仿宋_GB2312"/>
                <w:bCs/>
                <w:kern w:val="44"/>
                <w:szCs w:val="21"/>
              </w:rPr>
            </w:pPr>
            <w:r>
              <w:rPr>
                <w:rFonts w:hint="eastAsia" w:ascii="仿宋_GB2312" w:hAnsi="仿宋_GB2312" w:eastAsia="仿宋_GB2312" w:cs="仿宋_GB2312"/>
                <w:szCs w:val="21"/>
              </w:rPr>
              <w:t>洁净区主要工作区照度≥</w:t>
            </w:r>
            <w:r>
              <w:rPr>
                <w:rFonts w:hint="eastAsia" w:ascii="仿宋_GB2312" w:hAnsi="仿宋_GB2312" w:eastAsia="仿宋_GB2312" w:cs="仿宋_GB2312"/>
                <w:szCs w:val="21"/>
                <w:lang w:val="en-US" w:eastAsia="zh-CN"/>
              </w:rPr>
              <w:t>4</w:t>
            </w:r>
            <w:r>
              <w:rPr>
                <w:rFonts w:hint="eastAsia" w:ascii="仿宋_GB2312" w:hAnsi="仿宋_GB2312" w:eastAsia="仿宋_GB2312" w:cs="仿宋_GB2312"/>
                <w:szCs w:val="21"/>
              </w:rPr>
              <w:t>00lx。辅助工作区如走廊、缓冲间、人员净化等辅助房间应≥150lx。对照度有特殊要求的房间可设置局部照明。</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155</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洁净灯具选用吸顶式LED洁净面板灯。非洁净区无吊顶的选用丝杆或灯槽安装，非洁净区有吊顶的选用吸顶安装。</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156</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部分房间若有红灯照明、紫外灯，开关互不影响。</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157</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灯罩采用强度高，透光性好的亚克力。可耐受酒精擦拭。</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158</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照明光源采用节能型高效LED光源，光通量不小于90lm/w</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159</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灯具内电源线使用多芯软铜导线，导线连接一律采用接线端子连接，不允许搭接。发光颜色为日光色，使用高效节能反光板，照度均匀度应大于0.7。</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188" w:type="dxa"/>
            <w:gridSpan w:val="3"/>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应急照明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160</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生产车间主要疏散通道应设置应急指示灯，在紧急情况下提供正确的疏散方向。</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161</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金属壁板墙面上的应急指示灯应暗装。</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932"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162</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在主要功能间、人流疏散通道或房间以及在紧急情况下停电有安全隐患的生产操作间应设置应急照明灯。</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932"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163</w:t>
            </w:r>
          </w:p>
        </w:tc>
        <w:tc>
          <w:tcPr>
            <w:tcW w:w="6989" w:type="dxa"/>
            <w:vAlign w:val="center"/>
          </w:tcPr>
          <w:p>
            <w:pP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rPr>
              <w:t>应急照明灯</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疏散指示牌与主体一致的系统，集中供电应急照明</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188" w:type="dxa"/>
            <w:gridSpan w:val="3"/>
            <w:vAlign w:val="center"/>
          </w:tcPr>
          <w:p>
            <w:pPr>
              <w:numPr>
                <w:ilvl w:val="0"/>
                <w:numId w:val="45"/>
              </w:numPr>
              <w:ind w:left="420" w:leftChars="0" w:hanging="420" w:firstLineChars="0"/>
              <w:jc w:val="left"/>
              <w:rPr>
                <w:rFonts w:hint="eastAsia" w:ascii="仿宋_GB2312" w:hAnsi="仿宋_GB2312" w:eastAsia="仿宋_GB2312" w:cs="仿宋_GB2312"/>
                <w:szCs w:val="21"/>
              </w:rPr>
            </w:pPr>
            <w:r>
              <w:rPr>
                <w:rFonts w:hint="eastAsia" w:ascii="仿宋_GB2312" w:hAnsi="仿宋_GB2312" w:eastAsia="仿宋_GB2312" w:cs="仿宋_GB2312"/>
                <w:szCs w:val="21"/>
              </w:rPr>
              <w:t>防雷接地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164</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采用25×4热镀锌扁钢在屋面设置不大于10m×10m或12m×8m的网格组成接闪网，女儿墙处敷设接闪带，接闪网及接闪带之间相互可靠连接组成本建筑物的接闪器，且利用建筑物的柱内主钢筋作为防雷装置引下线，其间距不大于18m。</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165</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应采取有效措施防止并消除洁净区域的</w:t>
            </w:r>
            <w:r>
              <w:rPr>
                <w:rFonts w:hint="eastAsia" w:ascii="仿宋_GB2312" w:hAnsi="仿宋_GB2312" w:eastAsia="仿宋_GB2312" w:cs="仿宋_GB2312"/>
                <w:szCs w:val="21"/>
                <w:lang w:val="en-US" w:eastAsia="zh-CN"/>
              </w:rPr>
              <w:t>雷</w:t>
            </w:r>
            <w:r>
              <w:rPr>
                <w:rFonts w:hint="eastAsia" w:ascii="仿宋_GB2312" w:hAnsi="仿宋_GB2312" w:eastAsia="仿宋_GB2312" w:cs="仿宋_GB2312"/>
                <w:szCs w:val="21"/>
              </w:rPr>
              <w:t>电危害。</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32"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166</w:t>
            </w:r>
          </w:p>
        </w:tc>
        <w:tc>
          <w:tcPr>
            <w:tcW w:w="6989" w:type="dxa"/>
            <w:vAlign w:val="center"/>
          </w:tcPr>
          <w:p>
            <w:pPr>
              <w:rPr>
                <w:rFonts w:hint="eastAsia" w:ascii="仿宋_GB2312" w:hAnsi="仿宋_GB2312" w:eastAsia="仿宋_GB2312" w:cs="仿宋_GB2312"/>
                <w:szCs w:val="21"/>
              </w:rPr>
            </w:pPr>
            <w:r>
              <w:rPr>
                <w:rFonts w:hint="eastAsia" w:ascii="仿宋_GB2312" w:hAnsi="仿宋_GB2312" w:eastAsia="仿宋_GB2312" w:cs="仿宋_GB2312"/>
                <w:szCs w:val="21"/>
              </w:rPr>
              <w:t>设施设备的防雷与接地措施应符合相关规范要求。</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932"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167</w:t>
            </w:r>
          </w:p>
        </w:tc>
        <w:tc>
          <w:tcPr>
            <w:tcW w:w="6989" w:type="dxa"/>
            <w:vAlign w:val="center"/>
          </w:tcPr>
          <w:p>
            <w:pPr>
              <w:jc w:val="left"/>
              <w:rPr>
                <w:rFonts w:hint="eastAsia" w:ascii="仿宋_GB2312" w:hAnsi="仿宋_GB2312" w:eastAsia="仿宋_GB2312" w:cs="仿宋_GB2312"/>
                <w:szCs w:val="21"/>
              </w:rPr>
            </w:pPr>
            <w:r>
              <w:rPr>
                <w:rFonts w:hint="eastAsia" w:ascii="仿宋_GB2312" w:hAnsi="仿宋_GB2312" w:eastAsia="仿宋_GB2312" w:cs="仿宋_GB2312"/>
                <w:szCs w:val="21"/>
              </w:rPr>
              <w:t>所有设备、变压器、配电柜、桥架、仪控柜有可靠电气接地。设备外壳或基础可采用镀锌圆钢或扁铁连接，接地电阻小于1欧姆。</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9188" w:type="dxa"/>
            <w:gridSpan w:val="3"/>
            <w:vAlign w:val="center"/>
          </w:tcPr>
          <w:p>
            <w:pPr>
              <w:numPr>
                <w:ilvl w:val="0"/>
                <w:numId w:val="45"/>
              </w:numPr>
              <w:ind w:left="420" w:leftChars="0" w:hanging="420" w:firstLineChars="0"/>
              <w:jc w:val="left"/>
              <w:rPr>
                <w:rFonts w:hint="eastAsia" w:ascii="仿宋_GB2312" w:hAnsi="仿宋_GB2312" w:eastAsia="仿宋_GB2312" w:cs="仿宋_GB2312"/>
                <w:szCs w:val="21"/>
              </w:rPr>
            </w:pPr>
            <w:r>
              <w:rPr>
                <w:rFonts w:hint="eastAsia" w:ascii="仿宋_GB2312" w:hAnsi="仿宋_GB2312" w:eastAsia="仿宋_GB2312" w:cs="仿宋_GB2312"/>
                <w:szCs w:val="21"/>
                <w:lang w:val="en-US" w:eastAsia="zh-CN"/>
              </w:rPr>
              <w:t>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168</w:t>
            </w:r>
          </w:p>
        </w:tc>
        <w:tc>
          <w:tcPr>
            <w:tcW w:w="6989" w:type="dxa"/>
            <w:vAlign w:val="center"/>
          </w:tcPr>
          <w:p>
            <w:pPr>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仓库地面与车间要求一致；</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169</w:t>
            </w:r>
          </w:p>
        </w:tc>
        <w:tc>
          <w:tcPr>
            <w:tcW w:w="6989" w:type="dxa"/>
            <w:vAlign w:val="center"/>
          </w:tcPr>
          <w:p>
            <w:pPr>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仓库温湿度管控，温度</w:t>
            </w:r>
            <w:r>
              <w:rPr>
                <w:rFonts w:hint="eastAsia" w:ascii="仿宋_GB2312" w:hAnsi="仿宋_GB2312" w:eastAsia="仿宋_GB2312" w:cs="仿宋_GB2312"/>
                <w:sz w:val="16"/>
                <w:szCs w:val="16"/>
              </w:rPr>
              <w:t>2</w:t>
            </w:r>
            <w:r>
              <w:rPr>
                <w:rFonts w:hint="eastAsia" w:ascii="仿宋_GB2312" w:hAnsi="仿宋_GB2312" w:eastAsia="仿宋_GB2312" w:cs="仿宋_GB2312"/>
                <w:sz w:val="16"/>
                <w:szCs w:val="16"/>
                <w:lang w:val="en-US" w:eastAsia="zh-CN"/>
              </w:rPr>
              <w:t>5</w:t>
            </w:r>
            <w:r>
              <w:rPr>
                <w:rFonts w:hint="eastAsia" w:ascii="仿宋_GB2312" w:hAnsi="仿宋_GB2312" w:eastAsia="仿宋_GB2312" w:cs="仿宋_GB2312"/>
                <w:sz w:val="16"/>
                <w:szCs w:val="16"/>
              </w:rPr>
              <w:t>±</w:t>
            </w:r>
            <w:r>
              <w:rPr>
                <w:rFonts w:hint="eastAsia" w:ascii="仿宋_GB2312" w:hAnsi="仿宋_GB2312" w:eastAsia="仿宋_GB2312" w:cs="仿宋_GB2312"/>
                <w:sz w:val="16"/>
                <w:szCs w:val="16"/>
                <w:lang w:val="en-US" w:eastAsia="zh-CN"/>
              </w:rPr>
              <w:t>5，湿度40-75；</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170</w:t>
            </w:r>
          </w:p>
        </w:tc>
        <w:tc>
          <w:tcPr>
            <w:tcW w:w="6989" w:type="dxa"/>
            <w:vAlign w:val="center"/>
          </w:tcPr>
          <w:p>
            <w:pPr>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仓库灯安装防爆LED灯，灯开关不能在仓库内；按照消防规范设置。</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171</w:t>
            </w:r>
          </w:p>
        </w:tc>
        <w:tc>
          <w:tcPr>
            <w:tcW w:w="6989" w:type="dxa"/>
            <w:vAlign w:val="center"/>
          </w:tcPr>
          <w:p>
            <w:pPr>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仓库内摄像头全覆盖，门需要设置门禁；</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9188" w:type="dxa"/>
            <w:gridSpan w:val="3"/>
            <w:vAlign w:val="center"/>
          </w:tcPr>
          <w:p>
            <w:pPr>
              <w:numPr>
                <w:ilvl w:val="0"/>
                <w:numId w:val="45"/>
              </w:numPr>
              <w:ind w:left="420" w:leftChars="0" w:hanging="420" w:firstLineChars="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闸机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172</w:t>
            </w:r>
          </w:p>
        </w:tc>
        <w:tc>
          <w:tcPr>
            <w:tcW w:w="6989" w:type="dxa"/>
            <w:vAlign w:val="center"/>
          </w:tcPr>
          <w:p>
            <w:pPr>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进入车间的ESD闸机，闸机能显示测试的数值并能导出数据；闸机有语音播报；闸机能在系统选择测试手腕带还是脚；</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173</w:t>
            </w:r>
          </w:p>
        </w:tc>
        <w:tc>
          <w:tcPr>
            <w:tcW w:w="6989" w:type="dxa"/>
            <w:vAlign w:val="center"/>
          </w:tcPr>
          <w:p>
            <w:pPr>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闸机能实时统计进入车间人员数量，出车间也能记录，并能导出数据；从后台能导出莫一个人一天进出车间的时间。</w:t>
            </w:r>
          </w:p>
        </w:tc>
        <w:tc>
          <w:tcPr>
            <w:tcW w:w="1267" w:type="dxa"/>
            <w:vAlign w:val="center"/>
          </w:tcPr>
          <w:p>
            <w:pPr>
              <w:jc w:val="left"/>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932" w:type="dxa"/>
            <w:vAlign w:val="center"/>
          </w:tcPr>
          <w:p>
            <w:pPr>
              <w:numPr>
                <w:ilvl w:val="0"/>
                <w:numId w:val="0"/>
              </w:numPr>
              <w:ind w:left="425" w:leftChars="0" w:hanging="425" w:firstLineChars="0"/>
              <w:jc w:val="left"/>
              <w:rPr>
                <w:rFonts w:hint="default"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174</w:t>
            </w:r>
          </w:p>
        </w:tc>
        <w:tc>
          <w:tcPr>
            <w:tcW w:w="6989" w:type="dxa"/>
            <w:vAlign w:val="center"/>
          </w:tcPr>
          <w:p>
            <w:pPr>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闸机为304不锈钢、可靠接地和静电消除设施。</w:t>
            </w:r>
          </w:p>
        </w:tc>
        <w:tc>
          <w:tcPr>
            <w:tcW w:w="1267" w:type="dxa"/>
            <w:vAlign w:val="center"/>
          </w:tcPr>
          <w:p>
            <w:pPr>
              <w:jc w:val="left"/>
              <w:rPr>
                <w:rFonts w:hint="eastAsia" w:ascii="仿宋_GB2312" w:hAnsi="仿宋_GB2312" w:eastAsia="仿宋_GB2312" w:cs="仿宋_GB2312"/>
                <w:szCs w:val="21"/>
              </w:rPr>
            </w:pPr>
          </w:p>
        </w:tc>
      </w:tr>
    </w:tbl>
    <w:p>
      <w:pPr>
        <w:rPr>
          <w:rFonts w:hint="eastAsia" w:ascii="仿宋_GB2312" w:hAnsi="仿宋_GB2312" w:eastAsia="仿宋_GB2312" w:cs="仿宋_GB2312"/>
          <w:szCs w:val="21"/>
        </w:rPr>
      </w:pPr>
    </w:p>
    <w:p>
      <w:pPr>
        <w:pStyle w:val="15"/>
        <w:numPr>
          <w:ilvl w:val="0"/>
          <w:numId w:val="0"/>
        </w:numPr>
        <w:ind w:leftChars="20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五、</w:t>
      </w:r>
      <w:r>
        <w:rPr>
          <w:rFonts w:hint="eastAsia" w:ascii="仿宋_GB2312" w:hAnsi="仿宋_GB2312" w:eastAsia="仿宋_GB2312" w:cs="仿宋_GB2312"/>
          <w:b/>
          <w:bCs/>
          <w:sz w:val="21"/>
          <w:szCs w:val="21"/>
        </w:rPr>
        <w:t>文件与技术资料要求</w:t>
      </w:r>
    </w:p>
    <w:tbl>
      <w:tblPr>
        <w:tblStyle w:val="10"/>
        <w:tblW w:w="91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
        <w:gridCol w:w="6909"/>
        <w:gridCol w:w="12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trPr>
        <w:tc>
          <w:tcPr>
            <w:tcW w:w="922" w:type="dxa"/>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需求编号</w:t>
            </w:r>
          </w:p>
        </w:tc>
        <w:tc>
          <w:tcPr>
            <w:tcW w:w="6909" w:type="dxa"/>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要求</w:t>
            </w:r>
          </w:p>
        </w:tc>
        <w:tc>
          <w:tcPr>
            <w:tcW w:w="1289" w:type="dxa"/>
            <w:vAlign w:val="center"/>
          </w:tcPr>
          <w:p>
            <w:pPr>
              <w:jc w:val="center"/>
              <w:rPr>
                <w:rStyle w:val="16"/>
                <w:rFonts w:hint="eastAsia" w:ascii="仿宋_GB2312" w:hAnsi="仿宋_GB2312" w:eastAsia="仿宋_GB2312" w:cs="仿宋_GB2312"/>
                <w:sz w:val="21"/>
                <w:szCs w:val="21"/>
              </w:rPr>
            </w:pPr>
            <w:r>
              <w:rPr>
                <w:rStyle w:val="16"/>
                <w:rFonts w:hint="eastAsia" w:ascii="仿宋_GB2312" w:hAnsi="仿宋_GB2312" w:eastAsia="仿宋_GB2312" w:cs="仿宋_GB2312"/>
                <w:sz w:val="21"/>
                <w:szCs w:val="21"/>
              </w:rPr>
              <w:t>响应</w:t>
            </w:r>
          </w:p>
          <w:p>
            <w:pPr>
              <w:jc w:val="center"/>
              <w:rPr>
                <w:rFonts w:hint="eastAsia" w:ascii="仿宋_GB2312" w:hAnsi="仿宋_GB2312" w:eastAsia="仿宋_GB2312" w:cs="仿宋_GB2312"/>
                <w:szCs w:val="21"/>
              </w:rPr>
            </w:pPr>
            <w:r>
              <w:rPr>
                <w:rStyle w:val="16"/>
                <w:rFonts w:hint="eastAsia" w:ascii="仿宋_GB2312" w:hAnsi="仿宋_GB2312" w:eastAsia="仿宋_GB2312" w:cs="仿宋_GB2312"/>
                <w:sz w:val="21"/>
                <w:szCs w:val="21"/>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922"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175</w:t>
            </w:r>
          </w:p>
        </w:tc>
        <w:tc>
          <w:tcPr>
            <w:tcW w:w="6909" w:type="dxa"/>
          </w:tcPr>
          <w:p>
            <w:pPr>
              <w:spacing w:line="360" w:lineRule="auto"/>
              <w:rPr>
                <w:rFonts w:hint="eastAsia" w:ascii="仿宋_GB2312" w:hAnsi="仿宋_GB2312" w:eastAsia="仿宋_GB2312" w:cs="仿宋_GB2312"/>
                <w:szCs w:val="21"/>
              </w:rPr>
            </w:pPr>
            <w:r>
              <w:rPr>
                <w:rFonts w:hint="eastAsia" w:ascii="仿宋_GB2312" w:hAnsi="仿宋_GB2312" w:eastAsia="仿宋_GB2312" w:cs="仿宋_GB2312"/>
                <w:color w:val="000000"/>
                <w:szCs w:val="21"/>
              </w:rPr>
              <w:t>所有供应商提供的图纸应该单独成卷且用塑料口袋包装起来。</w:t>
            </w:r>
          </w:p>
        </w:tc>
        <w:tc>
          <w:tcPr>
            <w:tcW w:w="1289" w:type="dxa"/>
            <w:vAlign w:val="center"/>
          </w:tcPr>
          <w:p>
            <w:pPr>
              <w:jc w:val="left"/>
              <w:rPr>
                <w:rFonts w:hint="eastAsia" w:ascii="仿宋_GB2312" w:hAnsi="仿宋_GB2312" w:eastAsia="仿宋_GB2312" w:cs="仿宋_GB2312"/>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22"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176</w:t>
            </w:r>
          </w:p>
        </w:tc>
        <w:tc>
          <w:tcPr>
            <w:tcW w:w="6909" w:type="dxa"/>
          </w:tcPr>
          <w:p>
            <w:pPr>
              <w:spacing w:line="276" w:lineRule="auto"/>
              <w:rPr>
                <w:rFonts w:hint="eastAsia" w:ascii="仿宋_GB2312" w:hAnsi="仿宋_GB2312" w:eastAsia="仿宋_GB2312" w:cs="仿宋_GB2312"/>
                <w:szCs w:val="21"/>
              </w:rPr>
            </w:pPr>
            <w:r>
              <w:rPr>
                <w:rFonts w:hint="eastAsia" w:ascii="仿宋_GB2312" w:hAnsi="仿宋_GB2312" w:eastAsia="仿宋_GB2312" w:cs="仿宋_GB2312"/>
                <w:szCs w:val="21"/>
              </w:rPr>
              <w:t>项目计划书</w:t>
            </w:r>
          </w:p>
        </w:tc>
        <w:tc>
          <w:tcPr>
            <w:tcW w:w="1289" w:type="dxa"/>
            <w:vAlign w:val="center"/>
          </w:tcPr>
          <w:p>
            <w:pPr>
              <w:jc w:val="left"/>
              <w:rPr>
                <w:rFonts w:hint="eastAsia" w:ascii="仿宋_GB2312" w:hAnsi="仿宋_GB2312" w:eastAsia="仿宋_GB2312" w:cs="仿宋_GB2312"/>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922"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177</w:t>
            </w:r>
          </w:p>
        </w:tc>
        <w:tc>
          <w:tcPr>
            <w:tcW w:w="6909" w:type="dxa"/>
          </w:tcPr>
          <w:p>
            <w:pPr>
              <w:spacing w:line="276" w:lineRule="auto"/>
              <w:rPr>
                <w:rFonts w:hint="eastAsia" w:ascii="仿宋_GB2312" w:hAnsi="仿宋_GB2312" w:eastAsia="仿宋_GB2312" w:cs="仿宋_GB2312"/>
                <w:spacing w:val="8"/>
                <w:kern w:val="10"/>
                <w:szCs w:val="21"/>
              </w:rPr>
            </w:pPr>
            <w:r>
              <w:rPr>
                <w:rFonts w:hint="eastAsia" w:ascii="仿宋_GB2312" w:hAnsi="仿宋_GB2312" w:eastAsia="仿宋_GB2312" w:cs="仿宋_GB2312"/>
                <w:szCs w:val="21"/>
              </w:rPr>
              <w:t>P&amp;ID流程图</w:t>
            </w:r>
          </w:p>
        </w:tc>
        <w:tc>
          <w:tcPr>
            <w:tcW w:w="1289" w:type="dxa"/>
            <w:vAlign w:val="center"/>
          </w:tcPr>
          <w:p>
            <w:pPr>
              <w:jc w:val="left"/>
              <w:rPr>
                <w:rFonts w:hint="eastAsia" w:ascii="仿宋_GB2312" w:hAnsi="仿宋_GB2312" w:eastAsia="仿宋_GB2312" w:cs="仿宋_GB2312"/>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22"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178</w:t>
            </w:r>
          </w:p>
        </w:tc>
        <w:tc>
          <w:tcPr>
            <w:tcW w:w="6909" w:type="dxa"/>
          </w:tcPr>
          <w:p>
            <w:pPr>
              <w:spacing w:line="360" w:lineRule="auto"/>
              <w:rPr>
                <w:rFonts w:hint="eastAsia" w:ascii="仿宋_GB2312" w:hAnsi="仿宋_GB2312" w:eastAsia="仿宋_GB2312" w:cs="仿宋_GB2312"/>
                <w:szCs w:val="21"/>
              </w:rPr>
            </w:pPr>
            <w:bookmarkStart w:id="37" w:name="_Toc26948114"/>
            <w:r>
              <w:rPr>
                <w:rFonts w:hint="eastAsia" w:ascii="仿宋_GB2312" w:hAnsi="仿宋_GB2312" w:eastAsia="仿宋_GB2312" w:cs="仿宋_GB2312"/>
                <w:szCs w:val="21"/>
              </w:rPr>
              <w:t>安装图：</w:t>
            </w:r>
            <w:bookmarkEnd w:id="37"/>
            <w:r>
              <w:rPr>
                <w:rFonts w:hint="eastAsia" w:ascii="仿宋_GB2312" w:hAnsi="仿宋_GB2312" w:eastAsia="仿宋_GB2312" w:cs="仿宋_GB2312"/>
                <w:szCs w:val="21"/>
              </w:rPr>
              <w:tab/>
            </w:r>
          </w:p>
          <w:p>
            <w:pPr>
              <w:pStyle w:val="15"/>
              <w:numPr>
                <w:ilvl w:val="0"/>
                <w:numId w:val="46"/>
              </w:numPr>
              <w:spacing w:line="360" w:lineRule="auto"/>
              <w:ind w:left="425" w:leftChars="0" w:hanging="425" w:firstLineChars="0"/>
              <w:rPr>
                <w:rFonts w:hint="eastAsia" w:ascii="仿宋_GB2312" w:hAnsi="仿宋_GB2312" w:eastAsia="仿宋_GB2312" w:cs="仿宋_GB2312"/>
                <w:sz w:val="21"/>
                <w:szCs w:val="21"/>
              </w:rPr>
            </w:pPr>
            <w:bookmarkStart w:id="38" w:name="_Toc26948115"/>
            <w:r>
              <w:rPr>
                <w:rFonts w:hint="eastAsia" w:ascii="仿宋_GB2312" w:hAnsi="仿宋_GB2312" w:eastAsia="仿宋_GB2312" w:cs="仿宋_GB2312"/>
                <w:sz w:val="21"/>
                <w:szCs w:val="21"/>
              </w:rPr>
              <w:t>详细的平面布置图</w:t>
            </w:r>
            <w:bookmarkEnd w:id="38"/>
          </w:p>
          <w:p>
            <w:pPr>
              <w:pStyle w:val="15"/>
              <w:numPr>
                <w:ilvl w:val="0"/>
                <w:numId w:val="46"/>
              </w:numPr>
              <w:spacing w:line="360" w:lineRule="auto"/>
              <w:ind w:left="425" w:leftChars="0" w:hanging="425" w:firstLineChars="0"/>
              <w:rPr>
                <w:rFonts w:hint="eastAsia" w:ascii="仿宋_GB2312" w:hAnsi="仿宋_GB2312" w:eastAsia="仿宋_GB2312" w:cs="仿宋_GB2312"/>
                <w:sz w:val="21"/>
                <w:szCs w:val="21"/>
              </w:rPr>
            </w:pPr>
            <w:bookmarkStart w:id="39" w:name="_Toc26948116"/>
            <w:r>
              <w:rPr>
                <w:rFonts w:hint="eastAsia" w:ascii="仿宋_GB2312" w:hAnsi="仿宋_GB2312" w:eastAsia="仿宋_GB2312" w:cs="仿宋_GB2312"/>
                <w:sz w:val="21"/>
                <w:szCs w:val="21"/>
              </w:rPr>
              <w:t>公用系统接驳方位/连接方式/接口尺寸</w:t>
            </w:r>
            <w:bookmarkEnd w:id="39"/>
          </w:p>
          <w:p>
            <w:pPr>
              <w:pStyle w:val="15"/>
              <w:numPr>
                <w:ilvl w:val="0"/>
                <w:numId w:val="46"/>
              </w:numPr>
              <w:spacing w:line="360" w:lineRule="auto"/>
              <w:ind w:left="425" w:leftChars="0" w:hanging="425" w:firstLineChars="0"/>
              <w:rPr>
                <w:rFonts w:hint="eastAsia" w:ascii="仿宋_GB2312" w:hAnsi="仿宋_GB2312" w:eastAsia="仿宋_GB2312" w:cs="仿宋_GB2312"/>
                <w:spacing w:val="8"/>
                <w:kern w:val="10"/>
                <w:sz w:val="21"/>
                <w:szCs w:val="21"/>
              </w:rPr>
            </w:pPr>
            <w:bookmarkStart w:id="40" w:name="_Toc26948117"/>
            <w:r>
              <w:rPr>
                <w:rFonts w:hint="eastAsia" w:ascii="仿宋_GB2312" w:hAnsi="仿宋_GB2312" w:eastAsia="仿宋_GB2312" w:cs="仿宋_GB2312"/>
                <w:sz w:val="21"/>
                <w:szCs w:val="21"/>
              </w:rPr>
              <w:t>公用系统需求参数信息，如压力/流量/温度等</w:t>
            </w:r>
            <w:bookmarkEnd w:id="40"/>
          </w:p>
        </w:tc>
        <w:tc>
          <w:tcPr>
            <w:tcW w:w="1289" w:type="dxa"/>
            <w:vAlign w:val="center"/>
          </w:tcPr>
          <w:p>
            <w:pPr>
              <w:jc w:val="left"/>
              <w:rPr>
                <w:rFonts w:hint="eastAsia" w:ascii="仿宋_GB2312" w:hAnsi="仿宋_GB2312" w:eastAsia="仿宋_GB2312" w:cs="仿宋_GB2312"/>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922" w:type="dxa"/>
            <w:vAlign w:val="center"/>
          </w:tcPr>
          <w:p>
            <w:pPr>
              <w:numPr>
                <w:ilvl w:val="0"/>
                <w:numId w:val="0"/>
              </w:numPr>
              <w:ind w:left="425" w:leftChars="0" w:hanging="425" w:firstLineChars="0"/>
              <w:jc w:val="left"/>
              <w:rPr>
                <w:rFonts w:hint="eastAsia" w:ascii="仿宋_GB2312" w:hAnsi="仿宋_GB2312" w:eastAsia="仿宋_GB2312" w:cs="仿宋_GB2312"/>
                <w:szCs w:val="21"/>
              </w:rPr>
            </w:pPr>
            <w:r>
              <w:rPr>
                <w:rFonts w:hint="eastAsia" w:ascii="仿宋_GB2312" w:hAnsi="仿宋_GB2312" w:eastAsia="仿宋_GB2312" w:cs="仿宋_GB2312"/>
                <w:kern w:val="2"/>
                <w:sz w:val="21"/>
                <w:szCs w:val="21"/>
                <w:lang w:val="en-US" w:eastAsia="zh-CN" w:bidi="ar-SA"/>
              </w:rPr>
              <w:t>179</w:t>
            </w:r>
          </w:p>
        </w:tc>
        <w:tc>
          <w:tcPr>
            <w:tcW w:w="6909" w:type="dxa"/>
          </w:tcPr>
          <w:p>
            <w:pPr>
              <w:spacing w:line="400" w:lineRule="atLeast"/>
              <w:rPr>
                <w:rFonts w:hint="eastAsia" w:ascii="仿宋_GB2312" w:hAnsi="仿宋_GB2312" w:eastAsia="仿宋_GB2312" w:cs="仿宋_GB2312"/>
                <w:spacing w:val="8"/>
                <w:kern w:val="10"/>
                <w:szCs w:val="21"/>
              </w:rPr>
            </w:pPr>
            <w:bookmarkStart w:id="41" w:name="_Toc26948118"/>
            <w:r>
              <w:rPr>
                <w:rFonts w:hint="eastAsia" w:ascii="仿宋_GB2312" w:hAnsi="仿宋_GB2312" w:eastAsia="仿宋_GB2312" w:cs="仿宋_GB2312"/>
                <w:szCs w:val="21"/>
              </w:rPr>
              <w:t>相关的装配图</w:t>
            </w:r>
            <w:bookmarkEnd w:id="41"/>
          </w:p>
        </w:tc>
        <w:tc>
          <w:tcPr>
            <w:tcW w:w="1289" w:type="dxa"/>
            <w:vAlign w:val="center"/>
          </w:tcPr>
          <w:p>
            <w:pPr>
              <w:jc w:val="left"/>
              <w:rPr>
                <w:rFonts w:hint="eastAsia" w:ascii="仿宋_GB2312" w:hAnsi="仿宋_GB2312" w:eastAsia="仿宋_GB2312" w:cs="仿宋_GB2312"/>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trPr>
        <w:tc>
          <w:tcPr>
            <w:tcW w:w="922" w:type="dxa"/>
            <w:vAlign w:val="center"/>
          </w:tcPr>
          <w:p>
            <w:pPr>
              <w:numPr>
                <w:ilvl w:val="0"/>
                <w:numId w:val="0"/>
              </w:numPr>
              <w:ind w:left="425" w:leftChars="0" w:hanging="425" w:firstLineChars="0"/>
              <w:jc w:val="left"/>
              <w:rPr>
                <w:rFonts w:hint="default" w:ascii="仿宋_GB2312" w:hAnsi="仿宋_GB2312" w:eastAsia="仿宋_GB2312" w:cs="仿宋_GB2312"/>
                <w:szCs w:val="21"/>
                <w:lang w:val="en-US"/>
              </w:rPr>
            </w:pPr>
            <w:r>
              <w:rPr>
                <w:rFonts w:hint="eastAsia" w:ascii="仿宋_GB2312" w:hAnsi="仿宋_GB2312" w:eastAsia="仿宋_GB2312" w:cs="仿宋_GB2312"/>
                <w:kern w:val="2"/>
                <w:sz w:val="21"/>
                <w:szCs w:val="21"/>
                <w:lang w:val="en-US" w:eastAsia="zh-CN" w:bidi="ar-SA"/>
              </w:rPr>
              <w:t>180</w:t>
            </w:r>
          </w:p>
        </w:tc>
        <w:tc>
          <w:tcPr>
            <w:tcW w:w="6909" w:type="dxa"/>
            <w:vAlign w:val="center"/>
          </w:tcPr>
          <w:p>
            <w:pPr>
              <w:spacing w:line="360" w:lineRule="auto"/>
              <w:rPr>
                <w:rFonts w:hint="eastAsia" w:ascii="仿宋_GB2312" w:hAnsi="仿宋_GB2312" w:eastAsia="仿宋_GB2312" w:cs="仿宋_GB2312"/>
                <w:szCs w:val="21"/>
              </w:rPr>
            </w:pPr>
            <w:bookmarkStart w:id="42" w:name="_Toc26948119"/>
            <w:r>
              <w:rPr>
                <w:rFonts w:hint="eastAsia" w:ascii="仿宋_GB2312" w:hAnsi="仿宋_GB2312" w:eastAsia="仿宋_GB2312" w:cs="仿宋_GB2312"/>
                <w:szCs w:val="21"/>
              </w:rPr>
              <w:t>电气及自控文件</w:t>
            </w:r>
            <w:bookmarkEnd w:id="42"/>
          </w:p>
          <w:p>
            <w:pPr>
              <w:pStyle w:val="15"/>
              <w:numPr>
                <w:ilvl w:val="0"/>
                <w:numId w:val="46"/>
              </w:numPr>
              <w:spacing w:line="360" w:lineRule="auto"/>
              <w:ind w:left="425" w:leftChars="0" w:hanging="425" w:firstLineChars="0"/>
              <w:rPr>
                <w:rFonts w:hint="eastAsia" w:ascii="仿宋_GB2312" w:hAnsi="仿宋_GB2312" w:eastAsia="仿宋_GB2312" w:cs="仿宋_GB2312"/>
                <w:sz w:val="21"/>
                <w:szCs w:val="21"/>
              </w:rPr>
            </w:pPr>
            <w:bookmarkStart w:id="43" w:name="_Toc26948120"/>
            <w:r>
              <w:rPr>
                <w:rFonts w:hint="eastAsia" w:ascii="仿宋_GB2312" w:hAnsi="仿宋_GB2312" w:eastAsia="仿宋_GB2312" w:cs="仿宋_GB2312"/>
                <w:sz w:val="21"/>
                <w:szCs w:val="21"/>
              </w:rPr>
              <w:t>仪表清单</w:t>
            </w:r>
            <w:bookmarkEnd w:id="43"/>
          </w:p>
          <w:p>
            <w:pPr>
              <w:pStyle w:val="15"/>
              <w:numPr>
                <w:ilvl w:val="0"/>
                <w:numId w:val="46"/>
              </w:numPr>
              <w:spacing w:line="360" w:lineRule="auto"/>
              <w:ind w:left="425" w:leftChars="0" w:hanging="425" w:firstLineChars="0"/>
              <w:rPr>
                <w:rFonts w:hint="eastAsia" w:ascii="仿宋_GB2312" w:hAnsi="仿宋_GB2312" w:eastAsia="仿宋_GB2312" w:cs="仿宋_GB2312"/>
                <w:sz w:val="21"/>
                <w:szCs w:val="21"/>
              </w:rPr>
            </w:pPr>
            <w:bookmarkStart w:id="44" w:name="_Toc26948121"/>
            <w:r>
              <w:rPr>
                <w:rFonts w:hint="eastAsia" w:ascii="仿宋_GB2312" w:hAnsi="仿宋_GB2312" w:eastAsia="仿宋_GB2312" w:cs="仿宋_GB2312"/>
                <w:sz w:val="21"/>
                <w:szCs w:val="21"/>
              </w:rPr>
              <w:t>电气原理图/控制回路图/接线图</w:t>
            </w:r>
            <w:bookmarkEnd w:id="44"/>
          </w:p>
        </w:tc>
        <w:tc>
          <w:tcPr>
            <w:tcW w:w="1289" w:type="dxa"/>
            <w:vAlign w:val="center"/>
          </w:tcPr>
          <w:p>
            <w:pPr>
              <w:jc w:val="left"/>
              <w:rPr>
                <w:rFonts w:hint="eastAsia" w:ascii="仿宋_GB2312" w:hAnsi="仿宋_GB2312" w:eastAsia="仿宋_GB2312" w:cs="仿宋_GB2312"/>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trPr>
        <w:tc>
          <w:tcPr>
            <w:tcW w:w="922" w:type="dxa"/>
            <w:vAlign w:val="center"/>
          </w:tcPr>
          <w:p>
            <w:pPr>
              <w:numPr>
                <w:ilvl w:val="0"/>
                <w:numId w:val="0"/>
              </w:numPr>
              <w:ind w:leftChars="0"/>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181</w:t>
            </w:r>
          </w:p>
        </w:tc>
        <w:tc>
          <w:tcPr>
            <w:tcW w:w="6909" w:type="dxa"/>
            <w:vAlign w:val="center"/>
          </w:tcPr>
          <w:p>
            <w:pPr>
              <w:spacing w:line="360" w:lineRule="auto"/>
              <w:rPr>
                <w:rFonts w:hint="eastAsia" w:ascii="仿宋_GB2312" w:hAnsi="仿宋_GB2312" w:eastAsia="仿宋_GB2312" w:cs="仿宋_GB2312"/>
                <w:szCs w:val="21"/>
              </w:rPr>
            </w:pPr>
            <w:bookmarkStart w:id="45" w:name="_Toc26948123"/>
            <w:r>
              <w:rPr>
                <w:rFonts w:hint="eastAsia" w:ascii="仿宋_GB2312" w:hAnsi="仿宋_GB2312" w:eastAsia="仿宋_GB2312" w:cs="仿宋_GB2312"/>
                <w:szCs w:val="21"/>
              </w:rPr>
              <w:t>证明书</w:t>
            </w:r>
            <w:bookmarkEnd w:id="45"/>
          </w:p>
          <w:p>
            <w:pPr>
              <w:pStyle w:val="15"/>
              <w:numPr>
                <w:ilvl w:val="0"/>
                <w:numId w:val="47"/>
              </w:numPr>
              <w:spacing w:line="360" w:lineRule="auto"/>
              <w:ind w:left="425" w:leftChars="0" w:hanging="425" w:firstLineChars="0"/>
              <w:rPr>
                <w:rFonts w:hint="eastAsia" w:ascii="仿宋_GB2312" w:hAnsi="仿宋_GB2312" w:eastAsia="仿宋_GB2312" w:cs="仿宋_GB2312"/>
                <w:sz w:val="21"/>
                <w:szCs w:val="21"/>
              </w:rPr>
            </w:pPr>
            <w:bookmarkStart w:id="46" w:name="_Toc26948124"/>
            <w:r>
              <w:rPr>
                <w:rFonts w:hint="eastAsia" w:ascii="仿宋_GB2312" w:hAnsi="仿宋_GB2312" w:eastAsia="仿宋_GB2312" w:cs="仿宋_GB2312"/>
                <w:sz w:val="21"/>
                <w:szCs w:val="21"/>
              </w:rPr>
              <w:t>仪表校验证书</w:t>
            </w:r>
            <w:bookmarkEnd w:id="46"/>
          </w:p>
          <w:p>
            <w:pPr>
              <w:pStyle w:val="15"/>
              <w:numPr>
                <w:ilvl w:val="0"/>
                <w:numId w:val="47"/>
              </w:numPr>
              <w:spacing w:line="360" w:lineRule="auto"/>
              <w:ind w:left="425" w:leftChars="0" w:hanging="425" w:firstLineChars="0"/>
              <w:rPr>
                <w:rFonts w:hint="eastAsia" w:ascii="仿宋_GB2312" w:hAnsi="仿宋_GB2312" w:eastAsia="仿宋_GB2312" w:cs="仿宋_GB2312"/>
                <w:sz w:val="21"/>
                <w:szCs w:val="21"/>
              </w:rPr>
            </w:pPr>
            <w:bookmarkStart w:id="47" w:name="_Toc26948125"/>
            <w:r>
              <w:rPr>
                <w:rFonts w:hint="eastAsia" w:ascii="仿宋_GB2312" w:hAnsi="仿宋_GB2312" w:eastAsia="仿宋_GB2312" w:cs="仿宋_GB2312"/>
                <w:sz w:val="21"/>
                <w:szCs w:val="21"/>
              </w:rPr>
              <w:t>金属部件材质证明</w:t>
            </w:r>
            <w:bookmarkEnd w:id="47"/>
          </w:p>
          <w:p>
            <w:pPr>
              <w:pStyle w:val="15"/>
              <w:numPr>
                <w:ilvl w:val="0"/>
                <w:numId w:val="47"/>
              </w:numPr>
              <w:spacing w:line="360" w:lineRule="auto"/>
              <w:ind w:left="425" w:leftChars="0" w:hanging="425" w:firstLineChars="0"/>
              <w:rPr>
                <w:rFonts w:hint="eastAsia" w:ascii="仿宋_GB2312" w:hAnsi="仿宋_GB2312" w:eastAsia="仿宋_GB2312" w:cs="仿宋_GB2312"/>
                <w:sz w:val="21"/>
                <w:szCs w:val="21"/>
              </w:rPr>
            </w:pPr>
            <w:bookmarkStart w:id="48" w:name="_Toc26948126"/>
            <w:r>
              <w:rPr>
                <w:rFonts w:hint="eastAsia" w:ascii="仿宋_GB2312" w:hAnsi="仿宋_GB2312" w:eastAsia="仿宋_GB2312" w:cs="仿宋_GB2312"/>
                <w:sz w:val="21"/>
                <w:szCs w:val="21"/>
              </w:rPr>
              <w:t>非金属部件材质证明</w:t>
            </w:r>
            <w:bookmarkEnd w:id="48"/>
          </w:p>
          <w:p>
            <w:pPr>
              <w:pStyle w:val="15"/>
              <w:numPr>
                <w:ilvl w:val="0"/>
                <w:numId w:val="47"/>
              </w:numPr>
              <w:spacing w:line="360" w:lineRule="auto"/>
              <w:ind w:left="425" w:leftChars="0" w:hanging="425" w:firstLineChars="0"/>
              <w:rPr>
                <w:rFonts w:hint="eastAsia" w:ascii="仿宋_GB2312" w:hAnsi="仿宋_GB2312" w:eastAsia="仿宋_GB2312" w:cs="仿宋_GB2312"/>
                <w:sz w:val="21"/>
                <w:szCs w:val="21"/>
              </w:rPr>
            </w:pPr>
            <w:bookmarkStart w:id="49" w:name="_Toc26948127"/>
            <w:r>
              <w:rPr>
                <w:rFonts w:hint="eastAsia" w:ascii="仿宋_GB2312" w:hAnsi="仿宋_GB2312" w:eastAsia="仿宋_GB2312" w:cs="仿宋_GB2312"/>
                <w:sz w:val="21"/>
                <w:szCs w:val="21"/>
              </w:rPr>
              <w:t>法规符合证明</w:t>
            </w:r>
            <w:bookmarkEnd w:id="49"/>
          </w:p>
          <w:p>
            <w:pPr>
              <w:pStyle w:val="15"/>
              <w:numPr>
                <w:ilvl w:val="0"/>
                <w:numId w:val="47"/>
              </w:numPr>
              <w:spacing w:line="360" w:lineRule="auto"/>
              <w:ind w:left="425" w:leftChars="0" w:hanging="425" w:firstLineChars="0"/>
              <w:rPr>
                <w:rFonts w:hint="eastAsia" w:ascii="仿宋_GB2312" w:hAnsi="仿宋_GB2312" w:eastAsia="仿宋_GB2312" w:cs="仿宋_GB2312"/>
                <w:sz w:val="21"/>
                <w:szCs w:val="21"/>
              </w:rPr>
            </w:pPr>
            <w:bookmarkStart w:id="50" w:name="_Toc26948128"/>
            <w:r>
              <w:rPr>
                <w:rFonts w:hint="eastAsia" w:ascii="仿宋_GB2312" w:hAnsi="仿宋_GB2312" w:eastAsia="仿宋_GB2312" w:cs="仿宋_GB2312"/>
                <w:sz w:val="21"/>
                <w:szCs w:val="21"/>
              </w:rPr>
              <w:t>材质符合性声明</w:t>
            </w:r>
            <w:bookmarkEnd w:id="50"/>
          </w:p>
          <w:p>
            <w:pPr>
              <w:pStyle w:val="15"/>
              <w:numPr>
                <w:ilvl w:val="0"/>
                <w:numId w:val="47"/>
              </w:numPr>
              <w:spacing w:line="360" w:lineRule="auto"/>
              <w:ind w:left="425" w:leftChars="0" w:hanging="425" w:firstLineChars="0"/>
              <w:rPr>
                <w:rFonts w:hint="eastAsia" w:ascii="仿宋_GB2312" w:hAnsi="仿宋_GB2312" w:eastAsia="仿宋_GB2312" w:cs="仿宋_GB2312"/>
                <w:sz w:val="21"/>
                <w:szCs w:val="21"/>
              </w:rPr>
            </w:pPr>
            <w:bookmarkStart w:id="51" w:name="_Toc26948129"/>
            <w:r>
              <w:rPr>
                <w:rFonts w:hint="eastAsia" w:ascii="仿宋_GB2312" w:hAnsi="仿宋_GB2312" w:eastAsia="仿宋_GB2312" w:cs="仿宋_GB2312"/>
                <w:sz w:val="21"/>
                <w:szCs w:val="21"/>
              </w:rPr>
              <w:t>噪音测试证明</w:t>
            </w:r>
            <w:bookmarkEnd w:id="51"/>
          </w:p>
        </w:tc>
        <w:tc>
          <w:tcPr>
            <w:tcW w:w="1289" w:type="dxa"/>
            <w:vAlign w:val="center"/>
          </w:tcPr>
          <w:p>
            <w:pPr>
              <w:jc w:val="left"/>
              <w:rPr>
                <w:rFonts w:hint="eastAsia" w:ascii="仿宋_GB2312" w:hAnsi="仿宋_GB2312" w:eastAsia="仿宋_GB2312" w:cs="仿宋_GB2312"/>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trPr>
        <w:tc>
          <w:tcPr>
            <w:tcW w:w="922" w:type="dxa"/>
            <w:vAlign w:val="center"/>
          </w:tcPr>
          <w:p>
            <w:pPr>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182</w:t>
            </w:r>
          </w:p>
        </w:tc>
        <w:tc>
          <w:tcPr>
            <w:tcW w:w="6909" w:type="dxa"/>
            <w:vAlign w:val="center"/>
          </w:tcPr>
          <w:p>
            <w:pPr>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设备的操作、维护、安装手册。</w:t>
            </w:r>
          </w:p>
        </w:tc>
        <w:tc>
          <w:tcPr>
            <w:tcW w:w="1289" w:type="dxa"/>
            <w:vAlign w:val="center"/>
          </w:tcPr>
          <w:p>
            <w:pPr>
              <w:jc w:val="left"/>
              <w:rPr>
                <w:rFonts w:hint="eastAsia" w:ascii="仿宋_GB2312" w:hAnsi="仿宋_GB2312" w:eastAsia="仿宋_GB2312" w:cs="仿宋_GB2312"/>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trPr>
        <w:tc>
          <w:tcPr>
            <w:tcW w:w="0" w:type="auto"/>
          </w:tcPr>
          <w:p>
            <w:pPr>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183</w:t>
            </w:r>
          </w:p>
        </w:tc>
        <w:tc>
          <w:tcPr>
            <w:tcW w:w="0" w:type="auto"/>
            <w:vAlign w:val="center"/>
          </w:tcPr>
          <w:p>
            <w:pPr>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设备及组件清单.</w:t>
            </w:r>
          </w:p>
        </w:tc>
        <w:tc>
          <w:tcPr>
            <w:tcW w:w="0" w:type="auto"/>
          </w:tcPr>
          <w:p>
            <w:pPr>
              <w:jc w:val="left"/>
              <w:rPr>
                <w:rFonts w:hint="eastAsia" w:ascii="仿宋_GB2312" w:hAnsi="仿宋_GB2312" w:eastAsia="仿宋_GB2312" w:cs="仿宋_GB2312"/>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trPr>
        <w:tc>
          <w:tcPr>
            <w:tcW w:w="0" w:type="auto"/>
          </w:tcPr>
          <w:p>
            <w:pPr>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184</w:t>
            </w:r>
          </w:p>
        </w:tc>
        <w:tc>
          <w:tcPr>
            <w:tcW w:w="0" w:type="auto"/>
            <w:vAlign w:val="center"/>
          </w:tcPr>
          <w:p>
            <w:pPr>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各检测仪表安装、使用手册及合格证。</w:t>
            </w:r>
          </w:p>
        </w:tc>
        <w:tc>
          <w:tcPr>
            <w:tcW w:w="0" w:type="auto"/>
          </w:tcPr>
          <w:p>
            <w:pPr>
              <w:jc w:val="left"/>
              <w:rPr>
                <w:rFonts w:hint="eastAsia" w:ascii="仿宋_GB2312" w:hAnsi="仿宋_GB2312" w:eastAsia="仿宋_GB2312" w:cs="仿宋_GB2312"/>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trPr>
        <w:tc>
          <w:tcPr>
            <w:tcW w:w="922" w:type="dxa"/>
            <w:vAlign w:val="top"/>
          </w:tcPr>
          <w:p>
            <w:pPr>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185</w:t>
            </w:r>
          </w:p>
        </w:tc>
        <w:tc>
          <w:tcPr>
            <w:tcW w:w="0" w:type="auto"/>
            <w:vAlign w:val="center"/>
          </w:tcPr>
          <w:p>
            <w:pPr>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由承包商编写的完整材料及安装技术规范书.</w:t>
            </w:r>
          </w:p>
        </w:tc>
        <w:tc>
          <w:tcPr>
            <w:tcW w:w="0" w:type="auto"/>
          </w:tcPr>
          <w:p>
            <w:pPr>
              <w:jc w:val="left"/>
              <w:rPr>
                <w:rFonts w:hint="eastAsia" w:ascii="仿宋_GB2312" w:hAnsi="仿宋_GB2312" w:eastAsia="仿宋_GB2312" w:cs="仿宋_GB2312"/>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trPr>
        <w:tc>
          <w:tcPr>
            <w:tcW w:w="922" w:type="dxa"/>
            <w:vAlign w:val="top"/>
          </w:tcPr>
          <w:p>
            <w:pPr>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186</w:t>
            </w:r>
          </w:p>
        </w:tc>
        <w:tc>
          <w:tcPr>
            <w:tcW w:w="0" w:type="auto"/>
            <w:vAlign w:val="center"/>
          </w:tcPr>
          <w:p>
            <w:pPr>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提供墙板及相关辅材的材质质量保证书、厚度、规格、连接方式及测试报告、设备合格证及相关许可证书等.</w:t>
            </w:r>
          </w:p>
        </w:tc>
        <w:tc>
          <w:tcPr>
            <w:tcW w:w="0" w:type="auto"/>
          </w:tcPr>
          <w:p>
            <w:pPr>
              <w:jc w:val="left"/>
              <w:rPr>
                <w:rFonts w:hint="eastAsia" w:ascii="仿宋_GB2312" w:hAnsi="仿宋_GB2312" w:eastAsia="仿宋_GB2312" w:cs="仿宋_GB2312"/>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trPr>
        <w:tc>
          <w:tcPr>
            <w:tcW w:w="922" w:type="dxa"/>
            <w:vAlign w:val="top"/>
          </w:tcPr>
          <w:p>
            <w:pPr>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187</w:t>
            </w:r>
          </w:p>
        </w:tc>
        <w:tc>
          <w:tcPr>
            <w:tcW w:w="0" w:type="auto"/>
            <w:vAlign w:val="center"/>
          </w:tcPr>
          <w:p>
            <w:pPr>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风管制作和验收记录、风管清洗记录、风管安装和验收记录、风管检漏记录。</w:t>
            </w:r>
          </w:p>
        </w:tc>
        <w:tc>
          <w:tcPr>
            <w:tcW w:w="0" w:type="auto"/>
          </w:tcPr>
          <w:p>
            <w:pPr>
              <w:jc w:val="left"/>
              <w:rPr>
                <w:rFonts w:hint="eastAsia" w:ascii="仿宋_GB2312" w:hAnsi="仿宋_GB2312" w:eastAsia="仿宋_GB2312" w:cs="仿宋_GB2312"/>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trPr>
        <w:tc>
          <w:tcPr>
            <w:tcW w:w="922" w:type="dxa"/>
            <w:vAlign w:val="top"/>
          </w:tcPr>
          <w:p>
            <w:pPr>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188</w:t>
            </w:r>
          </w:p>
        </w:tc>
        <w:tc>
          <w:tcPr>
            <w:tcW w:w="0" w:type="auto"/>
            <w:vAlign w:val="center"/>
          </w:tcPr>
          <w:p>
            <w:pPr>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高效过滤器完整性测试证书。</w:t>
            </w:r>
          </w:p>
        </w:tc>
        <w:tc>
          <w:tcPr>
            <w:tcW w:w="0" w:type="auto"/>
          </w:tcPr>
          <w:p>
            <w:pPr>
              <w:jc w:val="left"/>
              <w:rPr>
                <w:rFonts w:hint="eastAsia" w:ascii="仿宋_GB2312" w:hAnsi="仿宋_GB2312" w:eastAsia="仿宋_GB2312" w:cs="仿宋_GB2312"/>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trPr>
        <w:tc>
          <w:tcPr>
            <w:tcW w:w="922" w:type="dxa"/>
            <w:vAlign w:val="top"/>
          </w:tcPr>
          <w:p>
            <w:pPr>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189</w:t>
            </w:r>
          </w:p>
        </w:tc>
        <w:tc>
          <w:tcPr>
            <w:tcW w:w="0" w:type="auto"/>
            <w:vAlign w:val="center"/>
          </w:tcPr>
          <w:p>
            <w:pPr>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工程竣工后施工方向业主提供完整的竣工资料和竣工图.至少包括：竣工验收文件、系统调试记录、风管平面图、风口平面图、洁净级别图、人物流图、压差分布图、设备平面布置图、照明平面图等。</w:t>
            </w:r>
          </w:p>
        </w:tc>
        <w:tc>
          <w:tcPr>
            <w:tcW w:w="0" w:type="auto"/>
          </w:tcPr>
          <w:p>
            <w:pPr>
              <w:jc w:val="left"/>
              <w:rPr>
                <w:rFonts w:hint="eastAsia" w:ascii="仿宋_GB2312" w:hAnsi="仿宋_GB2312" w:eastAsia="仿宋_GB2312" w:cs="仿宋_GB2312"/>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trPr>
        <w:tc>
          <w:tcPr>
            <w:tcW w:w="9120" w:type="dxa"/>
            <w:gridSpan w:val="3"/>
            <w:vAlign w:val="top"/>
          </w:tcPr>
          <w:p>
            <w:pPr>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培训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trPr>
        <w:tc>
          <w:tcPr>
            <w:tcW w:w="922" w:type="dxa"/>
            <w:vAlign w:val="top"/>
          </w:tcPr>
          <w:p>
            <w:pPr>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190</w:t>
            </w:r>
          </w:p>
        </w:tc>
        <w:tc>
          <w:tcPr>
            <w:tcW w:w="0" w:type="auto"/>
            <w:vAlign w:val="center"/>
          </w:tcPr>
          <w:p>
            <w:pPr>
              <w:tabs>
                <w:tab w:val="left" w:pos="979"/>
                <w:tab w:val="left" w:pos="1260"/>
              </w:tabs>
              <w:adjustRightInd w:val="0"/>
              <w:snapToGrid w:val="0"/>
              <w:spacing w:line="300" w:lineRule="auto"/>
              <w:rPr>
                <w:rFonts w:hint="eastAsia" w:ascii="宋体" w:hAnsi="宋体" w:eastAsia="宋体" w:cs="Times New Roman"/>
                <w:kern w:val="2"/>
                <w:sz w:val="21"/>
                <w:szCs w:val="21"/>
                <w:lang w:val="en-US" w:eastAsia="zh-CN" w:bidi="ar-SA"/>
              </w:rPr>
            </w:pPr>
            <w:r>
              <w:rPr>
                <w:rFonts w:hint="eastAsia" w:ascii="仿宋_GB2312" w:hAnsi="仿宋_GB2312" w:eastAsia="仿宋_GB2312" w:cs="仿宋_GB2312"/>
                <w:szCs w:val="21"/>
                <w:lang w:val="en-US" w:eastAsia="zh-CN"/>
              </w:rPr>
              <w:t>提供一次一个工作日的用户现场培训.</w:t>
            </w:r>
          </w:p>
        </w:tc>
        <w:tc>
          <w:tcPr>
            <w:tcW w:w="0" w:type="auto"/>
          </w:tcPr>
          <w:p>
            <w:pPr>
              <w:jc w:val="left"/>
              <w:rPr>
                <w:rFonts w:hint="eastAsia" w:ascii="仿宋_GB2312" w:hAnsi="仿宋_GB2312" w:eastAsia="仿宋_GB2312" w:cs="仿宋_GB2312"/>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 w:hRule="atLeast"/>
        </w:trPr>
        <w:tc>
          <w:tcPr>
            <w:tcW w:w="0" w:type="auto"/>
          </w:tcPr>
          <w:p>
            <w:pPr>
              <w:jc w:val="lef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191</w:t>
            </w:r>
          </w:p>
        </w:tc>
        <w:tc>
          <w:tcPr>
            <w:tcW w:w="0" w:type="auto"/>
            <w:vAlign w:val="center"/>
          </w:tcPr>
          <w:p>
            <w:pPr>
              <w:tabs>
                <w:tab w:val="left" w:pos="979"/>
                <w:tab w:val="left" w:pos="1260"/>
              </w:tabs>
              <w:adjustRightInd w:val="0"/>
              <w:snapToGrid w:val="0"/>
              <w:spacing w:line="300" w:lineRule="auto"/>
              <w:rPr>
                <w:rFonts w:hint="eastAsia" w:ascii="宋体" w:hAnsi="宋体" w:eastAsia="宋体" w:cs="Times New Roman"/>
                <w:kern w:val="2"/>
                <w:sz w:val="21"/>
                <w:szCs w:val="21"/>
                <w:lang w:val="en-US" w:eastAsia="zh-CN" w:bidi="ar-SA"/>
              </w:rPr>
            </w:pPr>
            <w:r>
              <w:rPr>
                <w:rFonts w:hint="eastAsia" w:ascii="仿宋_GB2312" w:hAnsi="仿宋_GB2312" w:eastAsia="仿宋_GB2312" w:cs="仿宋_GB2312"/>
                <w:szCs w:val="21"/>
                <w:lang w:val="en-US" w:eastAsia="zh-CN"/>
              </w:rPr>
              <w:t>培训内容包括系统架构和硬件组成，最主要的内容集中在系统的运转、构成和维护保养，能相关人员能</w:t>
            </w:r>
            <w:bookmarkStart w:id="92" w:name="_GoBack"/>
            <w:bookmarkEnd w:id="92"/>
            <w:r>
              <w:rPr>
                <w:rFonts w:hint="eastAsia" w:ascii="仿宋_GB2312" w:hAnsi="仿宋_GB2312" w:eastAsia="仿宋_GB2312" w:cs="仿宋_GB2312"/>
                <w:szCs w:val="21"/>
                <w:lang w:val="en-US" w:eastAsia="zh-CN"/>
              </w:rPr>
              <w:t>熟悉设备的原理、性能指标、掌握净化系统的使用过程、常规保养及故障处理等知识。</w:t>
            </w:r>
          </w:p>
        </w:tc>
        <w:tc>
          <w:tcPr>
            <w:tcW w:w="0" w:type="auto"/>
          </w:tcPr>
          <w:p>
            <w:pPr>
              <w:jc w:val="left"/>
              <w:rPr>
                <w:rFonts w:hint="eastAsia" w:ascii="仿宋_GB2312" w:hAnsi="仿宋_GB2312" w:eastAsia="仿宋_GB2312" w:cs="仿宋_GB2312"/>
                <w:szCs w:val="21"/>
                <w:lang w:val="en-US" w:eastAsia="zh-CN"/>
              </w:rPr>
            </w:pPr>
          </w:p>
        </w:tc>
      </w:tr>
    </w:tbl>
    <w:p>
      <w:pPr>
        <w:jc w:val="left"/>
        <w:rPr>
          <w:rFonts w:hint="eastAsia" w:ascii="仿宋_GB2312" w:hAnsi="仿宋_GB2312" w:eastAsia="仿宋_GB2312" w:cs="仿宋_GB2312"/>
          <w:szCs w:val="21"/>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pStyle w:val="18"/>
        <w:jc w:val="left"/>
        <w:rPr>
          <w:rFonts w:hint="eastAsia" w:ascii="仿宋_GB2312" w:hAnsi="仿宋_GB2312" w:eastAsia="仿宋_GB2312" w:cs="仿宋_GB2312"/>
          <w:iCs/>
          <w:sz w:val="21"/>
          <w:szCs w:val="21"/>
        </w:rPr>
      </w:pPr>
      <w:r>
        <w:rPr>
          <w:rFonts w:hint="eastAsia" w:ascii="仿宋_GB2312" w:hAnsi="仿宋_GB2312" w:eastAsia="仿宋_GB2312" w:cs="仿宋_GB2312"/>
          <w:iCs/>
          <w:sz w:val="21"/>
          <w:szCs w:val="21"/>
          <w:lang w:val="en-US" w:eastAsia="zh-CN"/>
        </w:rPr>
        <w:t>附件一：四川九华光子通信技术有限公司</w:t>
      </w:r>
      <w:r>
        <w:rPr>
          <w:rFonts w:hint="eastAsia" w:ascii="仿宋_GB2312" w:hAnsi="仿宋_GB2312" w:eastAsia="仿宋_GB2312" w:cs="仿宋_GB2312"/>
          <w:iCs/>
          <w:sz w:val="21"/>
          <w:szCs w:val="21"/>
        </w:rPr>
        <w:t>厂务实施技术规范</w:t>
      </w:r>
    </w:p>
    <w:p>
      <w:pPr>
        <w:spacing w:line="360" w:lineRule="auto"/>
        <w:rPr>
          <w:rFonts w:hint="eastAsia" w:ascii="仿宋_GB2312" w:hAnsi="仿宋_GB2312" w:eastAsia="仿宋_GB2312" w:cs="仿宋_GB2312"/>
          <w:b/>
          <w:bCs/>
          <w:color w:val="000000"/>
          <w:sz w:val="21"/>
          <w:szCs w:val="21"/>
        </w:rPr>
      </w:pPr>
      <w:r>
        <w:rPr>
          <w:rFonts w:hint="eastAsia" w:ascii="仿宋_GB2312" w:hAnsi="仿宋_GB2312" w:eastAsia="仿宋_GB2312" w:cs="仿宋_GB2312"/>
          <w:b/>
          <w:bCs/>
          <w:color w:val="000000"/>
          <w:sz w:val="21"/>
          <w:szCs w:val="21"/>
        </w:rPr>
        <w:t>范围</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本规范规定了精密制造车间内厂务相关的设施设备安装接驳技术标准和验收要求。</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本规范适用于精密制造管理部生产运营场地。</w:t>
      </w:r>
    </w:p>
    <w:p>
      <w:pPr>
        <w:spacing w:line="360" w:lineRule="auto"/>
        <w:rPr>
          <w:rFonts w:hint="eastAsia" w:ascii="仿宋_GB2312" w:hAnsi="仿宋_GB2312" w:eastAsia="仿宋_GB2312" w:cs="仿宋_GB2312"/>
          <w:b/>
          <w:bCs/>
          <w:color w:val="000000"/>
          <w:sz w:val="21"/>
          <w:szCs w:val="21"/>
        </w:rPr>
      </w:pPr>
      <w:r>
        <w:rPr>
          <w:rFonts w:hint="eastAsia" w:ascii="仿宋_GB2312" w:hAnsi="仿宋_GB2312" w:eastAsia="仿宋_GB2312" w:cs="仿宋_GB2312"/>
          <w:b/>
          <w:bCs/>
          <w:color w:val="000000"/>
          <w:sz w:val="21"/>
          <w:szCs w:val="21"/>
        </w:rPr>
        <w:t>简介</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在平台现有资源的基础上，立足精密制造车间特有工艺、设备、流程等，制定具有针对厂务安全风险的技术安装规格标准，从风险类别及原因分析，保障技术落实，以及现场验收标准，规范用水、用电、用气、制冷、通排风、真空系统的安装，确保厂务系统对生产的安全支持。 同时通过对现有系统寻机改善，挖掘车间运行的最大安全潜能。</w:t>
      </w:r>
    </w:p>
    <w:p>
      <w:pPr>
        <w:spacing w:line="360" w:lineRule="auto"/>
        <w:rPr>
          <w:rFonts w:hint="eastAsia" w:ascii="仿宋_GB2312" w:hAnsi="仿宋_GB2312" w:eastAsia="仿宋_GB2312" w:cs="仿宋_GB2312"/>
          <w:b/>
          <w:bCs/>
          <w:color w:val="000000"/>
          <w:sz w:val="21"/>
          <w:szCs w:val="21"/>
        </w:rPr>
      </w:pPr>
      <w:r>
        <w:rPr>
          <w:rFonts w:hint="eastAsia" w:ascii="仿宋_GB2312" w:hAnsi="仿宋_GB2312" w:eastAsia="仿宋_GB2312" w:cs="仿宋_GB2312"/>
          <w:b/>
          <w:bCs/>
          <w:color w:val="000000"/>
          <w:sz w:val="21"/>
          <w:szCs w:val="21"/>
        </w:rPr>
        <w:t>关键词：</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本质安全，业务连续性</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用词约定</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规则：必须遵守的约定</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建议：需要加以考虑的约定</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说明：对此规则或建议进行相应的解释</w:t>
      </w:r>
    </w:p>
    <w:p>
      <w:pPr>
        <w:spacing w:line="360" w:lineRule="auto"/>
        <w:rPr>
          <w:rFonts w:hint="eastAsia" w:ascii="仿宋_GB2312" w:hAnsi="仿宋_GB2312" w:eastAsia="仿宋_GB2312" w:cs="仿宋_GB2312"/>
          <w:color w:val="000000"/>
          <w:sz w:val="21"/>
          <w:szCs w:val="21"/>
        </w:rPr>
      </w:pPr>
    </w:p>
    <w:p>
      <w:pPr>
        <w:spacing w:line="360" w:lineRule="auto"/>
        <w:rPr>
          <w:rFonts w:hint="eastAsia" w:ascii="仿宋_GB2312" w:hAnsi="仿宋_GB2312" w:eastAsia="仿宋_GB2312" w:cs="仿宋_GB2312"/>
          <w:color w:val="000000"/>
          <w:sz w:val="21"/>
          <w:szCs w:val="21"/>
        </w:rPr>
        <w:sectPr>
          <w:headerReference r:id="rId10" w:type="first"/>
          <w:footerReference r:id="rId13" w:type="first"/>
          <w:headerReference r:id="rId8" w:type="default"/>
          <w:footerReference r:id="rId11" w:type="default"/>
          <w:headerReference r:id="rId9" w:type="even"/>
          <w:footerReference r:id="rId12" w:type="even"/>
          <w:pgSz w:w="11900" w:h="16832"/>
          <w:pgMar w:top="1701" w:right="1134" w:bottom="1701" w:left="1134" w:header="567" w:footer="567" w:gutter="0"/>
          <w:cols w:space="425" w:num="1"/>
          <w:titlePg/>
          <w:docGrid w:linePitch="312" w:charSpace="0"/>
        </w:sectPr>
      </w:pPr>
      <w:bookmarkStart w:id="52" w:name="_Toc29695668"/>
      <w:bookmarkStart w:id="53" w:name="_Toc29782576"/>
    </w:p>
    <w:bookmarkEnd w:id="52"/>
    <w:bookmarkEnd w:id="53"/>
    <w:p>
      <w:pPr>
        <w:spacing w:line="360" w:lineRule="auto"/>
        <w:rPr>
          <w:rFonts w:hint="eastAsia" w:ascii="仿宋_GB2312" w:hAnsi="仿宋_GB2312" w:eastAsia="仿宋_GB2312" w:cs="仿宋_GB2312"/>
          <w:b/>
          <w:bCs/>
          <w:color w:val="000000"/>
          <w:sz w:val="21"/>
          <w:szCs w:val="21"/>
        </w:rPr>
      </w:pPr>
      <w:bookmarkStart w:id="54" w:name="_Toc38025855"/>
      <w:r>
        <w:rPr>
          <w:rFonts w:hint="eastAsia" w:ascii="仿宋_GB2312" w:hAnsi="仿宋_GB2312" w:eastAsia="仿宋_GB2312" w:cs="仿宋_GB2312"/>
          <w:b/>
          <w:bCs/>
          <w:color w:val="000000"/>
          <w:sz w:val="21"/>
          <w:szCs w:val="21"/>
        </w:rPr>
        <w:t>材料标准</w:t>
      </w:r>
      <w:bookmarkEnd w:id="54"/>
    </w:p>
    <w:p>
      <w:pPr>
        <w:spacing w:line="360" w:lineRule="auto"/>
        <w:rPr>
          <w:rFonts w:hint="eastAsia" w:ascii="仿宋_GB2312" w:hAnsi="仿宋_GB2312" w:eastAsia="仿宋_GB2312" w:cs="仿宋_GB2312"/>
          <w:color w:val="000000"/>
          <w:sz w:val="21"/>
          <w:szCs w:val="21"/>
        </w:rPr>
      </w:pPr>
      <w:bookmarkStart w:id="55" w:name="_Toc38025856"/>
      <w:r>
        <w:rPr>
          <w:rFonts w:hint="eastAsia" w:ascii="仿宋_GB2312" w:hAnsi="仿宋_GB2312" w:eastAsia="仿宋_GB2312" w:cs="仿宋_GB2312"/>
          <w:color w:val="000000"/>
          <w:sz w:val="21"/>
          <w:szCs w:val="21"/>
        </w:rPr>
        <w:t>材料种类</w:t>
      </w:r>
      <w:bookmarkEnd w:id="55"/>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1.1.1金属给排水管</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1.1.2塑料给排水管</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1.1.3金属气管</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1.1.4塑胶气管</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1.1.5面板插座</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1.1.6工业插座</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1.1.7天花</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1.1.8 高架地板</w:t>
      </w:r>
    </w:p>
    <w:p>
      <w:pPr>
        <w:spacing w:line="360" w:lineRule="auto"/>
        <w:rPr>
          <w:rFonts w:hint="eastAsia" w:ascii="仿宋_GB2312" w:hAnsi="仿宋_GB2312" w:eastAsia="仿宋_GB2312" w:cs="仿宋_GB2312"/>
          <w:b/>
          <w:bCs/>
          <w:color w:val="000000"/>
          <w:sz w:val="21"/>
          <w:szCs w:val="21"/>
        </w:rPr>
      </w:pPr>
      <w:bookmarkStart w:id="56" w:name="_Toc38025857"/>
      <w:r>
        <w:rPr>
          <w:rFonts w:hint="eastAsia" w:ascii="仿宋_GB2312" w:hAnsi="仿宋_GB2312" w:eastAsia="仿宋_GB2312" w:cs="仿宋_GB2312"/>
          <w:b/>
          <w:bCs/>
          <w:color w:val="000000"/>
          <w:sz w:val="21"/>
          <w:szCs w:val="21"/>
        </w:rPr>
        <w:t>材料风险类别及原因</w:t>
      </w:r>
      <w:bookmarkEnd w:id="56"/>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1.2.1规格选用不当造成接驳不牢，承载能力（水压，气压，电流）不足造成供应中断；</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1.2.2材质匹配不当，造成工艺设备管道及其附件锈蚀/电化学腐蚀；</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1.2.3尺寸搭配问题，造成介质泄漏，发生能源损耗/有害介质损坏环境和人员健康；</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1.2.4材料质量问题，导致提前老化，造成供应中断影响业务连续性。</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1.2.5 设备和地板承重不匹配，导致安装或运输过程中塌陷，造成设备或人员受伤；</w:t>
      </w:r>
    </w:p>
    <w:p>
      <w:pPr>
        <w:spacing w:line="360" w:lineRule="auto"/>
        <w:rPr>
          <w:rFonts w:hint="eastAsia" w:ascii="仿宋_GB2312" w:hAnsi="仿宋_GB2312" w:eastAsia="仿宋_GB2312" w:cs="仿宋_GB2312"/>
          <w:b/>
          <w:bCs/>
          <w:color w:val="000000"/>
          <w:sz w:val="21"/>
          <w:szCs w:val="21"/>
        </w:rPr>
      </w:pPr>
      <w:bookmarkStart w:id="57" w:name="_Toc38025858"/>
      <w:r>
        <w:rPr>
          <w:rFonts w:hint="eastAsia" w:ascii="仿宋_GB2312" w:hAnsi="仿宋_GB2312" w:eastAsia="仿宋_GB2312" w:cs="仿宋_GB2312"/>
          <w:b/>
          <w:bCs/>
          <w:color w:val="000000"/>
          <w:sz w:val="21"/>
          <w:szCs w:val="21"/>
        </w:rPr>
        <w:t>材料准用标准</w:t>
      </w:r>
      <w:bookmarkEnd w:id="57"/>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1.3.1 进场材料严格按照设计标准，设计无要求的不低于国标要求，关键工艺设备选材提高档次采购/验收；</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1.3.2 严格进场验收流程，核对质量合格证件，材质/使用说明书，关键部件的型式试验合格报告，对不符合要求的材料，严禁收货/在车间使用;</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1.3.3 严禁材料的代用，不可避免的材料代用，要通过属地责任人，安全接口，</w:t>
      </w:r>
      <w:r>
        <w:rPr>
          <w:rFonts w:hint="eastAsia" w:ascii="仿宋_GB2312" w:hAnsi="仿宋_GB2312" w:eastAsia="仿宋_GB2312" w:cs="仿宋_GB2312"/>
          <w:color w:val="000000"/>
          <w:sz w:val="21"/>
          <w:szCs w:val="21"/>
          <w:lang w:eastAsia="zh-CN"/>
        </w:rPr>
        <w:t>园区物业</w:t>
      </w:r>
      <w:r>
        <w:rPr>
          <w:rFonts w:hint="eastAsia" w:ascii="仿宋_GB2312" w:hAnsi="仿宋_GB2312" w:eastAsia="仿宋_GB2312" w:cs="仿宋_GB2312"/>
          <w:color w:val="000000"/>
          <w:sz w:val="21"/>
          <w:szCs w:val="21"/>
        </w:rPr>
        <w:t>管理以及厂务管理人员的评估&amp;认可；</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1.3.4 自购材料导入控制，评估公司年度框招品牌规格，对市场口碑及安全问题反馈较多的品牌，应予以剔除；</w:t>
      </w:r>
    </w:p>
    <w:p>
      <w:pPr>
        <w:spacing w:line="360" w:lineRule="auto"/>
        <w:rPr>
          <w:rFonts w:hint="eastAsia" w:ascii="仿宋_GB2312" w:hAnsi="仿宋_GB2312" w:eastAsia="仿宋_GB2312" w:cs="仿宋_GB2312"/>
          <w:b/>
          <w:bCs/>
          <w:color w:val="000000"/>
          <w:sz w:val="21"/>
          <w:szCs w:val="21"/>
        </w:rPr>
      </w:pPr>
      <w:r>
        <w:rPr>
          <w:rFonts w:hint="eastAsia" w:ascii="仿宋_GB2312" w:hAnsi="仿宋_GB2312" w:eastAsia="仿宋_GB2312" w:cs="仿宋_GB2312"/>
          <w:b/>
          <w:bCs/>
          <w:color w:val="000000"/>
          <w:sz w:val="21"/>
          <w:szCs w:val="21"/>
        </w:rPr>
        <w:t>常用材料准用要求：</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1.3.5.1 承压管材及其阀门仪表： 严格材料厚度选型，基于产品承压说明书以及现场额定承压要求，最大承压能力，金属管材厚度按照最大承压能力预留20%，非金属管材厚度按照最大承压能力预留50%，符合管材厚度按照最大承压能力预留20%来选择确定；</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1.3.5.2 非承压管材及其阀门：核对规格材质及其质量证明书，安装参照管道施工保障技术实施；</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1.3.5.3 电源线缆及开关： 除符合设计要求外，关键设备线缆线径选择提高一级档次实施，开关选型余量不得大于线缆选型余量，下级开关选型余量的总量不得超过上级开关选型余量；</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1.3.5.4母线：进出车间、通道或室外的母线应使用封闭型母线，插接箱及母线接头应考虑防潮隔热规格；</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1.3.5.5面板插座：车间应禁止使用大孔万能面板插座，自购及工程应使用国标扁孔插座或英标圆孔插座；车间应减少/不得配用多孔排插，如有用电增加需求，应联系</w:t>
      </w:r>
      <w:r>
        <w:rPr>
          <w:rFonts w:hint="eastAsia" w:ascii="仿宋_GB2312" w:hAnsi="仿宋_GB2312" w:eastAsia="仿宋_GB2312" w:cs="仿宋_GB2312"/>
          <w:color w:val="000000"/>
          <w:sz w:val="21"/>
          <w:szCs w:val="21"/>
          <w:lang w:eastAsia="zh-CN"/>
        </w:rPr>
        <w:t>园区物业</w:t>
      </w:r>
      <w:r>
        <w:rPr>
          <w:rFonts w:hint="eastAsia" w:ascii="仿宋_GB2312" w:hAnsi="仿宋_GB2312" w:eastAsia="仿宋_GB2312" w:cs="仿宋_GB2312"/>
          <w:color w:val="000000"/>
          <w:sz w:val="21"/>
          <w:szCs w:val="21"/>
        </w:rPr>
        <w:t>评估增加插座；</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1.3.5.6工业插座：严格进行工业插座管理，属地责任人在产线/设备搬迁过程中对插座的保持和库存负责管理，确保厂房基建交付的工业插座的完整；工业插座要严格匹配（品牌、规格），如要更换插头，宜保证插座匹配规格相同，否则建议同步更换；</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1.3.5.7设备/线槽/管道支吊架： 原则上支吊架应与其所支撑物体材质一致，避免电化学腐蚀。 </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1.3.5.8局部照明：灯具应优先选择市场上成熟的LED节能型产品，色温及光通量明细经生产工艺评估准用；</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1.3.5.9其他厂务相关设施设备：选择节能型产品，或能效等级不大于2级的设备设施；</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1.3.5.10无尘室内设施设备，应能确保无尘要求（不起尘，不积尘， 易清洁），微振要求，低噪要求，隔热要求，环保无害要求，并在安装和验收时出具相关要求的证明报告；</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1.3.5.11无尘室高架地板材料型号选择，应严格按照获批的设计文件及工艺要求实施，入场/安装前，查看质量合格证及产品检测报告。</w:t>
      </w:r>
    </w:p>
    <w:p>
      <w:pPr>
        <w:spacing w:line="360" w:lineRule="auto"/>
        <w:rPr>
          <w:rFonts w:hint="eastAsia" w:ascii="仿宋_GB2312" w:hAnsi="仿宋_GB2312" w:eastAsia="仿宋_GB2312" w:cs="仿宋_GB2312"/>
          <w:b/>
          <w:bCs/>
          <w:color w:val="000000"/>
          <w:sz w:val="21"/>
          <w:szCs w:val="21"/>
        </w:rPr>
      </w:pPr>
      <w:bookmarkStart w:id="58" w:name="_Toc38025859"/>
      <w:r>
        <w:rPr>
          <w:rFonts w:hint="eastAsia" w:ascii="仿宋_GB2312" w:hAnsi="仿宋_GB2312" w:eastAsia="仿宋_GB2312" w:cs="仿宋_GB2312"/>
          <w:b/>
          <w:bCs/>
          <w:color w:val="000000"/>
          <w:sz w:val="21"/>
          <w:szCs w:val="21"/>
        </w:rPr>
        <w:t>设备安装</w:t>
      </w:r>
      <w:bookmarkEnd w:id="58"/>
    </w:p>
    <w:p>
      <w:pPr>
        <w:spacing w:line="360" w:lineRule="auto"/>
        <w:rPr>
          <w:rFonts w:hint="eastAsia" w:ascii="仿宋_GB2312" w:hAnsi="仿宋_GB2312" w:eastAsia="仿宋_GB2312" w:cs="仿宋_GB2312"/>
          <w:color w:val="000000"/>
          <w:sz w:val="21"/>
          <w:szCs w:val="21"/>
          <w:lang w:eastAsia="zh-CN"/>
        </w:rPr>
      </w:pPr>
      <w:bookmarkStart w:id="59" w:name="_Toc38025860"/>
      <w:r>
        <w:rPr>
          <w:rFonts w:hint="eastAsia" w:ascii="仿宋_GB2312" w:hAnsi="仿宋_GB2312" w:eastAsia="仿宋_GB2312" w:cs="仿宋_GB2312"/>
          <w:color w:val="000000"/>
          <w:sz w:val="21"/>
          <w:szCs w:val="21"/>
          <w:lang w:eastAsia="zh-CN"/>
        </w:rPr>
        <w:t>设备安装风险类别及原因</w:t>
      </w:r>
      <w:bookmarkEnd w:id="59"/>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2.1.1楼板、地板承重不足，导致楼板、地板结构破坏，设备损坏，影响业务连续性；</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2.1.2设备安装精度不够，导致设备运行噪音大、震动大、影响人员健康和工艺质量；</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2.1.3设备与水管连接不当，导致设备或产品发生水损；</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2.1.4设备电气连接不当，导致设备损坏，甚至影响产品品质和人员安全；</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2.1.5设备安装过程对人、环境的安全风险；</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2.1.6设备绝热问题，对环境、人员以及能耗带来的不利影响；</w:t>
      </w:r>
    </w:p>
    <w:p>
      <w:pPr>
        <w:spacing w:line="360" w:lineRule="auto"/>
        <w:rPr>
          <w:rFonts w:hint="eastAsia" w:ascii="仿宋_GB2312" w:hAnsi="仿宋_GB2312" w:eastAsia="仿宋_GB2312" w:cs="仿宋_GB2312"/>
          <w:b/>
          <w:bCs/>
          <w:color w:val="000000"/>
          <w:sz w:val="21"/>
          <w:szCs w:val="21"/>
          <w:lang w:eastAsia="zh-CN"/>
        </w:rPr>
      </w:pPr>
      <w:bookmarkStart w:id="60" w:name="_Toc38025861"/>
      <w:r>
        <w:rPr>
          <w:rFonts w:hint="eastAsia" w:ascii="仿宋_GB2312" w:hAnsi="仿宋_GB2312" w:eastAsia="仿宋_GB2312" w:cs="仿宋_GB2312"/>
          <w:b/>
          <w:bCs/>
          <w:color w:val="000000"/>
          <w:sz w:val="21"/>
          <w:szCs w:val="21"/>
          <w:lang w:eastAsia="zh-CN"/>
        </w:rPr>
        <w:t>设备安装保障实施技术</w:t>
      </w:r>
      <w:bookmarkEnd w:id="60"/>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2.2.1设备安装前，设备安装责任人提供设备规格，尺寸，重量，功率，设备的安装和固定方式，设备用水用气需求（压力，流量，纯度），设备用电需求（电压，电流），评估水电气的安装方案、实施过程安全风险。</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2.2.2 楼板、地板的荷载，厂务相关荷载分为厂房结构荷载，和高架地板安装荷载、运输荷载。</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2.2.2.1厂房结构荷载按照投影面积符合结构设计要求（kgf/m²）以及</w:t>
      </w:r>
      <w:r>
        <w:rPr>
          <w:rFonts w:hint="eastAsia" w:ascii="仿宋_GB2312" w:hAnsi="仿宋_GB2312" w:eastAsia="仿宋_GB2312" w:cs="仿宋_GB2312"/>
          <w:color w:val="000000"/>
          <w:sz w:val="21"/>
          <w:szCs w:val="21"/>
          <w:lang w:eastAsia="zh-CN"/>
        </w:rPr>
        <w:t>园区物业</w:t>
      </w:r>
      <w:r>
        <w:rPr>
          <w:rFonts w:hint="eastAsia" w:ascii="仿宋_GB2312" w:hAnsi="仿宋_GB2312" w:eastAsia="仿宋_GB2312" w:cs="仿宋_GB2312"/>
          <w:color w:val="000000"/>
          <w:sz w:val="21"/>
          <w:szCs w:val="21"/>
        </w:rPr>
        <w:t>管理的有关规定实施，设备进场前需得到</w:t>
      </w:r>
      <w:r>
        <w:rPr>
          <w:rFonts w:hint="eastAsia" w:ascii="仿宋_GB2312" w:hAnsi="仿宋_GB2312" w:eastAsia="仿宋_GB2312" w:cs="仿宋_GB2312"/>
          <w:color w:val="000000"/>
          <w:sz w:val="21"/>
          <w:szCs w:val="21"/>
          <w:lang w:eastAsia="zh-CN"/>
        </w:rPr>
        <w:t>园区物业</w:t>
      </w:r>
      <w:r>
        <w:rPr>
          <w:rFonts w:hint="eastAsia" w:ascii="仿宋_GB2312" w:hAnsi="仿宋_GB2312" w:eastAsia="仿宋_GB2312" w:cs="仿宋_GB2312"/>
          <w:color w:val="000000"/>
          <w:sz w:val="21"/>
          <w:szCs w:val="21"/>
        </w:rPr>
        <w:t>的评估许可。</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2.2.2.2 无尘室内高架地板，综合考虑设备运输过程载荷以及安装后运行荷载对承载力以及表面ESD涂层的影响，按照25%安全裕度采取相应措施。</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2.2.3管类接驳元件、配件、材料和材质的选择，要满足设备和工艺要求。承压管件要满足介质性质和压力要求，对于有特殊要求，如酸碱性，腐蚀性或毒性介质的输送要按照设计要求选择管件材质&amp;规格。接驳处配件材质要和设备相关接触部分相适应，避免发生电化学腐蚀。管件与设备的接驳要在自然状态下进行，避免使设备承受附加应力。</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2.2.4电气材料要按照设备的电气需求适配，并确保相序正确，安装完成送电前，要确保验电无误。用电设备的金属外壳按要求可靠接地，接地线采用黄绿双色线，截面尺寸不小于2.5MM²，接地线两端采用专用线耳，禁止绞接，确保接地线强度满足要求。设备的防静电接地线，禁止串联，每台设备的防静电接地线应单独与接地干线连接。</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2.2.5禁止设备和设备之间电气串联。</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2.2.6无尘室内设备安装要采取适当的降噪减振措施。运行噪声及振动不合格的设备原则上不允许引入无尘室，当必须引入时，要求设备厂家改善噪声及振动源头，或在现场采取降噪减振措施如增加噪声隔离罩，避免设备与楼板、地板的硬接触，避免水电气管路与设备的硬连接等。</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2.2.7有绝热要求的设备，无尘室内的绝热材料应为不燃材料，绝热材料进场安装前要经过验收确认燃烧等级。绝热材料安装实施，要严格按照设计要求，设计无要求时，参照空调系统绝热施工要求。</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2.2.8设备安装过程涉及特种作业，或危险性较大的工序时，要严格按照公司现有审批流程和管理方法实施，确保安装过程对设备、环境和人员无影响。</w:t>
      </w:r>
    </w:p>
    <w:p>
      <w:pPr>
        <w:spacing w:line="360" w:lineRule="auto"/>
        <w:rPr>
          <w:rFonts w:hint="eastAsia" w:ascii="仿宋_GB2312" w:hAnsi="仿宋_GB2312" w:eastAsia="仿宋_GB2312" w:cs="仿宋_GB2312"/>
          <w:b/>
          <w:bCs/>
          <w:color w:val="000000"/>
          <w:sz w:val="21"/>
          <w:szCs w:val="21"/>
          <w:lang w:eastAsia="zh-CN"/>
        </w:rPr>
      </w:pPr>
      <w:bookmarkStart w:id="61" w:name="_Toc38025862"/>
      <w:r>
        <w:rPr>
          <w:rFonts w:hint="eastAsia" w:ascii="仿宋_GB2312" w:hAnsi="仿宋_GB2312" w:eastAsia="仿宋_GB2312" w:cs="仿宋_GB2312"/>
          <w:b/>
          <w:bCs/>
          <w:color w:val="000000"/>
          <w:sz w:val="21"/>
          <w:szCs w:val="21"/>
          <w:lang w:eastAsia="zh-CN"/>
        </w:rPr>
        <w:t>设备安装验收标准</w:t>
      </w:r>
      <w:bookmarkEnd w:id="61"/>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2.3.1设备的水电气设施需求表，设备规格参数表（含重量）；</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2.3.2设备安装材料进场验收记录；必要的设备验电记录，管道接驳压力试验、泄漏性试验记录；</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2.3.3</w:t>
      </w:r>
      <w:r>
        <w:rPr>
          <w:rFonts w:hint="eastAsia" w:ascii="仿宋_GB2312" w:hAnsi="仿宋_GB2312" w:eastAsia="仿宋_GB2312" w:cs="仿宋_GB2312"/>
          <w:color w:val="000000"/>
          <w:sz w:val="21"/>
          <w:szCs w:val="21"/>
          <w:lang w:eastAsia="zh-CN"/>
        </w:rPr>
        <w:t>园区物业</w:t>
      </w:r>
      <w:r>
        <w:rPr>
          <w:rFonts w:hint="eastAsia" w:ascii="仿宋_GB2312" w:hAnsi="仿宋_GB2312" w:eastAsia="仿宋_GB2312" w:cs="仿宋_GB2312"/>
          <w:color w:val="000000"/>
          <w:sz w:val="21"/>
          <w:szCs w:val="21"/>
        </w:rPr>
        <w:t>及厂务对方案的评估记录；</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2.3.4现场实施技术质量和标准。</w:t>
      </w:r>
    </w:p>
    <w:p>
      <w:pPr>
        <w:spacing w:line="360" w:lineRule="auto"/>
        <w:rPr>
          <w:rFonts w:hint="eastAsia" w:ascii="仿宋_GB2312" w:hAnsi="仿宋_GB2312" w:eastAsia="仿宋_GB2312" w:cs="仿宋_GB2312"/>
          <w:b/>
          <w:bCs/>
          <w:color w:val="000000"/>
          <w:sz w:val="21"/>
          <w:szCs w:val="21"/>
        </w:rPr>
      </w:pPr>
      <w:bookmarkStart w:id="62" w:name="_Toc38025863"/>
      <w:r>
        <w:rPr>
          <w:rFonts w:hint="eastAsia" w:ascii="仿宋_GB2312" w:hAnsi="仿宋_GB2312" w:eastAsia="仿宋_GB2312" w:cs="仿宋_GB2312"/>
          <w:b/>
          <w:bCs/>
          <w:color w:val="000000"/>
          <w:sz w:val="21"/>
          <w:szCs w:val="21"/>
        </w:rPr>
        <w:t>电气安装</w:t>
      </w:r>
      <w:bookmarkEnd w:id="62"/>
    </w:p>
    <w:p>
      <w:pPr>
        <w:spacing w:line="360" w:lineRule="auto"/>
        <w:rPr>
          <w:rFonts w:hint="eastAsia" w:ascii="仿宋_GB2312" w:hAnsi="仿宋_GB2312" w:eastAsia="仿宋_GB2312" w:cs="仿宋_GB2312"/>
          <w:color w:val="000000"/>
          <w:sz w:val="21"/>
          <w:szCs w:val="21"/>
          <w:lang w:eastAsia="zh-CN"/>
        </w:rPr>
      </w:pPr>
      <w:bookmarkStart w:id="63" w:name="_Toc38025864"/>
      <w:r>
        <w:rPr>
          <w:rFonts w:hint="eastAsia" w:ascii="仿宋_GB2312" w:hAnsi="仿宋_GB2312" w:eastAsia="仿宋_GB2312" w:cs="仿宋_GB2312"/>
          <w:color w:val="000000"/>
          <w:sz w:val="21"/>
          <w:szCs w:val="21"/>
          <w:lang w:eastAsia="zh-CN"/>
        </w:rPr>
        <w:t>电气安装风险类别及原因</w:t>
      </w:r>
      <w:bookmarkEnd w:id="63"/>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3.1.1电气火灾、爆炸风险</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3.1.1.1电气材料质量问题；</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3.1.1.2材料配件规格选用不当；</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3.1.1.3施工过程不符合规范，方法不当；</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3.1.1.4电气材料的老化。</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3.1.2电气中断影响业务连续性</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3.1.2.1火灾/爆炸风险的各因素；</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3.1.2.2电气装置漏电跳电；</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3.1.2.3电气装置接零接地保护；</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3.1.2.4不同线路的继电保护故障；</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3.1.3人员触电事故</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3.1.3.1火灾、爆炸以及电气中断的各因素；</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3.1.3.2电气装置漏电保护；</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3.1.4人员静电对生产的影响</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3.1.4.1静电对工艺精度的影响</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3.1.4.2静电对元器件的击穿破坏</w:t>
      </w:r>
    </w:p>
    <w:p>
      <w:pPr>
        <w:spacing w:line="360" w:lineRule="auto"/>
        <w:rPr>
          <w:rFonts w:hint="eastAsia" w:ascii="仿宋_GB2312" w:hAnsi="仿宋_GB2312" w:eastAsia="仿宋_GB2312" w:cs="仿宋_GB2312"/>
          <w:b/>
          <w:bCs/>
          <w:color w:val="000000"/>
          <w:sz w:val="21"/>
          <w:szCs w:val="21"/>
          <w:lang w:eastAsia="zh-CN"/>
        </w:rPr>
      </w:pPr>
      <w:bookmarkStart w:id="64" w:name="_Toc38025865"/>
      <w:r>
        <w:rPr>
          <w:rFonts w:hint="eastAsia" w:ascii="仿宋_GB2312" w:hAnsi="仿宋_GB2312" w:eastAsia="仿宋_GB2312" w:cs="仿宋_GB2312"/>
          <w:b/>
          <w:bCs/>
          <w:color w:val="000000"/>
          <w:sz w:val="21"/>
          <w:szCs w:val="21"/>
          <w:lang w:eastAsia="zh-CN"/>
        </w:rPr>
        <w:t>电气安装保障实施技术</w:t>
      </w:r>
      <w:bookmarkEnd w:id="64"/>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3.2.1电气安装材料的进场验收/自购材料的到货验收</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配电装置进场/到货，自购材料要依据采购要求，工程材料要按照设计要求和规范核对材料技术标准，备品备件，包装和密封，规格型号以及几何尺寸。检查配电柜/箱/盘的内部布置合理性，检修便利性，柜内装置与盘面的安全距离，配电装置是否具有机械、电气防误操作的连锁装置，出厂的配电装置内布线是否按要求相序色安装并标识清楚，检查技术文件是否齐全，电气元件的合格证，关键部件的产品制造许可证。</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3.2.2配电装置的安装要求</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3.2.2.1配电柜内部应配有配电柜系统图，配电柜开关和进出线回路做好对应的标示。</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3.2.2.2车间电箱/柜/盘等紧固件要做复紧固并做好目视化标识。</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3.2.2.3配电装置柜体的安装要求，落地式配电柜应有槽钢基础（确保电柜底部离地面至少50mm），电柜（箱）内部应有挡板。基础型钢的安装垂直度，水平度允许偏差符合设计要求，柜体垂直度偏差不大于5‰，相互间缝隙不大于2mm，盘面偏差小于5mm。柜体要按照设计文件进行编号，装有电器的柜门应以裸铜软线与金属柜体可靠连接，柜体安装完成后，应与基础型钢做接地保护连接，基础型钢的接地不少于两处，柜体的接地应牢固可靠；</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3.2.2.4配电装置（柜、盘、箱）安装完成后，应进行模拟试验，并保留实验记录，包含操作，控制，连锁，信号，必要时要对配电装置进行整定（过电流保护，过负荷告警，三项一次重合闸，零序过电流，过电压等）；配电装置的各级空气开关均应设置漏电保护。</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3.2.2.5配单装置交付送电前，需彻底清扫配电设备及元件表面，检查有无遗漏工具和配件，接线图是否符合设计要求，线端是否有标号，接线是否整齐规范。接线端子是否牢固，机械连锁是否可靠，接地装置是否牢固，是否做好明显标识，检查表计和继电器是否能够正确动作，是否经过验电，校相无误。</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3.2.2.6配电柜/箱内应有汇流排，不得采用多根电线集中压在一个铜鼻子的做法。出线箱、柜内欠压保护装置须有延时动作装置。</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3.2.2.7配电柜/电箱需配置漏电保护器，并需有挡板和“当心触电”安全标识，电箱门盖与主体应有接地箱连接。</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3.2.2.8 63A以下电流可使用微断开关（电动机及电焊机这类的设备应用D特性开关，其它用C特性开关）；大于63A以上的电流需用塑壳开关予以分断；</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3.2.2.9动力配电均应按TN-S，线缆色标正确（A相黄色；B相绿色；C相红色；N相（零相）蓝色；PE相黄绿色），单相配电应采用三线（火线、N线、PE保护地线）；</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3.2.3线槽/梯架安装要求</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3.2.3.1线槽/梯架安装应牢固，支吊架安装符合设计要求。安装前，检查槽盒、梯架表面涂层应完整无损坏和锈蚀。</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3.2.3.2水平安装的支吊架间距宜为不应大于3m, 垂直安装的支吊架间距不应大于2m。金属槽盒的吊架，吊杆圆钢直径不得小于8mm，并应有防晃支架，在分支处或端部0.3~0.5m处设置固定支架。</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3.2.3.3梯架，槽盒的转弯、分支处宜采用专用连接配件，其弯曲半径不应小于其内线缆最小允许弯曲半径。</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3.2.3.4敷设在电气竖井内电缆槽盒梯架，其固定支架不应安装在固定电缆的横担上，应每隔3~5层应设置承重支架。</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3.2.3.5槽盒本体应可靠接地。金属梯架、槽盒全长不大于30m时，不应少于2处于保护导体可靠连接，全长大于30m时，每隔20~30m应增加一个接地连接点，起始端和终点端均应可靠接地。接地铜线线径不得小于2.5mm²，线头压接使用Φ3 端子并加锡焊牢。</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3.2.3.6金属梯架槽盒的跨接要求。每节槽盒之间应该跨接，非镀锌金属梯架槽盒之间连接的两端应跨接保护连接导体。镀锌金属梯架、托盘和槽盒之间不跨接保护连接导体时，连接板每端不应少于2个有防松螺帽或防松垫圈的连接固定螺栓。</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3.2.3.7配线槽盒与水管同侧上下敷设时，宜安装在水管的上方，与热介质管道平行敷设时，应敷设在热介质水管的下方，相互间最小距离符合设计要求。</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3.2.3.8线槽连接和线槽盖需紧固封闭，地面线槽要使用玻璃胶固定；线槽上盖不宜使用螺丝/钉固定，如必须使用，则锁紧螺丝/钉长度必须小于15mm；建议优先采用卡式或者扣环式固定方法，不能使用铆钉固定。</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3.2.3.9线槽中所有可能划伤线缆的地方都需要进行打磨或者进行安全防护；部分电缆在桥架开口处出线或末端放线需做保护，避免电缆皮由于自发热变软被金属线槽开槽处割破，导致短路。</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3.2.4导管的安装要求</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3.2.4.1金属导管安装前外观质量检查应完整无锈蚀，不得热加工开孔，不得熔焊在其他金属结构上，当导管采用金属吊架固定时，吊架圆钢直径不得小于8mm，应设防晃支架，在距盒/箱，分支处或端部0.3~0.5m处应设置固定支架。</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3.2.4.2钢导管不得采用对口熔焊连接，镀锌钢导管或壁厚小于等于2mm的钢导管不得采用套管熔焊连接。镀锌钢导管、可弯曲金属导管和金属柔性导管不得熔焊连接。</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3.2.4.3暗配导管的表面埋深与建筑物构筑物表面距离不应小于15mm。导管穿越密闭或防护密闭隔墙时，应设置预埋套管，预埋套管制造和安装应符合设计要求，套管两端伸出墙面的长度宜为30~50mm，导管穿越密闭隔墙的两侧应设置过线盒并做好密封。</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3.2.4.4明配电气导管应排列整齐、固定点间距均匀，安装牢固。在距终端，弯头中点，或柜，台，箱盘等边缘150~500mm范围内应设置固定管卡，明配导管采用的接线盒应明装。</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3.2.4.5明配导管的弯曲半径不小于管外径的6倍，当两个接线盒间只有一个弯曲时，其弯曲半径不小于管外径的4倍，埋设于混凝土内的导管的弯曲半径不小于管外径的6倍，直埋于地面下的弯曲半径不小于管外径的10倍。电缆导管的弯曲半径不得小于电缆最小允许弯曲半径要求。</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3.2.4.6进入配电柜，配电盘的导管管口，当箱底无封板时，管口应高出配电箱配电盘基础面50~80mm.室外埋地敷设的钢导管，埋设深度应符合设计要求，钢导管的壁厚应大于2mm, 导管的管口不应敞口垂直向上，导管管口应在盒、箱内或导管端部设置防水弯，导管的管口在穿入绝缘导线、电缆后应做密封处理。</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3.2.4.7非镀锌钢导管螺纹连接时，连接处的两端应熔焊焊接保护连接导体；熔焊焊接的保护连接导体宜为圆钢，直径不小于6mm,其搭接长度应为圆钢直径的6倍。</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3.2.4.8镀锌钢导管、可弯曲金属导管和金属柔性导管连接处的两端宜采用专用接地卡固定保护连接导体，专用接地卡固定的保护连接导体应为铜芯软导线，截面不小于4mm²。</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3.2.4.9机械连接的金属导管，管与管，管与盒（箱）体的连接配件应选用配套部件，其连接应符合产品技术文件的要求，连接处的接触电阻符合国标要求时，连接处可不设置保护连接导体，但导管不应作为保护导体的接续导体。</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3.2.4.10金属导管与金属梯架、托盘、槽盒连接时，镀锌材质的连接端宜用专用接地卡固定保护连接导体，非镀锌材质的连接处应熔焊焊接保护连接导体。</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3.2.4.11塑料导管管口应平整光滑，管与管，管与盒等采用插入法连接时，连接处结合面应涂专用的粘结剂，接口应牢固密封。直埋于地下或楼板内的刚性塑料导管，在穿出地面或楼板易受机械损伤的一段应采取保护措施。 埋设于墙内或混凝土内的塑料导管应采用中型以上的导管。 沿建筑物、构筑物表面和在支架上敷设的刚性塑料导管，应按照设计要求装设温度补偿装置。</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3.2.4.12可弯曲金属导管及柔性导管与电气设备，器具连接时，柔性导管的长度在动力工程中不宜大于0.8m, 在照明工程中不宜大于1.2m. 可弯曲金属导管或柔性导管与刚性导管或电气设备、器件间的连接应采用专用接头。当可弯曲金属导管有可能受重物压力或明显机械撞击时，应采取保护措施。明配金属、非金属柔性导管固定点间距应均匀，不应大于1m，管卡与设备、器具、弯头中点、管端等边缘的距离应小于0.3m. 可弯曲金属导管和金属柔性导管不应作为保护导体的接续导体。</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3.2.5线缆连接和敷设的要求</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3.2.5.1线缆接头应采用专用的接线端子，禁止绞接，保证连接处的机械强度（不小于导线强度的90%）和连接电阻（不大于导线电阻的1.2倍），连接后用专用的热缩绝缘套筒和绝缘胶布保护。与设备接驳处电缆需采用多芯的软线，不使用单芯的硬线。</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3.2.5.2线缆敷设前，要检查线缆型号，规格，电压符合设计要求，并无损伤，敷设于同一槽盒内的线缆接头位置应互相错开，并联敷设的线缆型号规格应相同。 在线缆终端头，线缆接头，拐弯处，夹层内，应装设标志牌（注明线路编号，线缆型号，规格及起止地点）线缆敷设完成后，测量其绝缘电阻；</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3.2.5.3线缆与热力管道或发热设备的距离要不小于300mm, 保护管内径的选择不小于电缆外径的1.5倍。严禁将线缆平行敷设与管道的上方或下方，线缆在引入引出车间处要设钢套管保护，并做好防火防水密封。</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3.2.5.4线缆在穿导管时，穿管前，应清除管内杂物和水分，线缆穿入金属导管的管口在穿线前应装设护线口。线缆接头应设置在专用的接线盒内，不得设置在导管内，接线盒的设置位置应便于操作和检修。同一交流回路的绝缘导线不应敷设于不同的金属槽盒内或穿于不同的金属导管内。不同回路、不同电压等级和交流与直流线路的绝缘导线不应穿于同一导管内。</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3.2.5.5槽盒内线缆敷设，同一槽盒内不宜同时敷设绝缘导线和电缆，同一槽盒内不宜同时敷设电力线缆和控制、信号线缆，同一路径无抗干扰要求的线路或已经过金属管/板屏蔽的线缆，可敷设于同一槽盒内。</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3.2.5.6槽盒内的绝缘线缆总截面（包括外护套）不应超过槽盒内截面的40%，且载流导体不宜超过30根。 控制和信号等非电力线路敷设于同一槽盒内时，绝缘导线的总截面不应超过槽盒内截面的50%。 分支接头处绝缘导线的总截面（包括保护层）不应大于该点槽盒内截面的75%。 </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3.2.5.7绝缘线缆在槽盒内应留有一定余量，并按照回路分段绑扎，绑扎点间距不应大于1.5m，当垂直或大于45度倾斜敷设时，应将绝缘导线分段固定在槽盒内的专用部件上，每段至少应有一个固定点；当直线段长度大于3.2m时，其固定点间距不应大于1.6m，槽盒内导线排列整齐有序。</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3.2.5.8室内电缆敷设，跨层电缆的最上层电缆支架距构筑物顶板或梁底的最小净距应满足电缆引接至上方配电柜、台、箱、盘时电缆弯曲半径的要求。</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3.2.5.9电缆支架距其他设备的最小净距不应小于300mm，当无法满足要求时应设置防护板。电缆本体敷设要求，交流单芯电缆或分相后的每相电缆不得单根穿于钢导管内，固定用的夹具和支架不应形成闭合磁路。</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3.2.5.10电缆出入电气竖井，建筑物，配电柜、盘处以及管子管口处应采取防火或密封措施。电缆出入电缆梯架、托盘槽盒及配电柜、盘登出应做固定。</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3.2.5.11当电缆通过墙、楼板或室外设穿导管保护时，导管内径不应小于电缆外径的1.5倍。</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3.2.6插座安装要求 </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3.2.6.1车间内插座种类多，电压等级不统一，应该对使用功能，电压等级以及负载进行分类。同一类插座采用相同规格/品牌，同时插座种类规格标准化。</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3.2.6.2插座应由单独的回路供电，单相两孔插座，面对插座板右孔与相线连接，左孔与中性线连接；单相三孔面对插座板右孔与相线连接，左孔与中性线连接，上孔连接保护接地线；三相四孔及三相五孔插座的保护接地线（PE）接在上孔，插座的保护接地线端子不得与中性线端子连接，同一场所三相插座，其接线的相序应一致。相序色选择黄绿红，中性线选择蓝色，保护地线为黄绿双色。保护接地线（PE）在插座之间不得串联连接。 相线与中性线不得利用插座本体的接线端子转接供电。</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3.2.6.3车间插座严禁使用万能型大孔插座，交流采用国标扁孔插座，直流插座采用英标圆孔插座。如果因特殊工艺要求，须由</w:t>
      </w:r>
      <w:r>
        <w:rPr>
          <w:rFonts w:hint="eastAsia" w:ascii="仿宋_GB2312" w:hAnsi="仿宋_GB2312" w:eastAsia="仿宋_GB2312" w:cs="仿宋_GB2312"/>
          <w:color w:val="000000"/>
          <w:sz w:val="21"/>
          <w:szCs w:val="21"/>
          <w:lang w:eastAsia="zh-CN"/>
        </w:rPr>
        <w:t>园区物业</w:t>
      </w:r>
      <w:r>
        <w:rPr>
          <w:rFonts w:hint="eastAsia" w:ascii="仿宋_GB2312" w:hAnsi="仿宋_GB2312" w:eastAsia="仿宋_GB2312" w:cs="仿宋_GB2312"/>
          <w:color w:val="000000"/>
          <w:sz w:val="21"/>
          <w:szCs w:val="21"/>
        </w:rPr>
        <w:t>厂务评估备案后使用。</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3.2.6.4工位用电小于等于10A的场景可以采用面板型插座。设备用电10A以上的，须使用工业插座或电源线直接连接。采用直流插座供电的设备额定电流不能大于16A，超过16A的必须使用工业插座或者专用的直流连接端子进行连接。</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3.2.6.5同一插座的接线端子，只能连接1组进线/出现。禁止插头串联，或线缆绞接后连接在插座端子上。末端电气设备禁止串联，每台设备用电应单独来自末端控制电柜。</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3.2.6.6同一回路上的插座数量不应超过4个。</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3.2.6.7在易燃易爆和特别潮湿的场所，开关应分别采用防爆型，密闭型或采取其他保护措施。</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3.2.7电气照明装置施工技术要求</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3.2.7.1照明配电箱的箱体应采用不燃材料，箱内开关动作应灵活可靠。箱内应分别设置中性线和保护接地线的汇流排。配电箱安装应牢固，垂直度、与墙面的贴合符合要求，箱体开孔与导管管径要适配，孔的密封要完好，箱内回路编号应齐全准确，照明配电箱不能设置在水管的下方；箱内配线整齐，无绞接现象，导线连接紧密，不伤线芯，不断股，垫圈下螺丝两侧压的导线截面应相同，同一端子上导线连接不应多于2根，防松垫圈应齐全；汇流排上同一端子不应连接不同回路的中性线或保护地线。</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3.2.7.2Ⅰ类灯具的外露可导电部分必须通过专用的PE端子保护接地，连接处设置专用接地标识。固定灯具带电部件及提供防触电保护的部位应为绝缘的难燃材料；灯具内部接线应为铜芯绝缘导线，截面与灯具功率匹配，且不应小于1mm2；</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3.2.7.3自带蓄电池的应急灯具，应根据厂家产品技术规格书，确定其最长持续供电时间，并检测其最少供电时间，符合设计要求。 灯具的绝缘电阻值不应小于2MΩ灯具内绝缘导线的绝缘层厚度不应小于0.6mm，灯具的灯座绝缘外壳不应破损和漏电。</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3.2.7.4灯具安装前，应确认安装灯具的预埋螺栓及吊杆、吊顶上安装的嵌入式灯具用的专用支架，按照规范和设计要求做必需的承载试验。吸顶及墙面上安装的灯具，固定螺栓或螺钉梳理不应少于2个。采取防坠落冗余保护措施(防跌落罩或卡扣)，禁止采用金卤灯,易燃易爆仓库应安装防爆灯具。</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3.2.7.5灯具的接线，引向单个灯具的绝缘导线截面应与灯具功率相匹配，绝缘铜芯导线的截面不应小于1mm2. 由接线盒引至嵌入式灯具或槽灯的绝缘导线应采油柔性导管保护，不得裸露，且不应再灯槽内明敷；柔性导管与灯具壳体应采用专用接头连接。导线直接的连接应采用导线连接器或缠绕搪锡连接。</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3.2.7.6容量在100W及以上的灯具，引入线应采用瓷管、矿棉等不燃材料做隔热保护。运行中温度大于60℃的灯具表面及其附件的高温部位靠近可燃物时，应采用隔热，散热等保护措施。</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3.2.7.7照明回路装有剩余电流动作保护器时，剩余电流动作保护器应检测合格，并保留记录。</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3.2.8车间防静电接地实施技术</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3.2.8.1不同的场所，接地要求不同，厂房生产区域应设计防静电接地系统，2层及以上宜每个柱子提供防静电地接线盒，首层宜局部区域提供防静电地接线盒（如IQC），局部采用等电位方式。</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3.2.8.2防静电接地引下线宜采用独立的引下线，需与防雷引下线分开设置。</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3.2.8.3铺设防静电接地系统，防静电地极的接地电阻满足小于4欧姆，接地电阻（Ω）1×10</w:t>
      </w:r>
      <w:r>
        <w:rPr>
          <w:rFonts w:hint="eastAsia" w:ascii="仿宋_GB2312" w:hAnsi="仿宋_GB2312" w:eastAsia="仿宋_GB2312" w:cs="仿宋_GB2312"/>
          <w:color w:val="000000"/>
          <w:sz w:val="21"/>
          <w:szCs w:val="21"/>
          <w:vertAlign w:val="superscript"/>
        </w:rPr>
        <w:t>4</w:t>
      </w:r>
      <w:r>
        <w:rPr>
          <w:rFonts w:hint="eastAsia" w:ascii="仿宋_GB2312" w:hAnsi="仿宋_GB2312" w:eastAsia="仿宋_GB2312" w:cs="仿宋_GB2312"/>
          <w:color w:val="000000"/>
          <w:sz w:val="21"/>
          <w:szCs w:val="21"/>
        </w:rPr>
        <w:t>≤Rg＜3.5×10</w:t>
      </w:r>
      <w:r>
        <w:rPr>
          <w:rFonts w:hint="eastAsia" w:ascii="仿宋_GB2312" w:hAnsi="仿宋_GB2312" w:eastAsia="仿宋_GB2312" w:cs="仿宋_GB2312"/>
          <w:color w:val="000000"/>
          <w:sz w:val="21"/>
          <w:szCs w:val="21"/>
          <w:vertAlign w:val="superscript"/>
        </w:rPr>
        <w:t>7</w:t>
      </w:r>
      <w:r>
        <w:rPr>
          <w:rFonts w:hint="eastAsia" w:ascii="仿宋_GB2312" w:hAnsi="仿宋_GB2312" w:eastAsia="仿宋_GB2312" w:cs="仿宋_GB2312"/>
          <w:color w:val="000000"/>
          <w:sz w:val="21"/>
          <w:szCs w:val="21"/>
        </w:rPr>
        <w:t>。防静电地体埋设的原则是埋设地点的土壤电阻系数愈小愈好；接地体与土壤的接触面积要大；接触密度要高，接触要紧。接地体最深处离地面至少1.5m。</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3.2.8.4防静电接体与接地母排接头必须焊接牢固，要有足够的机械强度，母排应长度适中，方便接线。接地体和母排均要采用耐腐蚀的金属。</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3.2.8.5防静电地线要与设备保护地线分开埋设，距离至少20m。</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3.2.8.6从专门埋设的防静电接体引出接地母排（规格；5mm厚、约50mm宽的紫铜皮或镀锌扁钢），从接地母排到厂房总接线盒线截面积不小于90mm2，从总接线盒到厂房立柱分线盒线截面积不小于35mm2，分线盒到线槽内线截面积不小于6mm2。</w:t>
      </w:r>
    </w:p>
    <w:p>
      <w:pPr>
        <w:spacing w:line="360" w:lineRule="auto"/>
        <w:rPr>
          <w:rFonts w:hint="eastAsia" w:ascii="仿宋_GB2312" w:hAnsi="仿宋_GB2312" w:eastAsia="仿宋_GB2312" w:cs="仿宋_GB2312"/>
          <w:color w:val="000000"/>
          <w:sz w:val="21"/>
          <w:szCs w:val="21"/>
          <w:lang w:eastAsia="zh-CN"/>
        </w:rPr>
      </w:pPr>
      <w:bookmarkStart w:id="65" w:name="_Toc38025866"/>
      <w:r>
        <w:rPr>
          <w:rFonts w:hint="eastAsia" w:ascii="仿宋_GB2312" w:hAnsi="仿宋_GB2312" w:eastAsia="仿宋_GB2312" w:cs="仿宋_GB2312"/>
          <w:color w:val="000000"/>
          <w:sz w:val="21"/>
          <w:szCs w:val="21"/>
          <w:lang w:eastAsia="zh-CN"/>
        </w:rPr>
        <w:t>电气安装验收标准</w:t>
      </w:r>
      <w:bookmarkEnd w:id="65"/>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3.3.1进场材料验收记录，电气元件的质量证明，关键部件的制造许可证明，进口配件的商检证明；</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3.3.2</w:t>
      </w:r>
      <w:r>
        <w:rPr>
          <w:rFonts w:hint="eastAsia" w:ascii="仿宋_GB2312" w:hAnsi="仿宋_GB2312" w:eastAsia="仿宋_GB2312" w:cs="仿宋_GB2312"/>
          <w:color w:val="000000"/>
          <w:sz w:val="21"/>
          <w:szCs w:val="21"/>
          <w:lang w:eastAsia="zh-CN"/>
        </w:rPr>
        <w:t>园区物业</w:t>
      </w:r>
      <w:r>
        <w:rPr>
          <w:rFonts w:hint="eastAsia" w:ascii="仿宋_GB2312" w:hAnsi="仿宋_GB2312" w:eastAsia="仿宋_GB2312" w:cs="仿宋_GB2312"/>
          <w:color w:val="000000"/>
          <w:sz w:val="21"/>
          <w:szCs w:val="21"/>
        </w:rPr>
        <w:t>及厂务对电气安装方案评估记录；</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3.3.3施工过程关键节点自检记录，现场实施技术质量和标准；</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3.3.4保护装置整定记录；关键部位测试报告。 </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3.3.5施工自检报告；</w:t>
      </w:r>
    </w:p>
    <w:p>
      <w:pPr>
        <w:spacing w:line="360" w:lineRule="auto"/>
        <w:rPr>
          <w:rFonts w:hint="eastAsia" w:ascii="仿宋_GB2312" w:hAnsi="仿宋_GB2312" w:eastAsia="仿宋_GB2312" w:cs="仿宋_GB2312"/>
          <w:b/>
          <w:bCs/>
          <w:color w:val="000000"/>
          <w:sz w:val="21"/>
          <w:szCs w:val="21"/>
        </w:rPr>
      </w:pPr>
      <w:bookmarkStart w:id="66" w:name="_Toc38025867"/>
      <w:r>
        <w:rPr>
          <w:rFonts w:hint="eastAsia" w:ascii="仿宋_GB2312" w:hAnsi="仿宋_GB2312" w:eastAsia="仿宋_GB2312" w:cs="仿宋_GB2312"/>
          <w:b/>
          <w:bCs/>
          <w:color w:val="000000"/>
          <w:sz w:val="21"/>
          <w:szCs w:val="21"/>
        </w:rPr>
        <w:t>管道安装</w:t>
      </w:r>
      <w:bookmarkEnd w:id="66"/>
    </w:p>
    <w:p>
      <w:pPr>
        <w:spacing w:line="360" w:lineRule="auto"/>
        <w:rPr>
          <w:rFonts w:hint="eastAsia" w:ascii="仿宋_GB2312" w:hAnsi="仿宋_GB2312" w:eastAsia="仿宋_GB2312" w:cs="仿宋_GB2312"/>
          <w:color w:val="000000"/>
          <w:sz w:val="21"/>
          <w:szCs w:val="21"/>
          <w:lang w:eastAsia="zh-CN"/>
        </w:rPr>
      </w:pPr>
      <w:bookmarkStart w:id="67" w:name="_Toc38025868"/>
      <w:r>
        <w:rPr>
          <w:rFonts w:hint="eastAsia" w:ascii="仿宋_GB2312" w:hAnsi="仿宋_GB2312" w:eastAsia="仿宋_GB2312" w:cs="仿宋_GB2312"/>
          <w:color w:val="000000"/>
          <w:sz w:val="21"/>
          <w:szCs w:val="21"/>
          <w:lang w:eastAsia="zh-CN"/>
        </w:rPr>
        <w:t>管道安装风险类别及原因</w:t>
      </w:r>
      <w:bookmarkEnd w:id="67"/>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4.1.1因水系统管道破坏造成水损；</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4.1.2因管道断裂造成生产中断，影响业务连续性；</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4.1.3危险介质管道的破坏，对环境、人员及设备的伤害；</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4.1.4能源管道损坏造成能源的浪费和潜在的其他损失风险；</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4.1.5管道的振动，影响设备的运行及工艺精度；</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4.1.6管道安装不牢造成坠物风险；</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4.1.7管道设计影响介质参数或后期拓展局限；</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4.1.8管道老化介质泄漏的风险；</w:t>
      </w:r>
    </w:p>
    <w:p>
      <w:pPr>
        <w:spacing w:line="360" w:lineRule="auto"/>
        <w:rPr>
          <w:rFonts w:hint="eastAsia" w:ascii="仿宋_GB2312" w:hAnsi="仿宋_GB2312" w:eastAsia="仿宋_GB2312" w:cs="仿宋_GB2312"/>
          <w:b/>
          <w:bCs/>
          <w:color w:val="000000"/>
          <w:sz w:val="21"/>
          <w:szCs w:val="21"/>
          <w:lang w:eastAsia="zh-CN"/>
        </w:rPr>
      </w:pPr>
      <w:bookmarkStart w:id="68" w:name="_Toc38025869"/>
      <w:r>
        <w:rPr>
          <w:rFonts w:hint="eastAsia" w:ascii="仿宋_GB2312" w:hAnsi="仿宋_GB2312" w:eastAsia="仿宋_GB2312" w:cs="仿宋_GB2312"/>
          <w:b/>
          <w:bCs/>
          <w:color w:val="000000"/>
          <w:sz w:val="21"/>
          <w:szCs w:val="21"/>
          <w:lang w:eastAsia="zh-CN"/>
        </w:rPr>
        <w:t>管道安装保障实施技术</w:t>
      </w:r>
      <w:bookmarkEnd w:id="68"/>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4.2.1确保施工单位有相应管道施工资质，施工人员有相关操作专业资格；</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4.2.2涉及特种作业的，按照法规要求办理相关告知和审批流程；</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4.2.3材料的入场，对主要材料，成品半成品，配件、器具和设备检测质量合格证明，规格型号及性能检测报告，符合国标及设计要求。车间生活给水系统所涉及的材料必须达到饮用水卫生标准。进场验收做好验收记录。管道所用流量计及压力表进行校验检定，安全阀由具有资质的单位进行检定。 阀门安装前，要进行壳体压力试验（最大允许工作压力1.5倍），密封试验（最大允许工作压力1.1倍），试验方法和介质符合阀门材质以及设计要求。在主干管上起切断作用的闭路阀门，应该逐个试验并记录。试验压力在试验持续时间内应保持不变，且壳体填料及阀瓣密封面无渗漏。安全阀在安装前要按照系统要求委托有资质的检验机构进行整定压力调整和密封试验，做好记录，铅封，并出具校验报告。</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4.2.4管材的选择，要和输送介质的性质及输送参数（压力，温度）相适应。</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4.2.5管道安装前，确保管道，管件，阀门内部已经清理干净，无杂物，管道安装前，按照介质性质及设计要求进行必要的脱脂，内部防腐等处理工艺。</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4.2.6管道完成安装后，按要求做出识别标志（水-艳绿色，空气淡灰色，气体是中黄色，酸碱紫色，可燃液体棕色），并标识清晰介质名称，流向，主要工艺参数，施工单位名称等， 设计如允许可以用标志环代替整条管道颜色标识，但标志环间距应满足以下要求， 管道起点， 终点，转折点，视窗处，仪表处，阀门处以及与其他管道交叉处， 直线段不小于2M。</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4.2.7管道敷设和连接， 管道坡度，坡向，及管道元件的安装方向符合设计规定。</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4.2.8管道与管道，管道与设备连接时，应在自由状态下进行，不得强力对口，管道端面的间隙，偏差错口或不同心等缺陷不得采用加热管子或加偏垫等方式消除，避免管道承受设计以外的附加应力。</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4.2.9管道采用法兰连接时，法兰密封面及密封垫片不得有划痕、斑点等缺陷；法兰连接应与钢制管道同心，螺栓应能自由穿入，法兰接头的歪斜不得用强紧螺栓的方式消除，法兰连接应使用同一规格螺栓，且安装方向一致，螺栓对称紧固。</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4.2.10伴热管应该与主管平行安装，并应能自行排液。禁止将伴热管直接点焊在主管上。</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4.2.11管道纵向焊缝应该朝向易于观察和检修的方向。</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4.2.12镀锌材质管道禁止焊接。</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4.2.13管径小于或等于80mm的镀锌钢管宜用螺纹连接，多用于明装管。套丝扣时破坏的镀锌层表面及外露的螺纹部分应做防腐处理。</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4.2.14直径较大的、主干管道连接阀门、水表、水泵等处，以及经常需要拆卸、检修的管段应使用法兰连接。镀锌管如用焊接或法兰连接，焊接处应进行二次镀锌或防腐。</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4.2.15焊接适用于非镀锌钢管，多用于暗装管道和直径较大管道，铜管连接可采用专用接头或焊接，当管径小于22mm时宜采用承插或套管焊接，承口应迎向介质流向安装，当管径大于或等于22mm时宜采用对口焊接。</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4.2.16沟槽连接（卡箍连接）沟槽连接用于消防水，空调冷热水，给水、雨水等系统直径大于或等于100mm的镀锌钢管或钢塑复合管。 </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4.2.17铝塑复合管宜采用螺纹卡套压接。铜管的连接也宜采用螺纹卡套压接。</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4.2.18生活用水管道系统宜用卡压连接。PPR管的连接方法采用热熔器进行热熔连接</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4.2.19非金属管道的连接，相互连接的管子和管件要求为同一品牌和厂家，避免因为可能存在的差异增加后期管道连接不可靠的风险。</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4.2.20管道保护套管安装，管道穿越墙体楼板时，应加套管进行保护，管道焊缝不得设置在套管内，穿越墙体的套管长度不得小于墙体厚度，穿越楼板的套管应高出楼面50mm, 穿越屋面的套管应设置防水肩和防水帽，管道和套管之间应填塞对管道无害的不燃材料密封。</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4.2.21冷热水管道安装时，应设置坡度，室内不小于2‰，并在管道最低点设置排水阀，最高点设置排气阀。冷热水管道上下平行安装时，热水管道在冷水管道上方。</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4.2.22阀门安装前，严格按照设计文件核对其规格型号，须按介质流向确定安装方向，安装前检查压盖螺栓是否有足够的调节裕量。压力表，阀门等应安装在便于检修，不影响车间日常操作的地方。当阀门与金属管道以法兰或螺纹方式连接时，阀门应该在关闭的状态下安装，以焊接方式连接时，阀门应在开启状态下安装，对接焊缝底层应采用氩弧焊；非金属管道用电熔或热熔方式连接时，接头附近的阀门应处于开启状态； </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4.2.23安全阀应该垂直安装，安全阀的出口管道应接向安全无人地点，在安全阀进出管道上设置截止阀时，应加铅封，且应锁定在全开启状态；</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4.2.24管道支吊架材料应与管道材质相同，或在支吊架与管道之间防止过度垫块。支吊架安装位置应该准确，平整牢固，金属排水管道上的吊钩或卡箍应固定在承重结构上，与管子接触应紧密，管道安装时及时固定和调整支吊架。 无热位移的管道，其吊杆应垂直安装，有热位移的管道，吊点应设在位移的相反方向，按位移值的1/2偏位安装。 </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4.2.25两根有热位移的管道不得使用同一吊杆。</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4.2.26管道导向支架或滑动支架的滑动面应洁净平整，不得有歪斜和卡涩现象，滑托与滑槽两侧间应留有3~5mm间隙，纵向移动量应符合设计要求。</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4.2.27弹簧支吊架安装时应把弹簧调整至冷态值。管道管卡及固定件间距：横管不大于2米，立管不大于3米，楼层高度小于等于4米的，立管可以安装一个固定件，同一车间管卡应安装在同一高度。</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4.2.28有静电接地要求的管道，各管段间应该导电，每对法兰或螺纹接头间电阻值超过0.03欧姆的应设置导线跨接，静电接地引线采用焊接形式。 有静电要求的不锈钢和有色金属管道，导线跨接或接地引线不得与管道直接连接，应采用同材质连接板过渡。原则上静电接地安装完毕后，要做必要测试。</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4.2.29进入车间的冷却水主管道，应采用承重防晃管架， 与设备连接的管道管架应采取减振措施，水平支管才有单杆吊架时，应在系统起始点，阀门，三通，弯头处设置防晃支吊架，并在上述节点设置标牌（管道规格，介质名称， 压力要求和介质流向），冷热水管道与支吊架之间应设置衬垫（衬垫宽度应大于支吊架支撑面的宽度），冷凝水排水管道坡度应符合设计要求，设计未注明时，管道坡度宜大于8‰，坡向正确，设备与排水管的连接应采用软连接并设置清污口。</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4.2.30管道安装完成后，绝热安装前，要根据管道的使用要求，完成必要的压力试验，泄漏性试验，真空度试验。现有车间整改场景，现场条件不允许进行压力试验时，经过相关单位同意，可以对所有环向、纵向焊缝进行射线检测和超声检测，并保留检测及试验记录。</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4.2.31管道绝热施工，当采用一种保温制品时，保温层厚度≥100mm, 保冷层厚度≥80mm时，应该分层施工，各层厚度均匀，伸缩缝须错开。保温层拼缝宽度≤5mm，保冷层拼缝宽度≤2mm。 搭接绝热层安装时，每层及层间接缝应错开，其搭接长度应≥100mm。水平管道的纵向接缝位置，不得布置在管道的下部垂直中心线45º范围内。保冷设备及管道上的裙座、支座、吊耳、仪表管座、支吊架等附件，必须进行保冷。</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4.2.32车间内排水塑料管须按设计要求和位置装设伸缩节，如设计无要求，伸缩节间距不得大于4m。</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4.2.33车间压缩空气管道及真空系统宜采用环网布置，主管管材采用碳钢无缝钢管或不锈钢管。</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4.2.34压缩空气末端接驳PU管（聚氨酯）选型考虑气压波动的影响，在最大工作压力的基础上预留50%裕量选择，产线上慢慢替换掉厚度小于1mm管材。PU管与PU管的接驳须同规格同型号，并使用专用配套接头，禁止产线上胶接PU管。PU管禁止串联，每根需求的PU管须直接接在末端支管上。</w:t>
      </w:r>
    </w:p>
    <w:p>
      <w:pPr>
        <w:spacing w:line="360" w:lineRule="auto"/>
        <w:rPr>
          <w:rFonts w:hint="eastAsia" w:ascii="仿宋_GB2312" w:hAnsi="仿宋_GB2312" w:eastAsia="仿宋_GB2312" w:cs="仿宋_GB2312"/>
          <w:color w:val="000000"/>
          <w:sz w:val="21"/>
          <w:szCs w:val="21"/>
          <w:lang w:eastAsia="zh-CN"/>
        </w:rPr>
      </w:pPr>
      <w:bookmarkStart w:id="69" w:name="_Toc38025870"/>
      <w:r>
        <w:rPr>
          <w:rFonts w:hint="eastAsia" w:ascii="仿宋_GB2312" w:hAnsi="仿宋_GB2312" w:eastAsia="仿宋_GB2312" w:cs="仿宋_GB2312"/>
          <w:color w:val="000000"/>
          <w:sz w:val="21"/>
          <w:szCs w:val="21"/>
          <w:lang w:eastAsia="zh-CN"/>
        </w:rPr>
        <w:t>管道安装验收标准</w:t>
      </w:r>
      <w:bookmarkEnd w:id="69"/>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4.3.1进场材料验收记录，管件，阀部件，表计的质量证明；</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4.3.2</w:t>
      </w:r>
      <w:r>
        <w:rPr>
          <w:rFonts w:hint="eastAsia" w:ascii="仿宋_GB2312" w:hAnsi="仿宋_GB2312" w:eastAsia="仿宋_GB2312" w:cs="仿宋_GB2312"/>
          <w:color w:val="000000"/>
          <w:sz w:val="21"/>
          <w:szCs w:val="21"/>
          <w:lang w:eastAsia="zh-CN"/>
        </w:rPr>
        <w:t>园区物业</w:t>
      </w:r>
      <w:r>
        <w:rPr>
          <w:rFonts w:hint="eastAsia" w:ascii="仿宋_GB2312" w:hAnsi="仿宋_GB2312" w:eastAsia="仿宋_GB2312" w:cs="仿宋_GB2312"/>
          <w:color w:val="000000"/>
          <w:sz w:val="21"/>
          <w:szCs w:val="21"/>
        </w:rPr>
        <w:t>及厂务对管道系统方案评审记录；</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4.3.3施工过程关键节点自检记录，现场实施技术质量和标准；</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4.3.4安全阀整定记录；压力试验报告；</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4.3.5施工自检报告；</w:t>
      </w:r>
    </w:p>
    <w:p>
      <w:pPr>
        <w:spacing w:line="360" w:lineRule="auto"/>
        <w:rPr>
          <w:rFonts w:hint="eastAsia" w:ascii="仿宋_GB2312" w:hAnsi="仿宋_GB2312" w:eastAsia="仿宋_GB2312" w:cs="仿宋_GB2312"/>
          <w:b/>
          <w:bCs/>
          <w:color w:val="000000"/>
          <w:sz w:val="21"/>
          <w:szCs w:val="21"/>
        </w:rPr>
      </w:pPr>
      <w:bookmarkStart w:id="70" w:name="_Toc38025871"/>
      <w:r>
        <w:rPr>
          <w:rFonts w:hint="eastAsia" w:ascii="仿宋_GB2312" w:hAnsi="仿宋_GB2312" w:eastAsia="仿宋_GB2312" w:cs="仿宋_GB2312"/>
          <w:b/>
          <w:bCs/>
          <w:color w:val="000000"/>
          <w:sz w:val="21"/>
          <w:szCs w:val="21"/>
        </w:rPr>
        <w:t>通风空调系统安装</w:t>
      </w:r>
      <w:bookmarkEnd w:id="70"/>
    </w:p>
    <w:p>
      <w:pPr>
        <w:spacing w:line="360" w:lineRule="auto"/>
        <w:rPr>
          <w:rFonts w:hint="eastAsia" w:ascii="仿宋_GB2312" w:hAnsi="仿宋_GB2312" w:eastAsia="仿宋_GB2312" w:cs="仿宋_GB2312"/>
          <w:color w:val="000000"/>
          <w:sz w:val="21"/>
          <w:szCs w:val="21"/>
          <w:lang w:eastAsia="zh-CN"/>
        </w:rPr>
      </w:pPr>
      <w:bookmarkStart w:id="71" w:name="_Toc38025872"/>
      <w:r>
        <w:rPr>
          <w:rFonts w:hint="eastAsia" w:ascii="仿宋_GB2312" w:hAnsi="仿宋_GB2312" w:eastAsia="仿宋_GB2312" w:cs="仿宋_GB2312"/>
          <w:color w:val="000000"/>
          <w:sz w:val="21"/>
          <w:szCs w:val="21"/>
          <w:lang w:eastAsia="zh-CN"/>
        </w:rPr>
        <w:t>通风空调系统安装风险类别及原因</w:t>
      </w:r>
      <w:bookmarkEnd w:id="71"/>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5.1.1冰水&amp;冷凝水&amp;风管保温失效，管道结露造成工艺及产品水损；</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5.1.2施工过程对无尘室工艺的影响，降低工艺品质；</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5.1.3工程材料锈蚀，锌粉脱落对环境及工艺的破坏；</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5.1.4管道或设备安装不当产生的噪音及振动对环境和人员的影响；</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5.1.5管道连接的失效，造成漏风，影响车间设计气流及压力控制，能源浪费；</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5.1.6跨区管道造成的火灾蔓延风险；</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5.1.7管道连接强度不合格，对业务连续性的危害；</w:t>
      </w:r>
    </w:p>
    <w:p>
      <w:pPr>
        <w:spacing w:line="360" w:lineRule="auto"/>
        <w:rPr>
          <w:rFonts w:hint="eastAsia" w:ascii="仿宋_GB2312" w:hAnsi="仿宋_GB2312" w:eastAsia="仿宋_GB2312" w:cs="仿宋_GB2312"/>
          <w:b/>
          <w:bCs/>
          <w:color w:val="000000"/>
          <w:sz w:val="21"/>
          <w:szCs w:val="21"/>
          <w:lang w:eastAsia="zh-CN"/>
        </w:rPr>
      </w:pPr>
      <w:bookmarkStart w:id="72" w:name="_Toc38025873"/>
      <w:r>
        <w:rPr>
          <w:rFonts w:hint="eastAsia" w:ascii="仿宋_GB2312" w:hAnsi="仿宋_GB2312" w:eastAsia="仿宋_GB2312" w:cs="仿宋_GB2312"/>
          <w:b/>
          <w:bCs/>
          <w:color w:val="000000"/>
          <w:sz w:val="21"/>
          <w:szCs w:val="21"/>
          <w:lang w:eastAsia="zh-CN"/>
        </w:rPr>
        <w:t>通风空调系统安装保障施工技术</w:t>
      </w:r>
      <w:bookmarkEnd w:id="72"/>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5.2.1按照设计文件对入场材料进行验收</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5.2.1.1核对产品技术标准、型号、规格、材料外观、包装密封、绝热材料性能指标（密度、吸水性、防火等级）是否符合设计要求，检查技术文件是否齐全。</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5.2.1.2风管的本体，框架与固定材料，密封垫料必须为不然材料， 金属风管的材料种类，规格，性能和厚度要符合设计要求。镀锌钢板的镀锌层厚度要符合设计及合同要求，设计或合同无要求时，无尘室内不应采用低于100g/m2，板材表面不得有花白，锌层粉化现象。</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5.2.2无尘室的风管，水管加工要求在进入无尘室前进行，进入前进行必要的清洁。</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5.2.3净化系统中高效过滤器应在无尘室内进行清洁，末端过滤器之前的所有过滤器安装完毕之后进行，安装前进行现场检查检漏。</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5.2.4风管系统安装技术</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5.2.4.1镀锌钢板及各类含有复合保护层的风管，应采用咬口连接或铆接，不得采用焊接连接。</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5.2.4.2风管板材的密封应使用对生产工艺和人员无害的密封胶或方式，密封面应在风管的正压测。</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5.2.4.3风管板材拼缝应错开，避免十字接缝。</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5.2.4.4风管的连接要符合设计要求（按扣式咬口不能用于高压系统，承插连接、抱箍连接不适用于直径700mm以上的中高压风管系统，S型插条、直角型插条不能用于中高压风管系统），不锈钢材质风管，法兰和铆钉的材质均应使用不锈钢材质，各种材质法兰螺栓孔的间距符合设计要求。</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5.2.4.5成品风阀应设有开度指示装置，并能目视反应阀门开度。</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5.2.4.6手动风量调节阀的手柄应以顺时针方向转动为关闭，无尘室内工作压力大于1000pa的调节风阀，应检测在1.5倍工作压力下自由开关的检测报告。</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5.2.4.7风管安装完成后要进行严密性检验，漏风量应符合设计要求。。</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5.2.4.8为减少无尘车间风管系统带来的噪音，消声器在选择上（类别，性能，空气阻力）应符合设计要求和技术文件的规定，矩形消声弯管平面边长大于800mm时，应安装吸声导流片。</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5.2.4.9消声器的织物覆面层应有保护层，保护层应采用不易锈蚀的材料，确保风管对无尘室洁净度的影响程度最小（保护层的穿孔率符合设计要求/大于20%）。</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5.2.4.10防排烟系统的柔性短管必须为不燃材料，并应采用抗腐，防潮，不透气及不易霉变的材料，柔性短管长度应为150~250mm, 柔性短管不应为异径连接管，矩形柔性短管与风管不得采用抱箍固定的形式。 </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5.2.4.11柔性短管与法兰组装应采用压板铆接固定，铆钉间距符合设计要求/60~80mm)，风管所用的螺栓，螺母，垫圈和铆钉材料都应该与风管材料相适应，防止电化学腐蚀。柔性风管，可伸缩金属或非金属柔性风管的长度不宜大于2m，柔性风管支吊架的间距不应大于1.5m, 两支吊架间最大允许下垂不大于100mm。</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5.2.4.12复合风管采用金属法兰连接时，应该采取防冷桥措施。插接连接的法兰四角插条处应密封良好。</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5.2.4.13洁净度等级为N1到N5级时，风管法兰的螺栓和铆钉孔间距不应大于80mm, 当洁净度等级为N6到N9时，不应大于120mm,不得采用抽芯铆钉。</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5.2.4.14矩形风管不得使用S型插条和直角型插条，边长大于1000mm的净化空调系统风管，不得使用薄钢板法兰弹簧夹连接，空气洁净度1到5级的系统风管不得采用按扣式咬口连接，风管制作完毕后应清洗后进行密封处理，等待使用。风管穿过无尘室吊顶，隔墙等维护结构时，应密封可靠。</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5.2.4.15风管穿过需要封闭的防火防爆墙体或楼板，必须设置厚度不小于1.6mm的钢制防护套管，风管与防护套管之间采用不燃的柔性材料封堵。</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5.2.4.16风管内严禁其他管线穿越，输送含有易燃易爆气体，或穿过易燃易爆环境的风管必须设置可靠的防静电装置，且在易燃易爆环境内不得设置接口，室外风管系统的的金属固定件严禁与避雷网相连。</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5.2.4.17风管支吊架间距按照风管截面尺寸，符合设计要求，一般不大于3m, 支吊架的安装不应影响阀门，风口，检查口的正常使用。每15m不少于1个防晃支架，支吊架材质与风管材质应该相同，如不同，应在风管与支吊架之间设置隔绝垫片。</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5.2.4.18直径或长边尺寸大于等于630mm的风阀、防火阀应设置独立支吊架。</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5.2.4.19除尘系统吸入管段的调节阀，应安装在垂直管段上。</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5.2.4.20消声器及静压箱安装时，应设置独立支吊架，当采用回风箱作为静压箱时，回风口应设置过滤网。</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5.2.5空调水管系统安装技术</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5.2.5.1空调水管的安装，管道焊接对口平直度的要求要符合设计要求1%，全长不大于10mm，管道与设备的固定焊口应远离设备。螺纹连接的管道连接前应该对管道进行全面检查，镀锌层应保护完好，局部破损处要做好防腐处理。</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5.2.5.2管道与泵，设备的接口处应为柔性连接，且不得强行对口连接，与设备连接的管道应该设置独立支架。</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5.2.5.3管道穿越墙体或楼板处应设置钢制套管，管道接口不得置于套管内，钢制套管应与墙体饰面或楼板底部相平，套管上部高出楼面20~50mm, 穿越防火分区的套管应采用不燃的柔性材料封堵，管道与设备连接处应设置独立的支吊架。</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5.2.5.4管道保温同管道章节所述。</w:t>
      </w:r>
    </w:p>
    <w:p>
      <w:pPr>
        <w:spacing w:line="360" w:lineRule="auto"/>
        <w:rPr>
          <w:rFonts w:hint="eastAsia" w:ascii="仿宋_GB2312" w:hAnsi="仿宋_GB2312" w:eastAsia="仿宋_GB2312" w:cs="仿宋_GB2312"/>
          <w:b/>
          <w:bCs/>
          <w:color w:val="000000"/>
          <w:sz w:val="21"/>
          <w:szCs w:val="21"/>
          <w:lang w:eastAsia="zh-CN"/>
        </w:rPr>
      </w:pPr>
      <w:bookmarkStart w:id="73" w:name="_Toc38025874"/>
      <w:r>
        <w:rPr>
          <w:rFonts w:hint="eastAsia" w:ascii="仿宋_GB2312" w:hAnsi="仿宋_GB2312" w:eastAsia="仿宋_GB2312" w:cs="仿宋_GB2312"/>
          <w:b/>
          <w:bCs/>
          <w:color w:val="000000"/>
          <w:sz w:val="21"/>
          <w:szCs w:val="21"/>
          <w:lang w:eastAsia="zh-CN"/>
        </w:rPr>
        <w:t>通风空调系统安装验收标准</w:t>
      </w:r>
      <w:bookmarkEnd w:id="73"/>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5.3.1进场材料验收记录，产品的质量证明；</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5.3.2</w:t>
      </w:r>
      <w:r>
        <w:rPr>
          <w:rFonts w:hint="eastAsia" w:ascii="仿宋_GB2312" w:hAnsi="仿宋_GB2312" w:eastAsia="仿宋_GB2312" w:cs="仿宋_GB2312"/>
          <w:color w:val="000000"/>
          <w:sz w:val="21"/>
          <w:szCs w:val="21"/>
          <w:lang w:eastAsia="zh-CN"/>
        </w:rPr>
        <w:t>园区物业</w:t>
      </w:r>
      <w:r>
        <w:rPr>
          <w:rFonts w:hint="eastAsia" w:ascii="仿宋_GB2312" w:hAnsi="仿宋_GB2312" w:eastAsia="仿宋_GB2312" w:cs="仿宋_GB2312"/>
          <w:color w:val="000000"/>
          <w:sz w:val="21"/>
          <w:szCs w:val="21"/>
        </w:rPr>
        <w:t>及厂务对空调系统方案评估记录；</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5.3.3施工过程关键节点自检记录，现场实施技术质量和标准；</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5.3.4空调风系统风量平衡测试报告，高效过滤器检漏测试报告。</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5.3.5施工自验收报告；</w:t>
      </w:r>
    </w:p>
    <w:p>
      <w:pPr>
        <w:spacing w:line="360" w:lineRule="auto"/>
        <w:rPr>
          <w:rFonts w:hint="eastAsia" w:ascii="仿宋_GB2312" w:hAnsi="仿宋_GB2312" w:eastAsia="仿宋_GB2312" w:cs="仿宋_GB2312"/>
          <w:color w:val="000000"/>
          <w:sz w:val="21"/>
          <w:szCs w:val="21"/>
        </w:rPr>
      </w:pPr>
      <w:bookmarkStart w:id="74" w:name="_Toc38025875"/>
      <w:r>
        <w:rPr>
          <w:rFonts w:hint="eastAsia" w:ascii="仿宋_GB2312" w:hAnsi="仿宋_GB2312" w:eastAsia="仿宋_GB2312" w:cs="仿宋_GB2312"/>
          <w:color w:val="000000"/>
          <w:sz w:val="21"/>
          <w:szCs w:val="21"/>
        </w:rPr>
        <w:t>工艺排风/排水系统安装</w:t>
      </w:r>
      <w:bookmarkEnd w:id="74"/>
    </w:p>
    <w:p>
      <w:pPr>
        <w:spacing w:line="360" w:lineRule="auto"/>
        <w:rPr>
          <w:rFonts w:hint="eastAsia" w:ascii="仿宋_GB2312" w:hAnsi="仿宋_GB2312" w:eastAsia="仿宋_GB2312" w:cs="仿宋_GB2312"/>
          <w:color w:val="000000"/>
          <w:sz w:val="21"/>
          <w:szCs w:val="21"/>
          <w:lang w:eastAsia="zh-CN"/>
        </w:rPr>
      </w:pPr>
      <w:bookmarkStart w:id="75" w:name="_Toc38025876"/>
      <w:r>
        <w:rPr>
          <w:rFonts w:hint="eastAsia" w:ascii="仿宋_GB2312" w:hAnsi="仿宋_GB2312" w:eastAsia="仿宋_GB2312" w:cs="仿宋_GB2312"/>
          <w:color w:val="000000"/>
          <w:sz w:val="21"/>
          <w:szCs w:val="21"/>
          <w:lang w:eastAsia="zh-CN"/>
        </w:rPr>
        <w:t>工艺排风/排水系统安装风险类别及原因</w:t>
      </w:r>
      <w:bookmarkEnd w:id="75"/>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6.1.1由排风/排水处理物不达标引发的环境问题，合规性风险；</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6.1.2车间排风设计不当，造成的无尘室压力平衡及气流组织形式的破坏；</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6.1.3排风能力不足导致的工艺精度风险，排风过大导致能源浪费；</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6.1.4排水系统滴漏造成环境及工艺风险；</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6.1.5施工技术问题导致的系统中断工作，引发业务连续性风险；</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6.1.6跨区管道造成的火灾蔓延风险；</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6.1.7管道连接强度不合格，对业务连续性的危害；</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6.1.8工艺排风泄漏造成相邻房间空气污染</w:t>
      </w:r>
    </w:p>
    <w:p>
      <w:pPr>
        <w:spacing w:line="360" w:lineRule="auto"/>
        <w:rPr>
          <w:rFonts w:hint="eastAsia" w:ascii="仿宋_GB2312" w:hAnsi="仿宋_GB2312" w:eastAsia="仿宋_GB2312" w:cs="仿宋_GB2312"/>
          <w:color w:val="000000"/>
          <w:sz w:val="21"/>
          <w:szCs w:val="21"/>
          <w:lang w:eastAsia="zh-CN"/>
        </w:rPr>
      </w:pPr>
      <w:bookmarkStart w:id="76" w:name="_Toc38025877"/>
      <w:r>
        <w:rPr>
          <w:rFonts w:hint="eastAsia" w:ascii="仿宋_GB2312" w:hAnsi="仿宋_GB2312" w:eastAsia="仿宋_GB2312" w:cs="仿宋_GB2312"/>
          <w:color w:val="000000"/>
          <w:sz w:val="21"/>
          <w:szCs w:val="21"/>
          <w:lang w:eastAsia="zh-CN"/>
        </w:rPr>
        <w:t>工艺排风/排水系统安装保障施工技术</w:t>
      </w:r>
      <w:bookmarkEnd w:id="76"/>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6.2.1工艺排风/排水方案专业性控制，严格按照具有相关资质的设计机构的设计方案实施；</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6.2.2产品和材料的安全性控制，设计有要求，按照设计要求。设计无要求，参照通风空调和管道系统施工技术指标。</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6.2.3坚持施工单位有资质，上岗人员有资格。</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6.2.4特种作业或涉及特种设备作业严格按照法规&amp;公司规章流程实施；</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6.2.5重污染工位、酸碱性排风系统、化学品库的排风系统、清洗房的排风系统均应设置单独的排风机和排风管道，且不宜穿过其他生产或功能房间。</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6.2.6排风口安装位置应考虑工艺气体的比重，工艺气体比重大于空气比重的，排风口应安装在房间或设备的下方。工艺气体比重小于空气比重的，排风口应安装在房间或设备的上方。</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6.2.7排风机与设备联动（手动&amp;自动），应做到风机未开启设备无法启动（启动设备前先启动风机，关闭风机前先关闭设备）；</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6.2.8防爆型排风机，在电机外壳带有“Ex”标识；</w:t>
      </w:r>
    </w:p>
    <w:p>
      <w:pPr>
        <w:spacing w:line="360" w:lineRule="auto"/>
        <w:rPr>
          <w:rFonts w:hint="eastAsia" w:ascii="仿宋_GB2312" w:hAnsi="仿宋_GB2312" w:eastAsia="仿宋_GB2312" w:cs="仿宋_GB2312"/>
          <w:color w:val="000000"/>
          <w:sz w:val="21"/>
          <w:szCs w:val="21"/>
          <w:lang w:eastAsia="zh-CN"/>
        </w:rPr>
      </w:pPr>
      <w:bookmarkStart w:id="77" w:name="_Toc38025878"/>
      <w:r>
        <w:rPr>
          <w:rFonts w:hint="eastAsia" w:ascii="仿宋_GB2312" w:hAnsi="仿宋_GB2312" w:eastAsia="仿宋_GB2312" w:cs="仿宋_GB2312"/>
          <w:color w:val="000000"/>
          <w:sz w:val="21"/>
          <w:szCs w:val="21"/>
          <w:lang w:eastAsia="zh-CN"/>
        </w:rPr>
        <w:t>工艺排风/排水系统安装验收标准</w:t>
      </w:r>
      <w:bookmarkEnd w:id="77"/>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6.3.1进场材料验收记录，产品的质量证明；</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6.3.2</w:t>
      </w:r>
      <w:r>
        <w:rPr>
          <w:rFonts w:hint="eastAsia" w:ascii="仿宋_GB2312" w:hAnsi="仿宋_GB2312" w:eastAsia="仿宋_GB2312" w:cs="仿宋_GB2312"/>
          <w:color w:val="000000"/>
          <w:sz w:val="21"/>
          <w:szCs w:val="21"/>
          <w:lang w:eastAsia="zh-CN"/>
        </w:rPr>
        <w:t>园区物业</w:t>
      </w:r>
      <w:r>
        <w:rPr>
          <w:rFonts w:hint="eastAsia" w:ascii="仿宋_GB2312" w:hAnsi="仿宋_GB2312" w:eastAsia="仿宋_GB2312" w:cs="仿宋_GB2312"/>
          <w:color w:val="000000"/>
          <w:sz w:val="21"/>
          <w:szCs w:val="21"/>
        </w:rPr>
        <w:t>及厂务对工艺方案评估记录；</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6.3.3现场设备工艺要求；</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6.3.4施工过程关键节点自检记录，现场实施技术质量和标准；</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6.3.5施工自验收报告；</w:t>
      </w:r>
    </w:p>
    <w:p>
      <w:pPr>
        <w:spacing w:line="360" w:lineRule="auto"/>
        <w:rPr>
          <w:rFonts w:hint="eastAsia" w:ascii="仿宋_GB2312" w:hAnsi="仿宋_GB2312" w:eastAsia="仿宋_GB2312" w:cs="仿宋_GB2312"/>
          <w:b/>
          <w:bCs/>
          <w:color w:val="000000"/>
          <w:sz w:val="21"/>
          <w:szCs w:val="21"/>
        </w:rPr>
      </w:pPr>
      <w:bookmarkStart w:id="78" w:name="_Toc528741798"/>
      <w:r>
        <w:rPr>
          <w:rFonts w:hint="eastAsia" w:ascii="仿宋_GB2312" w:hAnsi="仿宋_GB2312" w:eastAsia="仿宋_GB2312" w:cs="仿宋_GB2312"/>
          <w:color w:val="000000"/>
          <w:sz w:val="21"/>
          <w:szCs w:val="21"/>
          <w:lang w:val="en-US" w:eastAsia="zh-CN"/>
        </w:rPr>
        <w:t>附件二：</w:t>
      </w:r>
      <w:r>
        <w:rPr>
          <w:rFonts w:hint="eastAsia" w:ascii="仿宋_GB2312" w:hAnsi="仿宋_GB2312" w:eastAsia="仿宋_GB2312" w:cs="仿宋_GB2312"/>
          <w:b/>
          <w:bCs/>
          <w:color w:val="000000"/>
          <w:sz w:val="21"/>
          <w:szCs w:val="21"/>
          <w:lang w:val="en-US" w:eastAsia="zh-CN"/>
        </w:rPr>
        <w:t>四川九华光子通信技术有限公司</w:t>
      </w:r>
      <w:r>
        <w:rPr>
          <w:rFonts w:hint="eastAsia" w:ascii="仿宋_GB2312" w:hAnsi="仿宋_GB2312" w:eastAsia="仿宋_GB2312" w:cs="仿宋_GB2312"/>
          <w:b/>
          <w:bCs/>
          <w:color w:val="000000"/>
          <w:sz w:val="21"/>
          <w:szCs w:val="21"/>
        </w:rPr>
        <w:t>洁净室及相关受控环境施工规范</w:t>
      </w:r>
      <w:bookmarkEnd w:id="78"/>
    </w:p>
    <w:p>
      <w:pPr>
        <w:spacing w:line="360" w:lineRule="auto"/>
        <w:rPr>
          <w:rFonts w:hint="eastAsia" w:ascii="仿宋_GB2312" w:hAnsi="仿宋_GB2312" w:eastAsia="仿宋_GB2312" w:cs="仿宋_GB2312"/>
          <w:b/>
          <w:bCs/>
          <w:color w:val="000000"/>
          <w:sz w:val="21"/>
          <w:szCs w:val="21"/>
        </w:rPr>
      </w:pPr>
      <w:bookmarkStart w:id="79" w:name="_Toc528741799"/>
      <w:r>
        <w:rPr>
          <w:rFonts w:hint="eastAsia" w:ascii="仿宋_GB2312" w:hAnsi="仿宋_GB2312" w:eastAsia="仿宋_GB2312" w:cs="仿宋_GB2312"/>
          <w:b/>
          <w:bCs/>
          <w:color w:val="000000"/>
          <w:sz w:val="21"/>
          <w:szCs w:val="21"/>
        </w:rPr>
        <w:t>总体要求</w:t>
      </w:r>
      <w:bookmarkEnd w:id="79"/>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洁净室的施工应满足GB 50591 及ISO14644中的基本要求。</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由具有建设主管部门批准的专业资质的施工企业进行施工。</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施工人员应经过有关洁净室的施工、验收规范培训及考核，并应有具有专业监理资质和经专业培训的监理机构实行全过程监理。</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工程所使用的材料、设备、成品、半成品的规格、型号、性能及技术指标均应符合设计和国家现行有关标准要求，并有齐全合法的质量证明文件。</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对分割洁净室及相关受控环境空间成为各自独立密封体到顶的填充墙，墙体（板）与梁、板底的缝隙应填充密实，并应做密封处理。</w:t>
      </w:r>
    </w:p>
    <w:p>
      <w:pPr>
        <w:spacing w:line="360" w:lineRule="auto"/>
        <w:rPr>
          <w:rFonts w:hint="eastAsia" w:ascii="仿宋_GB2312" w:hAnsi="仿宋_GB2312" w:eastAsia="仿宋_GB2312" w:cs="仿宋_GB2312"/>
          <w:b/>
          <w:bCs/>
          <w:color w:val="000000"/>
          <w:sz w:val="21"/>
          <w:szCs w:val="21"/>
        </w:rPr>
      </w:pPr>
      <w:bookmarkStart w:id="80" w:name="_Toc528741800"/>
      <w:r>
        <w:rPr>
          <w:rFonts w:hint="eastAsia" w:ascii="仿宋_GB2312" w:hAnsi="仿宋_GB2312" w:eastAsia="仿宋_GB2312" w:cs="仿宋_GB2312"/>
          <w:b/>
          <w:bCs/>
          <w:color w:val="000000"/>
          <w:sz w:val="21"/>
          <w:szCs w:val="21"/>
        </w:rPr>
        <w:t>结构施工要求：</w:t>
      </w:r>
      <w:bookmarkEnd w:id="80"/>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混凝土结构表面应平整、无裂缝、无麻面、无掉皮、无起沙。</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填充墙应与周围结构严密接触。</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暴露在洁净区的钢框架（如气管、线槽等）结构尽可能采用不锈钢。如为非不锈钢，其表面防腐涂料应进行附着力检测。</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洁净室建筑装饰工程施工应在主体结构、屋面防水工程和外围防护结构验收完成后进行。</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洁净室的建筑装饰材料应满足隔热、隔声、防震、防虫、防腐、防火、防静电等要求，且保证洁净室气密性和装饰表面不产尘、不吸尘、不积尘及易清洗。</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洁净室建筑工程施工应实行施工现场封闭清洁管理、在洁净施工区内进行粉尘作业时，应采取有效防震粉尘扩散的措施。</w:t>
      </w:r>
    </w:p>
    <w:p>
      <w:pPr>
        <w:spacing w:line="360" w:lineRule="auto"/>
        <w:rPr>
          <w:rFonts w:hint="eastAsia" w:ascii="仿宋_GB2312" w:hAnsi="仿宋_GB2312" w:eastAsia="仿宋_GB2312" w:cs="仿宋_GB2312"/>
          <w:b/>
          <w:bCs/>
          <w:color w:val="000000"/>
          <w:sz w:val="21"/>
          <w:szCs w:val="21"/>
        </w:rPr>
      </w:pPr>
      <w:bookmarkStart w:id="81" w:name="_Toc528741801"/>
      <w:r>
        <w:rPr>
          <w:rFonts w:hint="eastAsia" w:ascii="仿宋_GB2312" w:hAnsi="仿宋_GB2312" w:eastAsia="仿宋_GB2312" w:cs="仿宋_GB2312"/>
          <w:b/>
          <w:bCs/>
          <w:color w:val="000000"/>
          <w:sz w:val="21"/>
          <w:szCs w:val="21"/>
        </w:rPr>
        <w:t>地面施工要求：</w:t>
      </w:r>
      <w:bookmarkEnd w:id="81"/>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建筑底层的地面应设置防潮层。当旧地面为涂料、树脂和PVC板时，应将原地面材料铲除，清理、打磨干净，再抹找平层，</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粘贴地面施工应符合下列要求：基础地面含水率应低于4%。旧有地面如为光滑地面，必须先打磨成粗糙面。水泥地面基底表面应平整、坚硬、干燥、密实，不得有起砂、起皱、麻面、裂缝等缺陷。板材、卷材与地面之间应满涂胶粘剂，不得漏涂。应在贴地面材料4小时后再进行接缝焊接处理。</w:t>
      </w:r>
    </w:p>
    <w:p>
      <w:pPr>
        <w:spacing w:line="360" w:lineRule="auto"/>
        <w:rPr>
          <w:rFonts w:hint="eastAsia" w:ascii="仿宋_GB2312" w:hAnsi="仿宋_GB2312" w:eastAsia="仿宋_GB2312" w:cs="仿宋_GB2312"/>
          <w:b/>
          <w:bCs/>
          <w:color w:val="000000"/>
          <w:sz w:val="21"/>
          <w:szCs w:val="21"/>
        </w:rPr>
      </w:pPr>
      <w:bookmarkStart w:id="82" w:name="_Toc528741802"/>
      <w:r>
        <w:rPr>
          <w:rFonts w:hint="eastAsia" w:ascii="仿宋_GB2312" w:hAnsi="仿宋_GB2312" w:eastAsia="仿宋_GB2312" w:cs="仿宋_GB2312"/>
          <w:b/>
          <w:bCs/>
          <w:color w:val="000000"/>
          <w:sz w:val="21"/>
          <w:szCs w:val="21"/>
        </w:rPr>
        <w:t>墙面施工要求：</w:t>
      </w:r>
      <w:bookmarkEnd w:id="82"/>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对于送风、回风静压箱空间，暴露表面的钢筋混凝土应采用清水混凝土，或采用涂料墙面。</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涂料墙面施工要求：基底表面应打磨平整、清理干净，无浮尘；涂料应具有耐水、耐磨、耐酸碱特性。</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金属夹心墙面施工要求：金属夹心板墙面的内部填充材料应使用难燃或不燃材料，不得使用有机材料；所有金属吊挂件、锚固件的表面都应做防腐、防锈处理。安装过程中不得剥离金属夹板表面保护膜，不得撞击板面。正压洁净室应在金属夹心板正压面用中性密封胶密封缝隙。金属夹心板不宜在现场开洞、切割，板上的各类洞口应切割方正、边缘整齐，对其中的填充材料的切割边缘应用密封胶均匀镶嵌密封。金属夹心板的金属面与骨架之间应有导静电措施。</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整体金属壁板墙面施工要求：龙骨架和金属件都应做防锈处理。</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送风和回风静压箱空间，暴露表面的钢筋混凝土宜采用清水混凝土</w:t>
      </w:r>
    </w:p>
    <w:p>
      <w:pPr>
        <w:spacing w:line="360" w:lineRule="auto"/>
        <w:rPr>
          <w:rFonts w:hint="eastAsia" w:ascii="仿宋_GB2312" w:hAnsi="仿宋_GB2312" w:eastAsia="仿宋_GB2312" w:cs="仿宋_GB2312"/>
          <w:b/>
          <w:bCs/>
          <w:color w:val="000000"/>
          <w:sz w:val="21"/>
          <w:szCs w:val="21"/>
        </w:rPr>
      </w:pPr>
      <w:bookmarkStart w:id="83" w:name="_Toc528741803"/>
      <w:r>
        <w:rPr>
          <w:rFonts w:hint="eastAsia" w:ascii="仿宋_GB2312" w:hAnsi="仿宋_GB2312" w:eastAsia="仿宋_GB2312" w:cs="仿宋_GB2312"/>
          <w:b/>
          <w:bCs/>
          <w:color w:val="000000"/>
          <w:sz w:val="21"/>
          <w:szCs w:val="21"/>
        </w:rPr>
        <w:t>吊顶：</w:t>
      </w:r>
      <w:bookmarkEnd w:id="83"/>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吊顶施工应符合下列规定：</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吊顶施工应在完成基底打磨与清理的粉尘作业、现场清洁、表面涂界面剂和涂刷涂料后进行。</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吊顶周边应与墙体交接严紧并密封。</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吊顶内各种金属件均应进行防腐、防锈处理，预埋件和墙体、楼面的衔接处都应做密封处理。</w:t>
      </w:r>
    </w:p>
    <w:p>
      <w:pPr>
        <w:spacing w:line="360" w:lineRule="auto"/>
        <w:rPr>
          <w:rFonts w:hint="eastAsia" w:ascii="仿宋_GB2312" w:hAnsi="仿宋_GB2312" w:eastAsia="仿宋_GB2312" w:cs="仿宋_GB2312"/>
          <w:b/>
          <w:bCs/>
          <w:color w:val="000000"/>
          <w:sz w:val="21"/>
          <w:szCs w:val="21"/>
        </w:rPr>
      </w:pPr>
      <w:bookmarkStart w:id="84" w:name="_Toc528741804"/>
      <w:r>
        <w:rPr>
          <w:rFonts w:hint="eastAsia" w:ascii="仿宋_GB2312" w:hAnsi="仿宋_GB2312" w:eastAsia="仿宋_GB2312" w:cs="仿宋_GB2312"/>
          <w:b/>
          <w:bCs/>
          <w:color w:val="000000"/>
          <w:sz w:val="21"/>
          <w:szCs w:val="21"/>
        </w:rPr>
        <w:t>门窗：</w:t>
      </w:r>
      <w:bookmarkEnd w:id="84"/>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窗的安装应符合下列规定：</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门窗构造应平整简洁、不易积灰、容易清洁。</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门窗框与墙体链接应牢固，缝隙内应用弹性的材料镶嵌填饱满，表面应用密封胶均匀密封。</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门框密封面上有密封条时，在门关闭后，密封条应处于压缩状态。</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悬挂推拉门上部机动件箱体和滑槽内应清洁，门扇关闭时与墙体（或门框）应无明显缝隙。</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窗面应与安装部位的表面平齐，当不能平齐是，窗台应采用斜坡、弧坡，边、角应为圆弧过渡。</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窗玻璃应用密封胶固定、封严。如采用密封条密封，玻璃鱼密封条的接触应平整，密封条不得卷边、脱槽、缺口、断裂。</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窗帘或百叶不得安装在室内。</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当洁净室对外选用快速卷帘门时（如在货淋室口），门的密封方式选用滑轨密封，不能选用毛刷密封。</w:t>
      </w:r>
    </w:p>
    <w:p>
      <w:pPr>
        <w:spacing w:line="360" w:lineRule="auto"/>
        <w:rPr>
          <w:rFonts w:hint="eastAsia" w:ascii="仿宋_GB2312" w:hAnsi="仿宋_GB2312" w:eastAsia="仿宋_GB2312" w:cs="仿宋_GB2312"/>
          <w:b/>
          <w:bCs/>
          <w:color w:val="000000"/>
          <w:sz w:val="21"/>
          <w:szCs w:val="21"/>
        </w:rPr>
      </w:pPr>
      <w:bookmarkStart w:id="85" w:name="_Toc528741805"/>
      <w:r>
        <w:rPr>
          <w:rFonts w:hint="eastAsia" w:ascii="仿宋_GB2312" w:hAnsi="仿宋_GB2312" w:eastAsia="仿宋_GB2312" w:cs="仿宋_GB2312"/>
          <w:b/>
          <w:bCs/>
          <w:color w:val="000000"/>
          <w:sz w:val="21"/>
          <w:szCs w:val="21"/>
        </w:rPr>
        <w:t>缝隙密封要求：</w:t>
      </w:r>
      <w:bookmarkEnd w:id="85"/>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密封界面应清理干净。</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密封胶嵌固前，应将待密封沟槽内的杂质、油污清除干净，并保持表面干燥。</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有防霉要求的场合不应用玻璃较、硅胶内密封胶，应用中性密封胶，并在密封胶中加抑菌剂。涉及半导体或有耐碱要求的场合不应用硅密封胶。</w:t>
      </w:r>
    </w:p>
    <w:p>
      <w:pPr>
        <w:spacing w:line="360" w:lineRule="auto"/>
        <w:rPr>
          <w:rFonts w:hint="eastAsia" w:ascii="仿宋_GB2312" w:hAnsi="仿宋_GB2312" w:eastAsia="仿宋_GB2312" w:cs="仿宋_GB2312"/>
          <w:b/>
          <w:bCs/>
          <w:color w:val="000000"/>
          <w:sz w:val="21"/>
          <w:szCs w:val="21"/>
        </w:rPr>
      </w:pPr>
      <w:bookmarkStart w:id="86" w:name="_Toc528741806"/>
      <w:r>
        <w:rPr>
          <w:rFonts w:hint="eastAsia" w:ascii="仿宋_GB2312" w:hAnsi="仿宋_GB2312" w:eastAsia="仿宋_GB2312" w:cs="仿宋_GB2312"/>
          <w:b/>
          <w:bCs/>
          <w:color w:val="000000"/>
          <w:sz w:val="21"/>
          <w:szCs w:val="21"/>
        </w:rPr>
        <w:t>洁净送风系统施工要求：</w:t>
      </w:r>
      <w:bookmarkEnd w:id="86"/>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风管内表面应平整光滑，不得在风管内设加强框、加固肋或风挡。</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不应从主管上开口接支管，总管上的支管应放样制作成三通或四通整体结构，转接处应为圆弧或斜角过渡。</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加工镀锌钢板风管不应破损镀锌层，若有损坏，损坏处（如咬口、折边、焊接处等）应刷涂优质防锈涂料。</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静压箱内固定高效过滤器的框架及固定件、风阀及风口上活动件、固定件等应做镀锌、防锈处理。</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风管和部件制作完毕应擦拭干净，并将所有开口用塑料膜包口密封。应在安装时拆卸封口，并立即连接安装。当施工停止或完毕时，应将端口密封好。</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风管安装人员应穿戴洁净工作服、手套和工作鞋。</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风管早穿过墙壁、楼板等分隔物时，应设预埋管或防护套管。非金属风管穿墙时必须外包金属套管。</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对可能有凝结水的风管应有加强绝热和排水措施。</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安装系统新风口处的环境应清洁。</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高效过滤器安装后至综合性能测试前不宜安装扩散板、装饰层。</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MAU/AHU中过滤器前后应设测尘测压孔，系统安装后必须将测尘测压孔封闭。</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在完成高效过滤器安装、地面墙面的的装饰工作之后，洁净室内不应再有产尘、扬尘作业。</w:t>
      </w:r>
    </w:p>
    <w:p>
      <w:pPr>
        <w:spacing w:line="360" w:lineRule="auto"/>
        <w:rPr>
          <w:rFonts w:hint="eastAsia" w:ascii="仿宋_GB2312" w:hAnsi="仿宋_GB2312" w:eastAsia="仿宋_GB2312" w:cs="仿宋_GB2312"/>
          <w:b/>
          <w:bCs/>
          <w:color w:val="000000"/>
          <w:sz w:val="21"/>
          <w:szCs w:val="21"/>
        </w:rPr>
      </w:pPr>
      <w:bookmarkStart w:id="87" w:name="_Toc528741807"/>
      <w:r>
        <w:rPr>
          <w:rFonts w:hint="eastAsia" w:ascii="仿宋_GB2312" w:hAnsi="仿宋_GB2312" w:eastAsia="仿宋_GB2312" w:cs="仿宋_GB2312"/>
          <w:b/>
          <w:bCs/>
          <w:color w:val="000000"/>
          <w:sz w:val="21"/>
          <w:szCs w:val="21"/>
        </w:rPr>
        <w:t>气体系统施工要求：</w:t>
      </w:r>
      <w:bookmarkEnd w:id="87"/>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成品管外包装和相应的管端头管帽、堵头等密封措施应有效、无破损。</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采用铜材的高纯气体管路，可采用不锈钢材质的附件，但在不锈钢材质的管路中，不应采用铜质的附件。</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所用管材应放在室内保管，不得重叠码放。管道应无裂纹、缩孔、夹渣、起瘤、锈斑、报名损伤等缺陷。</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bookmarkStart w:id="88" w:name="_Toc528741808"/>
      <w:r>
        <w:rPr>
          <w:rFonts w:hint="eastAsia" w:ascii="仿宋_GB2312" w:hAnsi="仿宋_GB2312" w:eastAsia="仿宋_GB2312" w:cs="仿宋_GB2312"/>
          <w:color w:val="000000"/>
          <w:sz w:val="21"/>
          <w:szCs w:val="21"/>
        </w:rPr>
        <w:t>洁净室及相关受控环境验收</w:t>
      </w:r>
      <w:bookmarkEnd w:id="88"/>
    </w:p>
    <w:p>
      <w:pPr>
        <w:spacing w:line="360" w:lineRule="auto"/>
        <w:rPr>
          <w:rFonts w:hint="eastAsia" w:ascii="仿宋_GB2312" w:hAnsi="仿宋_GB2312" w:eastAsia="仿宋_GB2312" w:cs="仿宋_GB2312"/>
          <w:b/>
          <w:bCs/>
          <w:color w:val="000000"/>
          <w:sz w:val="21"/>
          <w:szCs w:val="21"/>
        </w:rPr>
      </w:pPr>
      <w:bookmarkStart w:id="89" w:name="_Toc528741809"/>
      <w:r>
        <w:rPr>
          <w:rFonts w:hint="eastAsia" w:ascii="仿宋_GB2312" w:hAnsi="仿宋_GB2312" w:eastAsia="仿宋_GB2312" w:cs="仿宋_GB2312"/>
          <w:b/>
          <w:bCs/>
          <w:color w:val="000000"/>
          <w:sz w:val="21"/>
          <w:szCs w:val="21"/>
        </w:rPr>
        <w:t>综合性能评估检查项目要求</w:t>
      </w:r>
      <w:bookmarkEnd w:id="89"/>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2907"/>
        <w:gridCol w:w="1276"/>
        <w:gridCol w:w="1276"/>
        <w:gridCol w:w="2126"/>
        <w:gridCol w:w="14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trPr>
        <w:tc>
          <w:tcPr>
            <w:tcW w:w="745" w:type="dxa"/>
            <w:vMerge w:val="restart"/>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序号</w:t>
            </w:r>
          </w:p>
        </w:tc>
        <w:tc>
          <w:tcPr>
            <w:tcW w:w="2907" w:type="dxa"/>
            <w:vMerge w:val="restart"/>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测试项目</w:t>
            </w:r>
          </w:p>
        </w:tc>
        <w:tc>
          <w:tcPr>
            <w:tcW w:w="2552" w:type="dxa"/>
            <w:gridSpan w:val="2"/>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单向流</w:t>
            </w:r>
          </w:p>
        </w:tc>
        <w:tc>
          <w:tcPr>
            <w:tcW w:w="2126"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非单向流</w:t>
            </w:r>
          </w:p>
        </w:tc>
        <w:tc>
          <w:tcPr>
            <w:tcW w:w="1419" w:type="dxa"/>
            <w:vMerge w:val="restart"/>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745" w:type="dxa"/>
            <w:vMerge w:val="continue"/>
            <w:shd w:val="clear" w:color="auto" w:fill="auto"/>
            <w:noWrap w:val="0"/>
            <w:vAlign w:val="top"/>
          </w:tcPr>
          <w:p>
            <w:pPr>
              <w:spacing w:line="360" w:lineRule="auto"/>
              <w:rPr>
                <w:rFonts w:hint="eastAsia" w:ascii="仿宋_GB2312" w:hAnsi="仿宋_GB2312" w:eastAsia="仿宋_GB2312" w:cs="仿宋_GB2312"/>
                <w:color w:val="000000"/>
                <w:sz w:val="21"/>
                <w:szCs w:val="21"/>
              </w:rPr>
            </w:pPr>
          </w:p>
        </w:tc>
        <w:tc>
          <w:tcPr>
            <w:tcW w:w="2907" w:type="dxa"/>
            <w:vMerge w:val="continue"/>
            <w:shd w:val="clear" w:color="auto" w:fill="auto"/>
            <w:noWrap w:val="0"/>
            <w:vAlign w:val="top"/>
          </w:tcPr>
          <w:p>
            <w:pPr>
              <w:spacing w:line="360" w:lineRule="auto"/>
              <w:rPr>
                <w:rFonts w:hint="eastAsia" w:ascii="仿宋_GB2312" w:hAnsi="仿宋_GB2312" w:eastAsia="仿宋_GB2312" w:cs="仿宋_GB2312"/>
                <w:color w:val="000000"/>
                <w:sz w:val="21"/>
                <w:szCs w:val="21"/>
              </w:rPr>
            </w:pPr>
          </w:p>
        </w:tc>
        <w:tc>
          <w:tcPr>
            <w:tcW w:w="1276"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1~4级</w:t>
            </w:r>
          </w:p>
        </w:tc>
        <w:tc>
          <w:tcPr>
            <w:tcW w:w="1276"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5级</w:t>
            </w:r>
          </w:p>
        </w:tc>
        <w:tc>
          <w:tcPr>
            <w:tcW w:w="2126"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6~9级</w:t>
            </w:r>
          </w:p>
        </w:tc>
        <w:tc>
          <w:tcPr>
            <w:tcW w:w="1419" w:type="dxa"/>
            <w:vMerge w:val="continue"/>
            <w:shd w:val="clear" w:color="auto" w:fill="auto"/>
            <w:noWrap w:val="0"/>
            <w:vAlign w:val="top"/>
          </w:tcPr>
          <w:p>
            <w:pPr>
              <w:spacing w:line="360" w:lineRule="auto"/>
              <w:rPr>
                <w:rFonts w:hint="eastAsia" w:ascii="仿宋_GB2312" w:hAnsi="仿宋_GB2312" w:eastAsia="仿宋_GB2312" w:cs="仿宋_GB2312"/>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745"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w:t>
            </w:r>
          </w:p>
        </w:tc>
        <w:tc>
          <w:tcPr>
            <w:tcW w:w="2907"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气流速度及均匀性</w:t>
            </w:r>
          </w:p>
        </w:tc>
        <w:tc>
          <w:tcPr>
            <w:tcW w:w="2552" w:type="dxa"/>
            <w:gridSpan w:val="2"/>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p>
        </w:tc>
        <w:tc>
          <w:tcPr>
            <w:tcW w:w="2126"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p>
        </w:tc>
        <w:tc>
          <w:tcPr>
            <w:tcW w:w="1419"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45"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2</w:t>
            </w:r>
          </w:p>
        </w:tc>
        <w:tc>
          <w:tcPr>
            <w:tcW w:w="2907"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气流量及均匀性</w:t>
            </w:r>
          </w:p>
        </w:tc>
        <w:tc>
          <w:tcPr>
            <w:tcW w:w="2552" w:type="dxa"/>
            <w:gridSpan w:val="2"/>
            <w:shd w:val="clear" w:color="auto" w:fill="auto"/>
            <w:noWrap w:val="0"/>
            <w:vAlign w:val="top"/>
          </w:tcPr>
          <w:p>
            <w:pPr>
              <w:spacing w:line="360" w:lineRule="auto"/>
              <w:rPr>
                <w:rFonts w:hint="eastAsia" w:ascii="仿宋_GB2312" w:hAnsi="仿宋_GB2312" w:eastAsia="仿宋_GB2312" w:cs="仿宋_GB2312"/>
                <w:color w:val="000000"/>
                <w:sz w:val="21"/>
                <w:szCs w:val="21"/>
              </w:rPr>
            </w:pPr>
          </w:p>
        </w:tc>
        <w:tc>
          <w:tcPr>
            <w:tcW w:w="2126"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p>
        </w:tc>
        <w:tc>
          <w:tcPr>
            <w:tcW w:w="1419"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45"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3</w:t>
            </w:r>
          </w:p>
        </w:tc>
        <w:tc>
          <w:tcPr>
            <w:tcW w:w="2907"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高效过滤器泄漏检测</w:t>
            </w:r>
          </w:p>
        </w:tc>
        <w:tc>
          <w:tcPr>
            <w:tcW w:w="2552" w:type="dxa"/>
            <w:gridSpan w:val="2"/>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p>
        </w:tc>
        <w:tc>
          <w:tcPr>
            <w:tcW w:w="2126"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p>
        </w:tc>
        <w:tc>
          <w:tcPr>
            <w:tcW w:w="1419"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45"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w:t>
            </w:r>
          </w:p>
        </w:tc>
        <w:tc>
          <w:tcPr>
            <w:tcW w:w="2907"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悬浮颗粒物空气洁净度级别</w:t>
            </w:r>
          </w:p>
        </w:tc>
        <w:tc>
          <w:tcPr>
            <w:tcW w:w="2552" w:type="dxa"/>
            <w:gridSpan w:val="2"/>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p>
        </w:tc>
        <w:tc>
          <w:tcPr>
            <w:tcW w:w="2126"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p>
        </w:tc>
        <w:tc>
          <w:tcPr>
            <w:tcW w:w="1419"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45"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5</w:t>
            </w:r>
          </w:p>
        </w:tc>
        <w:tc>
          <w:tcPr>
            <w:tcW w:w="2907"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压差</w:t>
            </w:r>
          </w:p>
        </w:tc>
        <w:tc>
          <w:tcPr>
            <w:tcW w:w="2552" w:type="dxa"/>
            <w:gridSpan w:val="2"/>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p>
        </w:tc>
        <w:tc>
          <w:tcPr>
            <w:tcW w:w="2126"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p>
        </w:tc>
        <w:tc>
          <w:tcPr>
            <w:tcW w:w="1419"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45"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w:t>
            </w:r>
          </w:p>
        </w:tc>
        <w:tc>
          <w:tcPr>
            <w:tcW w:w="2907"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气流平行性</w:t>
            </w:r>
          </w:p>
        </w:tc>
        <w:tc>
          <w:tcPr>
            <w:tcW w:w="2552" w:type="dxa"/>
            <w:gridSpan w:val="2"/>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p>
        </w:tc>
        <w:tc>
          <w:tcPr>
            <w:tcW w:w="2126"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p>
        </w:tc>
        <w:tc>
          <w:tcPr>
            <w:tcW w:w="1419"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45"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7</w:t>
            </w:r>
          </w:p>
        </w:tc>
        <w:tc>
          <w:tcPr>
            <w:tcW w:w="2907"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自净恢复时间</w:t>
            </w:r>
          </w:p>
        </w:tc>
        <w:tc>
          <w:tcPr>
            <w:tcW w:w="2552" w:type="dxa"/>
            <w:gridSpan w:val="2"/>
            <w:shd w:val="clear" w:color="auto" w:fill="auto"/>
            <w:noWrap w:val="0"/>
            <w:vAlign w:val="top"/>
          </w:tcPr>
          <w:p>
            <w:pPr>
              <w:spacing w:line="360" w:lineRule="auto"/>
              <w:rPr>
                <w:rFonts w:hint="eastAsia" w:ascii="仿宋_GB2312" w:hAnsi="仿宋_GB2312" w:eastAsia="仿宋_GB2312" w:cs="仿宋_GB2312"/>
                <w:color w:val="000000"/>
                <w:sz w:val="21"/>
                <w:szCs w:val="21"/>
              </w:rPr>
            </w:pPr>
          </w:p>
        </w:tc>
        <w:tc>
          <w:tcPr>
            <w:tcW w:w="2126"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p>
        </w:tc>
        <w:tc>
          <w:tcPr>
            <w:tcW w:w="1419"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45"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8</w:t>
            </w:r>
          </w:p>
        </w:tc>
        <w:tc>
          <w:tcPr>
            <w:tcW w:w="2907"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照度及均匀性</w:t>
            </w:r>
          </w:p>
        </w:tc>
        <w:tc>
          <w:tcPr>
            <w:tcW w:w="2552" w:type="dxa"/>
            <w:gridSpan w:val="2"/>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p>
        </w:tc>
        <w:tc>
          <w:tcPr>
            <w:tcW w:w="2126"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p>
        </w:tc>
        <w:tc>
          <w:tcPr>
            <w:tcW w:w="1419"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45"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9</w:t>
            </w:r>
          </w:p>
        </w:tc>
        <w:tc>
          <w:tcPr>
            <w:tcW w:w="2907"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噪声级</w:t>
            </w:r>
          </w:p>
        </w:tc>
        <w:tc>
          <w:tcPr>
            <w:tcW w:w="2552" w:type="dxa"/>
            <w:gridSpan w:val="2"/>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p>
        </w:tc>
        <w:tc>
          <w:tcPr>
            <w:tcW w:w="2126"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p>
        </w:tc>
        <w:tc>
          <w:tcPr>
            <w:tcW w:w="1419"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45"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10</w:t>
            </w:r>
          </w:p>
        </w:tc>
        <w:tc>
          <w:tcPr>
            <w:tcW w:w="2907"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微振动</w:t>
            </w:r>
          </w:p>
        </w:tc>
        <w:tc>
          <w:tcPr>
            <w:tcW w:w="2552" w:type="dxa"/>
            <w:gridSpan w:val="2"/>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按工艺需求可选</w:t>
            </w:r>
          </w:p>
        </w:tc>
        <w:tc>
          <w:tcPr>
            <w:tcW w:w="2126"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p>
        </w:tc>
        <w:tc>
          <w:tcPr>
            <w:tcW w:w="1419"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45"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11</w:t>
            </w:r>
          </w:p>
        </w:tc>
        <w:tc>
          <w:tcPr>
            <w:tcW w:w="2907"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温度、湿度及均匀性</w:t>
            </w:r>
          </w:p>
        </w:tc>
        <w:tc>
          <w:tcPr>
            <w:tcW w:w="2552" w:type="dxa"/>
            <w:gridSpan w:val="2"/>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p>
        </w:tc>
        <w:tc>
          <w:tcPr>
            <w:tcW w:w="2126"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p>
        </w:tc>
        <w:tc>
          <w:tcPr>
            <w:tcW w:w="1419"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745"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12</w:t>
            </w:r>
          </w:p>
        </w:tc>
        <w:tc>
          <w:tcPr>
            <w:tcW w:w="2907"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地板、墙壁等防静电性能测试</w:t>
            </w:r>
          </w:p>
        </w:tc>
        <w:tc>
          <w:tcPr>
            <w:tcW w:w="2552" w:type="dxa"/>
            <w:gridSpan w:val="2"/>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p>
        </w:tc>
        <w:tc>
          <w:tcPr>
            <w:tcW w:w="2126"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p>
        </w:tc>
        <w:tc>
          <w:tcPr>
            <w:tcW w:w="1419"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45"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13</w:t>
            </w:r>
          </w:p>
        </w:tc>
        <w:tc>
          <w:tcPr>
            <w:tcW w:w="2907"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房间甲醛浓度及TVOC</w:t>
            </w:r>
          </w:p>
        </w:tc>
        <w:tc>
          <w:tcPr>
            <w:tcW w:w="2552" w:type="dxa"/>
            <w:gridSpan w:val="2"/>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p>
        </w:tc>
        <w:tc>
          <w:tcPr>
            <w:tcW w:w="2126"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p>
        </w:tc>
        <w:tc>
          <w:tcPr>
            <w:tcW w:w="1419"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45"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14</w:t>
            </w:r>
          </w:p>
        </w:tc>
        <w:tc>
          <w:tcPr>
            <w:tcW w:w="2907"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系统新风量</w:t>
            </w:r>
          </w:p>
        </w:tc>
        <w:tc>
          <w:tcPr>
            <w:tcW w:w="2552" w:type="dxa"/>
            <w:gridSpan w:val="2"/>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p>
        </w:tc>
        <w:tc>
          <w:tcPr>
            <w:tcW w:w="2126"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w:t>
            </w:r>
          </w:p>
        </w:tc>
        <w:tc>
          <w:tcPr>
            <w:tcW w:w="1419"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45"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15</w:t>
            </w:r>
          </w:p>
        </w:tc>
        <w:tc>
          <w:tcPr>
            <w:tcW w:w="2907"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维护结构的严密性</w:t>
            </w:r>
          </w:p>
        </w:tc>
        <w:tc>
          <w:tcPr>
            <w:tcW w:w="4678" w:type="dxa"/>
            <w:gridSpan w:val="3"/>
            <w:shd w:val="clear" w:color="auto" w:fill="auto"/>
            <w:noWrap w:val="0"/>
            <w:vAlign w:val="top"/>
          </w:tcPr>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必要时测试</w:t>
            </w:r>
          </w:p>
        </w:tc>
        <w:tc>
          <w:tcPr>
            <w:tcW w:w="1419" w:type="dxa"/>
            <w:shd w:val="clear" w:color="auto" w:fill="auto"/>
            <w:noWrap w:val="0"/>
            <w:vAlign w:val="top"/>
          </w:tcPr>
          <w:p>
            <w:pPr>
              <w:spacing w:line="360" w:lineRule="auto"/>
              <w:rPr>
                <w:rFonts w:hint="eastAsia" w:ascii="仿宋_GB2312" w:hAnsi="仿宋_GB2312" w:eastAsia="仿宋_GB2312" w:cs="仿宋_GB2312"/>
                <w:color w:val="000000"/>
                <w:sz w:val="21"/>
                <w:szCs w:val="21"/>
              </w:rPr>
            </w:pPr>
          </w:p>
        </w:tc>
      </w:tr>
    </w:tbl>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*备注：“√”表示该列对应的洁净室在验收时需要进行该项检测</w:t>
      </w:r>
      <w:bookmarkEnd w:id="9"/>
      <w:bookmarkStart w:id="90" w:name="_Toc528741810"/>
      <w:bookmarkStart w:id="91" w:name="_Toc468972951"/>
    </w:p>
    <w:p>
      <w:pPr>
        <w:spacing w:line="360" w:lineRule="auto"/>
        <w:rPr>
          <w:rFonts w:hint="eastAsia" w:ascii="仿宋_GB2312" w:hAnsi="仿宋_GB2312" w:eastAsia="仿宋_GB2312" w:cs="仿宋_GB2312"/>
          <w:b/>
          <w:bCs/>
          <w:color w:val="000000"/>
          <w:sz w:val="21"/>
          <w:szCs w:val="21"/>
        </w:rPr>
      </w:pPr>
      <w:r>
        <w:rPr>
          <w:rFonts w:hint="eastAsia" w:ascii="仿宋_GB2312" w:hAnsi="仿宋_GB2312" w:eastAsia="仿宋_GB2312" w:cs="仿宋_GB2312"/>
          <w:b/>
          <w:bCs/>
          <w:color w:val="000000"/>
          <w:sz w:val="21"/>
          <w:szCs w:val="21"/>
        </w:rPr>
        <w:t>一般要求</w:t>
      </w:r>
      <w:bookmarkEnd w:id="90"/>
    </w:p>
    <w:bookmarkEnd w:id="91"/>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检验项目首先宜测风速、风量、静压，然后检漏，再测洁净度。</w:t>
      </w:r>
    </w:p>
    <w:p>
      <w:pPr>
        <w:spacing w:line="360" w:lineRule="auto"/>
        <w:rPr>
          <w:rFonts w:hint="eastAsia" w:ascii="仿宋_GB2312" w:hAnsi="仿宋_GB2312" w:eastAsia="仿宋_GB2312" w:cs="仿宋_GB2312"/>
          <w:b/>
          <w:bCs/>
          <w:color w:val="000000"/>
          <w:sz w:val="21"/>
          <w:szCs w:val="21"/>
        </w:rPr>
      </w:pPr>
      <w:r>
        <w:rPr>
          <w:rFonts w:hint="eastAsia" w:ascii="仿宋_GB2312" w:hAnsi="仿宋_GB2312" w:eastAsia="仿宋_GB2312" w:cs="仿宋_GB2312"/>
          <w:b/>
          <w:bCs/>
          <w:color w:val="000000"/>
          <w:sz w:val="21"/>
          <w:szCs w:val="21"/>
        </w:rPr>
        <w:t>风量和风速检验</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系统的各项实测风量及换气次数应大于各自的设计风量或换气次数。室内各风口的风量与风口设计风量之差均不应超过设计风量的±15%。</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单向流洁净室，实测平均风速应大于设计风速；新风量应大于设计风量。实测风速应调校在设计风速规格范围以内。</w:t>
      </w:r>
    </w:p>
    <w:p>
      <w:pPr>
        <w:spacing w:line="360" w:lineRule="auto"/>
        <w:rPr>
          <w:rFonts w:hint="eastAsia" w:ascii="仿宋_GB2312" w:hAnsi="仿宋_GB2312" w:eastAsia="仿宋_GB2312" w:cs="仿宋_GB2312"/>
          <w:b/>
          <w:bCs/>
          <w:color w:val="000000"/>
          <w:sz w:val="21"/>
          <w:szCs w:val="21"/>
        </w:rPr>
      </w:pPr>
      <w:r>
        <w:rPr>
          <w:rFonts w:hint="eastAsia" w:ascii="仿宋_GB2312" w:hAnsi="仿宋_GB2312" w:eastAsia="仿宋_GB2312" w:cs="仿宋_GB2312"/>
          <w:b/>
          <w:bCs/>
          <w:color w:val="000000"/>
          <w:sz w:val="21"/>
          <w:szCs w:val="21"/>
        </w:rPr>
        <w:t>静压差检验</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压差值应符合被测对象压差控制标准的要求。有不可关闭开口两边的洁净室，以开口风速代替两室压差，开口处从高级别向低级别的风速应符合设计要求，当无设计要求是，不应小于0.25m/s。</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洁净室与非洁净室之间的压差应大于10帕；相邻不同级别洁净室之间的压差应大于5帕；洁净室与室外压差应大于12帕。</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静压差的测试应在所有房门关闭时进行，当有排风时，测定值应为最大排风时的数值。</w:t>
      </w:r>
    </w:p>
    <w:p>
      <w:pPr>
        <w:spacing w:line="360" w:lineRule="auto"/>
        <w:rPr>
          <w:rFonts w:hint="eastAsia" w:ascii="仿宋_GB2312" w:hAnsi="仿宋_GB2312" w:eastAsia="仿宋_GB2312" w:cs="仿宋_GB2312"/>
          <w:b/>
          <w:bCs/>
          <w:color w:val="000000"/>
          <w:sz w:val="21"/>
          <w:szCs w:val="21"/>
        </w:rPr>
      </w:pPr>
      <w:r>
        <w:rPr>
          <w:rFonts w:hint="eastAsia" w:ascii="仿宋_GB2312" w:hAnsi="仿宋_GB2312" w:eastAsia="仿宋_GB2312" w:cs="仿宋_GB2312"/>
          <w:b/>
          <w:bCs/>
          <w:color w:val="000000"/>
          <w:sz w:val="21"/>
          <w:szCs w:val="21"/>
        </w:rPr>
        <w:t>高效过滤器泄漏检测</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对安装的末端高效过滤器系统进行检测以确认该系统无安装泄露、过滤器无缺陷（小孔或其它滤纸和框架密封的破损）和泄漏（过滤器框架和密封条泄漏，过滤器组框架的泄漏）。</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检测方法参考ISO14644-3 B6.3.</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悬浮颗粒物空气洁净度等级测试</w:t>
      </w:r>
    </w:p>
    <w:p>
      <w:pPr>
        <w:numPr>
          <w:ilvl w:val="0"/>
          <w:numId w:val="48"/>
        </w:numPr>
        <w:spacing w:line="360" w:lineRule="auto"/>
        <w:ind w:left="425" w:leftChars="0" w:hanging="425" w:firstLineChars="0"/>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测试方法参考ISO14644-3，可在动态或空态下进行测试。如果在动态下测试，结果应满足设计洁净度等级；如果在空态下进行测试验收，测试结果的符合性判定按高于所设计洁净度等级一个等级来判断，例如，如果设计1000级洁净室，空态验收时按100级验收。</w:t>
      </w:r>
    </w:p>
    <w:p>
      <w:pPr>
        <w:spacing w:line="360" w:lineRule="auto"/>
        <w:rPr>
          <w:rFonts w:hint="eastAsia" w:ascii="仿宋_GB2312" w:hAnsi="仿宋_GB2312" w:eastAsia="仿宋_GB2312" w:cs="仿宋_GB2312"/>
          <w:b/>
          <w:bCs/>
          <w:color w:val="000000"/>
          <w:sz w:val="21"/>
          <w:szCs w:val="21"/>
        </w:rPr>
      </w:pPr>
      <w:r>
        <w:rPr>
          <w:rFonts w:hint="eastAsia" w:ascii="仿宋_GB2312" w:hAnsi="仿宋_GB2312" w:eastAsia="仿宋_GB2312" w:cs="仿宋_GB2312"/>
          <w:b/>
          <w:bCs/>
          <w:color w:val="000000"/>
          <w:sz w:val="21"/>
          <w:szCs w:val="21"/>
        </w:rPr>
        <w:t>验收结果判断</w:t>
      </w:r>
    </w:p>
    <w:p>
      <w:pPr>
        <w:spacing w:line="360" w:lineRule="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测试结果的判断依据行业通用标准、设计标准及建造合同标准。</w:t>
      </w:r>
    </w:p>
    <w:p>
      <w:pPr>
        <w:spacing w:line="360" w:lineRule="auto"/>
        <w:rPr>
          <w:rFonts w:hint="eastAsia" w:ascii="仿宋_GB2312" w:hAnsi="仿宋_GB2312" w:eastAsia="仿宋_GB2312" w:cs="仿宋_GB2312"/>
          <w:color w:val="000000"/>
          <w:sz w:val="21"/>
          <w:szCs w:val="21"/>
        </w:rPr>
      </w:pPr>
    </w:p>
    <w:p>
      <w:pPr>
        <w:spacing w:line="360" w:lineRule="auto"/>
        <w:rPr>
          <w:rFonts w:hint="eastAsia" w:ascii="仿宋_GB2312" w:hAnsi="仿宋_GB2312" w:eastAsia="仿宋_GB2312" w:cs="仿宋_GB2312"/>
          <w:color w:val="000000"/>
          <w:sz w:val="21"/>
          <w:szCs w:val="21"/>
          <w:lang w:val="en-US" w:eastAsia="zh-CN"/>
        </w:rPr>
      </w:pPr>
    </w:p>
    <w:sectPr>
      <w:pgSz w:w="11906" w:h="16838"/>
      <w:pgMar w:top="1440" w:right="1080" w:bottom="1440" w:left="1080" w:header="567"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112316F-A989-4C41-9DD3-150D74223FEF}"/>
  </w:font>
  <w:font w:name="黑体">
    <w:panose1 w:val="02010600030101010101"/>
    <w:charset w:val="86"/>
    <w:family w:val="auto"/>
    <w:pitch w:val="default"/>
    <w:sig w:usb0="800002BF" w:usb1="38CF7CFA" w:usb2="00000016" w:usb3="00000000" w:csb0="00040001" w:csb1="00000000"/>
    <w:embedRegular r:id="rId2" w:fontKey="{95B95A46-843E-46F8-AB3D-C30B1F076DA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Book Antiqua">
    <w:panose1 w:val="02040602050305030304"/>
    <w:charset w:val="00"/>
    <w:family w:val="roman"/>
    <w:pitch w:val="default"/>
    <w:sig w:usb0="00000287" w:usb1="00000000" w:usb2="00000000" w:usb3="00000000" w:csb0="2000009F" w:csb1="DFD70000"/>
  </w:font>
  <w:font w:name="仿宋_GB2312">
    <w:panose1 w:val="02010609030101010101"/>
    <w:charset w:val="86"/>
    <w:family w:val="auto"/>
    <w:pitch w:val="default"/>
    <w:sig w:usb0="00000001" w:usb1="080E0000" w:usb2="00000000" w:usb3="00000000" w:csb0="00040000" w:csb1="00000000"/>
    <w:embedRegular r:id="rId3" w:fontKey="{17D9C11C-5536-45F1-AD0A-589F6DB459F8}"/>
  </w:font>
  <w:font w:name="微软雅黑">
    <w:panose1 w:val="020B0503020204020204"/>
    <w:charset w:val="86"/>
    <w:family w:val="swiss"/>
    <w:pitch w:val="default"/>
    <w:sig w:usb0="80000287" w:usb1="2ACF3C50" w:usb2="00000016" w:usb3="00000000" w:csb0="0004001F" w:csb1="00000000"/>
    <w:embedRegular r:id="rId4" w:fontKey="{D080A077-E421-4CA0-97E8-BC805C24F0FF}"/>
  </w:font>
  <w:font w:name="方正仿宋_GB2312">
    <w:panose1 w:val="02000000000000000000"/>
    <w:charset w:val="86"/>
    <w:family w:val="auto"/>
    <w:pitch w:val="default"/>
    <w:sig w:usb0="A00002BF" w:usb1="184F6CFA" w:usb2="00000012" w:usb3="00000000" w:csb0="00040001" w:csb1="00000000"/>
    <w:embedRegular r:id="rId5" w:fontKey="{A15200FA-5450-4EBC-A136-E2165139AD6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a:effectLst/>
                    </wps:spPr>
                    <wps:txbx>
                      <w:txbxContent>
                        <w:p>
                          <w:pPr>
                            <w:pStyle w:val="6"/>
                            <w:jc w:val="right"/>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w:t>
                          </w:r>
                          <w:r>
                            <w:rPr>
                              <w:rFonts w:ascii="Arial" w:hAnsi="Arial" w:cs="Arial"/>
                            </w:rPr>
                            <w:t xml:space="preserve"> 5 -</w:t>
                          </w:r>
                          <w:r>
                            <w:rPr>
                              <w:rFonts w:ascii="Arial" w:hAnsi="Arial" w:cs="Arial"/>
                              <w:lang w:val="zh-CN"/>
                            </w:rPr>
                            <w:fldChar w:fldCharType="end"/>
                          </w:r>
                        </w:p>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M6pebnPAAAABQEAAA8AAAAAAAAAAQAgAAAAIgAAAGRycy9kb3du&#10;cmV2LnhtbFBLAQIUABQAAAAIAIdO4kDceVkaCAIAABIEAAAOAAAAAAAAAAEAIAAAAB4BAABkcnMv&#10;ZTJvRG9jLnhtbFBLBQYAAAAABgAGAFkBAACYBQAAAAA=&#10;">
              <v:fill on="f" focussize="0,0"/>
              <v:stroke on="f"/>
              <v:imagedata o:title=""/>
              <o:lock v:ext="edit" aspectratio="f"/>
              <v:textbox inset="0mm,0mm,0mm,0mm" style="mso-fit-shape-to-text:t;">
                <w:txbxContent>
                  <w:p>
                    <w:pPr>
                      <w:pStyle w:val="6"/>
                      <w:jc w:val="right"/>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w:t>
                    </w:r>
                    <w:r>
                      <w:rPr>
                        <w:rFonts w:ascii="Arial" w:hAnsi="Arial" w:cs="Arial"/>
                      </w:rPr>
                      <w:t xml:space="preserve"> 5 -</w:t>
                    </w:r>
                    <w:r>
                      <w:rPr>
                        <w:rFonts w:ascii="Arial" w:hAnsi="Arial" w:cs="Arial"/>
                        <w:lang w:val="zh-CN"/>
                      </w:rPr>
                      <w:fldChar w:fldCharType="end"/>
                    </w:r>
                  </w:p>
                  <w:p/>
                </w:txbxContent>
              </v:textbox>
            </v:shape>
          </w:pict>
        </mc:Fallback>
      </mc:AlternateContent>
    </w:r>
  </w:p>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0"/>
      <w:tblW w:w="4898" w:type="pct"/>
      <w:tblInd w:w="108" w:type="dxa"/>
      <w:tblBorders>
        <w:top w:val="single" w:color="auto" w:sz="8"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804"/>
      <w:gridCol w:w="5941"/>
      <w:gridCol w:w="1902"/>
    </w:tblGrid>
    <w:tr>
      <w:tblPrEx>
        <w:tblBorders>
          <w:top w:val="single" w:color="auto" w:sz="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35" w:type="pct"/>
          <w:vAlign w:val="bottom"/>
        </w:tcPr>
        <w:p>
          <w:pPr>
            <w:pStyle w:val="23"/>
          </w:pPr>
          <w:r>
            <w:fldChar w:fldCharType="begin"/>
          </w:r>
          <w:r>
            <w:instrText xml:space="preserve"> DATE  \@ "yyyy-MM-dd" </w:instrText>
          </w:r>
          <w:r>
            <w:fldChar w:fldCharType="separate"/>
          </w:r>
          <w:r>
            <w:t>2024-06-02</w:t>
          </w:r>
          <w:r>
            <w:fldChar w:fldCharType="end"/>
          </w:r>
        </w:p>
      </w:tc>
      <w:tc>
        <w:tcPr>
          <w:tcW w:w="3079" w:type="pct"/>
        </w:tcPr>
        <w:p>
          <w:pPr>
            <w:pStyle w:val="25"/>
            <w:rPr>
              <w:rFonts w:hint="default" w:eastAsia="宋体"/>
              <w:lang w:val="en-US" w:eastAsia="zh-CN"/>
            </w:rPr>
          </w:pPr>
          <w:r>
            <w:rPr>
              <w:rFonts w:hint="eastAsia"/>
              <w:lang w:val="en-US" w:eastAsia="zh-CN"/>
            </w:rPr>
            <w:t>四川九华光子通信技术有限公司</w:t>
          </w:r>
        </w:p>
      </w:tc>
      <w:tc>
        <w:tcPr>
          <w:tcW w:w="986" w:type="pct"/>
        </w:tcPr>
        <w:p>
          <w:pPr>
            <w:pStyle w:val="24"/>
          </w:pPr>
          <w:r>
            <w:rPr>
              <w:rFonts w:hint="eastAsia"/>
            </w:rPr>
            <w:t xml:space="preserve">Page </w:t>
          </w:r>
          <w:r>
            <w:fldChar w:fldCharType="begin"/>
          </w:r>
          <w:r>
            <w:instrText xml:space="preserve">PAGE</w:instrText>
          </w:r>
          <w:r>
            <w:fldChar w:fldCharType="separate"/>
          </w:r>
          <w:r>
            <w:t>21</w:t>
          </w:r>
          <w:r>
            <w:fldChar w:fldCharType="end"/>
          </w:r>
          <w:r>
            <w:rPr>
              <w:rFonts w:hint="eastAsia"/>
            </w:rPr>
            <w:t xml:space="preserve"> of </w:t>
          </w:r>
          <w:r>
            <w:fldChar w:fldCharType="begin"/>
          </w:r>
          <w:r>
            <w:instrText xml:space="preserve"> NUMPAGES  \* Arabic  \* MERGEFORMAT </w:instrText>
          </w:r>
          <w:r>
            <w:fldChar w:fldCharType="separate"/>
          </w:r>
          <w:r>
            <w:t>24</w:t>
          </w:r>
          <w:r>
            <w:fldChar w:fldCharType="end"/>
          </w:r>
        </w:p>
      </w:tc>
    </w:tr>
  </w:tbl>
  <w:p>
    <w:pPr>
      <w:pStyle w:val="2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0"/>
      <w:tblW w:w="4898" w:type="pct"/>
      <w:tblInd w:w="108" w:type="dxa"/>
      <w:tblBorders>
        <w:top w:val="single" w:color="auto" w:sz="8"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804"/>
      <w:gridCol w:w="5941"/>
      <w:gridCol w:w="1902"/>
    </w:tblGrid>
    <w:tr>
      <w:tblPrEx>
        <w:tblBorders>
          <w:top w:val="single" w:color="auto" w:sz="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35" w:type="pct"/>
          <w:vAlign w:val="bottom"/>
        </w:tcPr>
        <w:p>
          <w:pPr>
            <w:pStyle w:val="23"/>
          </w:pPr>
          <w:r>
            <w:fldChar w:fldCharType="begin"/>
          </w:r>
          <w:r>
            <w:instrText xml:space="preserve"> DATE  \@ "yyyy-MM-dd" </w:instrText>
          </w:r>
          <w:r>
            <w:fldChar w:fldCharType="separate"/>
          </w:r>
          <w:r>
            <w:t>2024-06-02</w:t>
          </w:r>
          <w:r>
            <w:fldChar w:fldCharType="end"/>
          </w:r>
        </w:p>
      </w:tc>
      <w:tc>
        <w:tcPr>
          <w:tcW w:w="3079" w:type="pct"/>
        </w:tcPr>
        <w:p>
          <w:pPr>
            <w:pStyle w:val="25"/>
            <w:rPr>
              <w:rFonts w:hint="default" w:eastAsia="宋体"/>
              <w:lang w:val="en-US" w:eastAsia="zh-CN"/>
            </w:rPr>
          </w:pPr>
          <w:r>
            <w:rPr>
              <w:rFonts w:hint="eastAsia"/>
              <w:lang w:val="en-US" w:eastAsia="zh-CN"/>
            </w:rPr>
            <w:t>四川九华光子通信技术有限公司</w:t>
          </w:r>
        </w:p>
      </w:tc>
      <w:tc>
        <w:tcPr>
          <w:tcW w:w="986" w:type="pct"/>
        </w:tcPr>
        <w:p>
          <w:pPr>
            <w:pStyle w:val="24"/>
          </w:pPr>
          <w:r>
            <w:rPr>
              <w:rFonts w:hint="eastAsia"/>
            </w:rPr>
            <w:t xml:space="preserve">Page </w:t>
          </w:r>
          <w:r>
            <w:fldChar w:fldCharType="begin"/>
          </w:r>
          <w:r>
            <w:instrText xml:space="preserve">PAGE</w:instrText>
          </w:r>
          <w:r>
            <w:fldChar w:fldCharType="separate"/>
          </w:r>
          <w:r>
            <w:t>5</w:t>
          </w:r>
          <w:r>
            <w:fldChar w:fldCharType="end"/>
          </w:r>
          <w:r>
            <w:rPr>
              <w:rFonts w:hint="eastAsia"/>
            </w:rPr>
            <w:t xml:space="preserve"> of </w:t>
          </w:r>
          <w:r>
            <w:fldChar w:fldCharType="begin"/>
          </w:r>
          <w:r>
            <w:instrText xml:space="preserve"> NUMPAGES  \* Arabic  \* MERGEFORMAT </w:instrText>
          </w:r>
          <w:r>
            <w:fldChar w:fldCharType="separate"/>
          </w:r>
          <w:r>
            <w:t>24</w:t>
          </w:r>
          <w:r>
            <w:fldChar w:fldCharType="end"/>
          </w:r>
        </w:p>
      </w:tc>
    </w:tr>
  </w:tbl>
  <w:p>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pPr>
    <w:r>
      <w:rPr>
        <w:sz w:val="18"/>
      </w:rPr>
      <w:pict>
        <v:shape id="PowerPlusWaterMarkObject213131" o:spid="_x0000_s4098" o:spt="136" type="#_x0000_t136" style="position:absolute;left:0pt;height:54.85pt;width:626.15pt;mso-position-horizontal:center;mso-position-horizontal-relative:margin;mso-position-vertical:center;mso-position-vertical-relative:margin;rotation:-2949120f;z-index:-251656192;mso-width-relative:page;mso-height-relative:page;" fillcolor="#C0C0C0" filled="t" stroked="f" coordsize="21600,21600" adj="10800">
          <v:path/>
          <v:fill on="t" opacity="32768f" focussize="0,0"/>
          <v:stroke on="f"/>
          <v:imagedata o:title=""/>
          <o:lock v:ext="edit" aspectratio="t"/>
          <v:textpath on="t" fitshape="t" fitpath="t" trim="t" xscale="f" string="四川九州光电子技术有限公司" style="font-family:仿宋_GB2312;font-size:36pt;v-same-letter-heights:f;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pPr>
    <w:r>
      <w:rPr>
        <w:sz w:val="18"/>
      </w:rPr>
      <w:pict>
        <v:shape id="PowerPlusWaterMarkObject240628" o:spid="_x0000_s4097" o:spt="136" type="#_x0000_t136" style="position:absolute;left:0pt;height:54.85pt;width:626.15pt;mso-position-horizontal:center;mso-position-horizontal-relative:margin;mso-position-vertical:center;mso-position-vertical-relative:margin;rotation:-2949120f;z-index:-251655168;mso-width-relative:page;mso-height-relative:page;" fillcolor="#C0C0C0" filled="t" stroked="f" coordsize="21600,21600" adj="10800">
          <v:path/>
          <v:fill on="t" opacity="32768f" focussize="0,0"/>
          <v:stroke on="f"/>
          <v:imagedata o:title=""/>
          <o:lock v:ext="edit" aspectratio="t"/>
          <v:textpath on="t" fitshape="t" fitpath="t" trim="t" xscale="f" string="四川九州光电子技术有限公司" style="font-family:仿宋_GB2312;font-size:36pt;v-same-letter-heights:f;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0"/>
      <w:tblW w:w="5000" w:type="pct"/>
      <w:tblInd w:w="0" w:type="dxa"/>
      <w:tblLayout w:type="autofit"/>
      <w:tblCellMar>
        <w:top w:w="0" w:type="dxa"/>
        <w:left w:w="57" w:type="dxa"/>
        <w:bottom w:w="0" w:type="dxa"/>
        <w:right w:w="57" w:type="dxa"/>
      </w:tblCellMar>
    </w:tblPr>
    <w:tblGrid>
      <w:gridCol w:w="873"/>
      <w:gridCol w:w="4259"/>
      <w:gridCol w:w="4614"/>
    </w:tblGrid>
    <w:tr>
      <w:tblPrEx>
        <w:tblCellMar>
          <w:top w:w="0" w:type="dxa"/>
          <w:left w:w="57" w:type="dxa"/>
          <w:bottom w:w="0" w:type="dxa"/>
          <w:right w:w="57" w:type="dxa"/>
        </w:tblCellMar>
      </w:tblPrEx>
      <w:trPr>
        <w:cantSplit/>
        <w:trHeight w:val="668" w:hRule="exact"/>
      </w:trPr>
      <w:tc>
        <w:tcPr>
          <w:tcW w:w="448" w:type="pct"/>
          <w:tcBorders>
            <w:bottom w:val="single" w:color="auto" w:sz="6" w:space="0"/>
          </w:tcBorders>
        </w:tcPr>
        <w:p>
          <w:pPr>
            <w:pStyle w:val="23"/>
          </w:pPr>
        </w:p>
      </w:tc>
      <w:tc>
        <w:tcPr>
          <w:tcW w:w="2185" w:type="pct"/>
          <w:tcBorders>
            <w:bottom w:val="single" w:color="auto" w:sz="6" w:space="0"/>
          </w:tcBorders>
          <w:vAlign w:val="bottom"/>
        </w:tcPr>
        <w:p>
          <w:pPr>
            <w:pStyle w:val="23"/>
            <w:rPr>
              <w:bCs/>
            </w:rPr>
          </w:pPr>
        </w:p>
      </w:tc>
      <w:tc>
        <w:tcPr>
          <w:tcW w:w="2367" w:type="pct"/>
          <w:tcBorders>
            <w:bottom w:val="single" w:color="auto" w:sz="6" w:space="0"/>
          </w:tcBorders>
          <w:vAlign w:val="bottom"/>
        </w:tcPr>
        <w:p>
          <w:pPr>
            <w:pStyle w:val="24"/>
          </w:pPr>
        </w:p>
      </w:tc>
    </w:tr>
  </w:tbl>
  <w:p>
    <w:pPr>
      <w:pStyle w:val="7"/>
      <w:rPr>
        <w:rFonts w:cs="Times New Roman"/>
      </w:rPr>
    </w:pPr>
    <w:r>
      <w:rPr>
        <w:sz w:val="18"/>
      </w:rPr>
      <w:pict>
        <v:shape id="PowerPlusWaterMarkObject259614" o:spid="_x0000_s4099" o:spt="136" type="#_x0000_t136" style="position:absolute;left:0pt;height:54.85pt;width:626.15pt;mso-position-horizontal:center;mso-position-horizontal-relative:margin;mso-position-vertical:center;mso-position-vertical-relative:margin;rotation:-2949120f;z-index:-251654144;mso-width-relative:page;mso-height-relative:page;" fillcolor="#C0C0C0" filled="t" stroked="f" coordsize="21600,21600" adj="10800">
          <v:path/>
          <v:fill on="t" opacity="32768f" focussize="0,0"/>
          <v:stroke on="f"/>
          <v:imagedata o:title=""/>
          <o:lock v:ext="edit" aspectratio="t"/>
          <v:textpath on="t" fitshape="t" fitpath="t" trim="t" xscale="f" string="四川九州光电子技术有限公司" style="font-family:仿宋_GB2312;font-size:36pt;v-same-letter-heights:f;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0"/>
      <w:tblW w:w="5000" w:type="pct"/>
      <w:tblInd w:w="0" w:type="dxa"/>
      <w:tblLayout w:type="autofit"/>
      <w:tblCellMar>
        <w:top w:w="0" w:type="dxa"/>
        <w:left w:w="57" w:type="dxa"/>
        <w:bottom w:w="0" w:type="dxa"/>
        <w:right w:w="57" w:type="dxa"/>
      </w:tblCellMar>
    </w:tblPr>
    <w:tblGrid>
      <w:gridCol w:w="873"/>
      <w:gridCol w:w="4259"/>
      <w:gridCol w:w="4614"/>
    </w:tblGrid>
    <w:tr>
      <w:tblPrEx>
        <w:tblCellMar>
          <w:top w:w="0" w:type="dxa"/>
          <w:left w:w="57" w:type="dxa"/>
          <w:bottom w:w="0" w:type="dxa"/>
          <w:right w:w="57" w:type="dxa"/>
        </w:tblCellMar>
      </w:tblPrEx>
      <w:trPr>
        <w:cantSplit/>
        <w:trHeight w:val="668" w:hRule="exact"/>
      </w:trPr>
      <w:tc>
        <w:tcPr>
          <w:tcW w:w="448" w:type="pct"/>
          <w:tcBorders>
            <w:bottom w:val="single" w:color="auto" w:sz="6" w:space="0"/>
          </w:tcBorders>
        </w:tcPr>
        <w:p>
          <w:pPr>
            <w:pStyle w:val="23"/>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技术规 格 书</w:t>
          </w:r>
        </w:p>
      </w:tc>
      <w:tc>
        <w:tcPr>
          <w:tcW w:w="2185" w:type="pct"/>
          <w:tcBorders>
            <w:bottom w:val="single" w:color="auto" w:sz="6" w:space="0"/>
          </w:tcBorders>
          <w:vAlign w:val="bottom"/>
        </w:tcPr>
        <w:p>
          <w:pPr>
            <w:pStyle w:val="23"/>
            <w:jc w:val="center"/>
            <w:rPr>
              <w:bCs/>
            </w:rPr>
          </w:pPr>
          <w:r>
            <w:rPr>
              <w:rFonts w:hint="eastAsia" w:ascii="仿宋_GB2312" w:hAnsi="仿宋_GB2312" w:eastAsia="仿宋_GB2312" w:cs="仿宋_GB2312"/>
              <w:sz w:val="24"/>
              <w:szCs w:val="24"/>
            </w:rPr>
            <w:t>四川九州光电子技术有限公司</w:t>
          </w:r>
        </w:p>
      </w:tc>
      <w:tc>
        <w:tcPr>
          <w:tcW w:w="2367" w:type="pct"/>
          <w:tcBorders>
            <w:bottom w:val="single" w:color="auto" w:sz="6" w:space="0"/>
          </w:tcBorders>
          <w:vAlign w:val="bottom"/>
        </w:tcPr>
        <w:p>
          <w:pPr>
            <w:pStyle w:val="24"/>
          </w:pPr>
          <w:r>
            <w:rPr>
              <w:rFonts w:hint="eastAsia" w:ascii="仿宋_GB2312" w:hAnsi="仿宋_GB2312" w:eastAsia="仿宋_GB2312" w:cs="仿宋_GB2312"/>
              <w:sz w:val="24"/>
              <w:szCs w:val="24"/>
              <w:lang w:val="en-US" w:eastAsia="zh-CN"/>
            </w:rPr>
            <w:t>113号厂房</w:t>
          </w:r>
          <w:r>
            <w:rPr>
              <w:rFonts w:hint="eastAsia" w:ascii="仿宋_GB2312" w:hAnsi="仿宋_GB2312" w:eastAsia="仿宋_GB2312" w:cs="仿宋_GB2312"/>
              <w:sz w:val="24"/>
              <w:szCs w:val="24"/>
            </w:rPr>
            <w:t>二次装修及机电安装工程</w:t>
          </w:r>
        </w:p>
      </w:tc>
    </w:tr>
  </w:tbl>
  <w:p>
    <w:pPr>
      <w:pStyle w:val="7"/>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2C3B43"/>
    <w:multiLevelType w:val="singleLevel"/>
    <w:tmpl w:val="812C3B43"/>
    <w:lvl w:ilvl="0" w:tentative="0">
      <w:start w:val="1"/>
      <w:numFmt w:val="decimal"/>
      <w:lvlText w:val="%1."/>
      <w:lvlJc w:val="left"/>
      <w:pPr>
        <w:ind w:left="425" w:hanging="425"/>
      </w:pPr>
      <w:rPr>
        <w:rFonts w:hint="default"/>
      </w:rPr>
    </w:lvl>
  </w:abstractNum>
  <w:abstractNum w:abstractNumId="1">
    <w:nsid w:val="815046A5"/>
    <w:multiLevelType w:val="singleLevel"/>
    <w:tmpl w:val="815046A5"/>
    <w:lvl w:ilvl="0" w:tentative="0">
      <w:start w:val="1"/>
      <w:numFmt w:val="bullet"/>
      <w:lvlText w:val=""/>
      <w:lvlJc w:val="left"/>
      <w:pPr>
        <w:ind w:left="420" w:hanging="420"/>
      </w:pPr>
      <w:rPr>
        <w:rFonts w:hint="default" w:ascii="Wingdings" w:hAnsi="Wingdings"/>
      </w:rPr>
    </w:lvl>
  </w:abstractNum>
  <w:abstractNum w:abstractNumId="2">
    <w:nsid w:val="821A8B7D"/>
    <w:multiLevelType w:val="singleLevel"/>
    <w:tmpl w:val="821A8B7D"/>
    <w:lvl w:ilvl="0" w:tentative="0">
      <w:start w:val="1"/>
      <w:numFmt w:val="decimalEnclosedCircleChinese"/>
      <w:suff w:val="nothing"/>
      <w:lvlText w:val="%1　"/>
      <w:lvlJc w:val="left"/>
      <w:pPr>
        <w:ind w:left="0" w:firstLine="400"/>
      </w:pPr>
      <w:rPr>
        <w:rFonts w:hint="eastAsia"/>
      </w:rPr>
    </w:lvl>
  </w:abstractNum>
  <w:abstractNum w:abstractNumId="3">
    <w:nsid w:val="82DFF035"/>
    <w:multiLevelType w:val="singleLevel"/>
    <w:tmpl w:val="82DFF035"/>
    <w:lvl w:ilvl="0" w:tentative="0">
      <w:start w:val="1"/>
      <w:numFmt w:val="bullet"/>
      <w:lvlText w:val=""/>
      <w:lvlJc w:val="left"/>
      <w:pPr>
        <w:ind w:left="420" w:hanging="420"/>
      </w:pPr>
      <w:rPr>
        <w:rFonts w:hint="default" w:ascii="Wingdings" w:hAnsi="Wingdings"/>
      </w:rPr>
    </w:lvl>
  </w:abstractNum>
  <w:abstractNum w:abstractNumId="4">
    <w:nsid w:val="8E661CE8"/>
    <w:multiLevelType w:val="singleLevel"/>
    <w:tmpl w:val="8E661CE8"/>
    <w:lvl w:ilvl="0" w:tentative="0">
      <w:start w:val="1"/>
      <w:numFmt w:val="bullet"/>
      <w:lvlText w:val=""/>
      <w:lvlJc w:val="left"/>
      <w:pPr>
        <w:ind w:left="420" w:hanging="420"/>
      </w:pPr>
      <w:rPr>
        <w:rFonts w:hint="default" w:ascii="Wingdings" w:hAnsi="Wingdings"/>
      </w:rPr>
    </w:lvl>
  </w:abstractNum>
  <w:abstractNum w:abstractNumId="5">
    <w:nsid w:val="96DF9BBF"/>
    <w:multiLevelType w:val="singleLevel"/>
    <w:tmpl w:val="96DF9BBF"/>
    <w:lvl w:ilvl="0" w:tentative="0">
      <w:start w:val="1"/>
      <w:numFmt w:val="lowerLetter"/>
      <w:lvlText w:val="%1."/>
      <w:lvlJc w:val="left"/>
      <w:pPr>
        <w:ind w:left="425" w:hanging="425"/>
      </w:pPr>
      <w:rPr>
        <w:rFonts w:hint="default"/>
      </w:rPr>
    </w:lvl>
  </w:abstractNum>
  <w:abstractNum w:abstractNumId="6">
    <w:nsid w:val="A3246601"/>
    <w:multiLevelType w:val="singleLevel"/>
    <w:tmpl w:val="A3246601"/>
    <w:lvl w:ilvl="0" w:tentative="0">
      <w:start w:val="1"/>
      <w:numFmt w:val="bullet"/>
      <w:lvlText w:val=""/>
      <w:lvlJc w:val="left"/>
      <w:pPr>
        <w:ind w:left="420" w:hanging="420"/>
      </w:pPr>
      <w:rPr>
        <w:rFonts w:hint="default" w:ascii="Wingdings" w:hAnsi="Wingdings"/>
      </w:rPr>
    </w:lvl>
  </w:abstractNum>
  <w:abstractNum w:abstractNumId="7">
    <w:nsid w:val="A884BC7C"/>
    <w:multiLevelType w:val="singleLevel"/>
    <w:tmpl w:val="A884BC7C"/>
    <w:lvl w:ilvl="0" w:tentative="0">
      <w:start w:val="1"/>
      <w:numFmt w:val="bullet"/>
      <w:lvlText w:val=""/>
      <w:lvlJc w:val="left"/>
      <w:pPr>
        <w:ind w:left="420" w:hanging="420"/>
      </w:pPr>
      <w:rPr>
        <w:rFonts w:hint="default" w:ascii="Wingdings" w:hAnsi="Wingdings"/>
      </w:rPr>
    </w:lvl>
  </w:abstractNum>
  <w:abstractNum w:abstractNumId="8">
    <w:nsid w:val="AA39EA51"/>
    <w:multiLevelType w:val="singleLevel"/>
    <w:tmpl w:val="AA39EA51"/>
    <w:lvl w:ilvl="0" w:tentative="0">
      <w:start w:val="1"/>
      <w:numFmt w:val="bullet"/>
      <w:lvlText w:val=""/>
      <w:lvlJc w:val="left"/>
      <w:pPr>
        <w:ind w:left="420" w:hanging="420"/>
      </w:pPr>
      <w:rPr>
        <w:rFonts w:hint="default" w:ascii="Wingdings" w:hAnsi="Wingdings"/>
      </w:rPr>
    </w:lvl>
  </w:abstractNum>
  <w:abstractNum w:abstractNumId="9">
    <w:nsid w:val="AB42E4F6"/>
    <w:multiLevelType w:val="singleLevel"/>
    <w:tmpl w:val="AB42E4F6"/>
    <w:lvl w:ilvl="0" w:tentative="0">
      <w:start w:val="1"/>
      <w:numFmt w:val="decimalEnclosedCircleChinese"/>
      <w:suff w:val="nothing"/>
      <w:lvlText w:val="%1　"/>
      <w:lvlJc w:val="left"/>
      <w:pPr>
        <w:ind w:left="0" w:firstLine="400"/>
      </w:pPr>
      <w:rPr>
        <w:rFonts w:hint="eastAsia"/>
      </w:rPr>
    </w:lvl>
  </w:abstractNum>
  <w:abstractNum w:abstractNumId="10">
    <w:nsid w:val="AC9F72A8"/>
    <w:multiLevelType w:val="singleLevel"/>
    <w:tmpl w:val="AC9F72A8"/>
    <w:lvl w:ilvl="0" w:tentative="0">
      <w:start w:val="1"/>
      <w:numFmt w:val="decimalEnclosedCircleChinese"/>
      <w:suff w:val="nothing"/>
      <w:lvlText w:val="%1　"/>
      <w:lvlJc w:val="left"/>
      <w:pPr>
        <w:ind w:left="0" w:firstLine="400"/>
      </w:pPr>
      <w:rPr>
        <w:rFonts w:hint="eastAsia"/>
      </w:rPr>
    </w:lvl>
  </w:abstractNum>
  <w:abstractNum w:abstractNumId="11">
    <w:nsid w:val="B1E2EF13"/>
    <w:multiLevelType w:val="singleLevel"/>
    <w:tmpl w:val="B1E2EF13"/>
    <w:lvl w:ilvl="0" w:tentative="0">
      <w:start w:val="1"/>
      <w:numFmt w:val="bullet"/>
      <w:lvlText w:val=""/>
      <w:lvlJc w:val="left"/>
      <w:pPr>
        <w:ind w:left="420" w:hanging="420"/>
      </w:pPr>
      <w:rPr>
        <w:rFonts w:hint="default" w:ascii="Wingdings" w:hAnsi="Wingdings"/>
      </w:rPr>
    </w:lvl>
  </w:abstractNum>
  <w:abstractNum w:abstractNumId="12">
    <w:nsid w:val="B1FBAEE4"/>
    <w:multiLevelType w:val="singleLevel"/>
    <w:tmpl w:val="B1FBAEE4"/>
    <w:lvl w:ilvl="0" w:tentative="0">
      <w:start w:val="1"/>
      <w:numFmt w:val="bullet"/>
      <w:lvlText w:val=""/>
      <w:lvlJc w:val="left"/>
      <w:pPr>
        <w:ind w:left="420" w:hanging="420"/>
      </w:pPr>
      <w:rPr>
        <w:rFonts w:hint="default" w:ascii="Wingdings" w:hAnsi="Wingdings"/>
      </w:rPr>
    </w:lvl>
  </w:abstractNum>
  <w:abstractNum w:abstractNumId="13">
    <w:nsid w:val="BE33C28C"/>
    <w:multiLevelType w:val="singleLevel"/>
    <w:tmpl w:val="BE33C28C"/>
    <w:lvl w:ilvl="0" w:tentative="0">
      <w:start w:val="1"/>
      <w:numFmt w:val="bullet"/>
      <w:lvlText w:val=""/>
      <w:lvlJc w:val="left"/>
      <w:pPr>
        <w:ind w:left="420" w:hanging="420"/>
      </w:pPr>
      <w:rPr>
        <w:rFonts w:hint="default" w:ascii="Wingdings" w:hAnsi="Wingdings"/>
      </w:rPr>
    </w:lvl>
  </w:abstractNum>
  <w:abstractNum w:abstractNumId="14">
    <w:nsid w:val="C3661F35"/>
    <w:multiLevelType w:val="singleLevel"/>
    <w:tmpl w:val="C3661F35"/>
    <w:lvl w:ilvl="0" w:tentative="0">
      <w:start w:val="1"/>
      <w:numFmt w:val="bullet"/>
      <w:lvlText w:val=""/>
      <w:lvlJc w:val="left"/>
      <w:pPr>
        <w:ind w:left="420" w:hanging="420"/>
      </w:pPr>
      <w:rPr>
        <w:rFonts w:hint="default" w:ascii="Wingdings" w:hAnsi="Wingdings"/>
      </w:rPr>
    </w:lvl>
  </w:abstractNum>
  <w:abstractNum w:abstractNumId="15">
    <w:nsid w:val="C54510A5"/>
    <w:multiLevelType w:val="singleLevel"/>
    <w:tmpl w:val="C54510A5"/>
    <w:lvl w:ilvl="0" w:tentative="0">
      <w:start w:val="1"/>
      <w:numFmt w:val="bullet"/>
      <w:lvlText w:val=""/>
      <w:lvlJc w:val="left"/>
      <w:pPr>
        <w:ind w:left="420" w:hanging="420"/>
      </w:pPr>
      <w:rPr>
        <w:rFonts w:hint="default" w:ascii="Wingdings" w:hAnsi="Wingdings"/>
      </w:rPr>
    </w:lvl>
  </w:abstractNum>
  <w:abstractNum w:abstractNumId="16">
    <w:nsid w:val="D2321E13"/>
    <w:multiLevelType w:val="singleLevel"/>
    <w:tmpl w:val="D2321E13"/>
    <w:lvl w:ilvl="0" w:tentative="0">
      <w:start w:val="1"/>
      <w:numFmt w:val="bullet"/>
      <w:lvlText w:val=""/>
      <w:lvlJc w:val="left"/>
      <w:pPr>
        <w:ind w:left="420" w:hanging="420"/>
      </w:pPr>
      <w:rPr>
        <w:rFonts w:hint="default" w:ascii="Wingdings" w:hAnsi="Wingdings"/>
      </w:rPr>
    </w:lvl>
  </w:abstractNum>
  <w:abstractNum w:abstractNumId="17">
    <w:nsid w:val="D5133BB6"/>
    <w:multiLevelType w:val="singleLevel"/>
    <w:tmpl w:val="D5133BB6"/>
    <w:lvl w:ilvl="0" w:tentative="0">
      <w:start w:val="1"/>
      <w:numFmt w:val="lowerLetter"/>
      <w:lvlText w:val="%1."/>
      <w:lvlJc w:val="left"/>
      <w:pPr>
        <w:ind w:left="425" w:hanging="425"/>
      </w:pPr>
      <w:rPr>
        <w:rFonts w:hint="default"/>
      </w:rPr>
    </w:lvl>
  </w:abstractNum>
  <w:abstractNum w:abstractNumId="18">
    <w:nsid w:val="D5A35CDE"/>
    <w:multiLevelType w:val="singleLevel"/>
    <w:tmpl w:val="D5A35CDE"/>
    <w:lvl w:ilvl="0" w:tentative="0">
      <w:start w:val="1"/>
      <w:numFmt w:val="lowerLetter"/>
      <w:lvlText w:val="%1."/>
      <w:lvlJc w:val="left"/>
      <w:pPr>
        <w:ind w:left="425" w:hanging="425"/>
      </w:pPr>
      <w:rPr>
        <w:rFonts w:hint="default"/>
      </w:rPr>
    </w:lvl>
  </w:abstractNum>
  <w:abstractNum w:abstractNumId="19">
    <w:nsid w:val="D6EDEAEB"/>
    <w:multiLevelType w:val="singleLevel"/>
    <w:tmpl w:val="D6EDEAEB"/>
    <w:lvl w:ilvl="0" w:tentative="0">
      <w:start w:val="1"/>
      <w:numFmt w:val="bullet"/>
      <w:lvlText w:val=""/>
      <w:lvlJc w:val="left"/>
      <w:pPr>
        <w:ind w:left="420" w:hanging="420"/>
      </w:pPr>
      <w:rPr>
        <w:rFonts w:hint="default" w:ascii="Wingdings" w:hAnsi="Wingdings"/>
      </w:rPr>
    </w:lvl>
  </w:abstractNum>
  <w:abstractNum w:abstractNumId="20">
    <w:nsid w:val="DADF52A2"/>
    <w:multiLevelType w:val="singleLevel"/>
    <w:tmpl w:val="DADF52A2"/>
    <w:lvl w:ilvl="0" w:tentative="0">
      <w:start w:val="1"/>
      <w:numFmt w:val="bullet"/>
      <w:lvlText w:val=""/>
      <w:lvlJc w:val="left"/>
      <w:pPr>
        <w:ind w:left="420" w:hanging="420"/>
      </w:pPr>
      <w:rPr>
        <w:rFonts w:hint="default" w:ascii="Wingdings" w:hAnsi="Wingdings"/>
      </w:rPr>
    </w:lvl>
  </w:abstractNum>
  <w:abstractNum w:abstractNumId="21">
    <w:nsid w:val="DB8C7A56"/>
    <w:multiLevelType w:val="singleLevel"/>
    <w:tmpl w:val="DB8C7A56"/>
    <w:lvl w:ilvl="0" w:tentative="0">
      <w:start w:val="1"/>
      <w:numFmt w:val="lowerLetter"/>
      <w:lvlText w:val="%1."/>
      <w:lvlJc w:val="left"/>
      <w:pPr>
        <w:ind w:left="425" w:hanging="425"/>
      </w:pPr>
      <w:rPr>
        <w:rFonts w:hint="default"/>
      </w:rPr>
    </w:lvl>
  </w:abstractNum>
  <w:abstractNum w:abstractNumId="22">
    <w:nsid w:val="DBB64691"/>
    <w:multiLevelType w:val="singleLevel"/>
    <w:tmpl w:val="DBB64691"/>
    <w:lvl w:ilvl="0" w:tentative="0">
      <w:start w:val="1"/>
      <w:numFmt w:val="bullet"/>
      <w:lvlText w:val=""/>
      <w:lvlJc w:val="left"/>
      <w:pPr>
        <w:ind w:left="420" w:hanging="420"/>
      </w:pPr>
      <w:rPr>
        <w:rFonts w:hint="default" w:ascii="Wingdings" w:hAnsi="Wingdings"/>
      </w:rPr>
    </w:lvl>
  </w:abstractNum>
  <w:abstractNum w:abstractNumId="23">
    <w:nsid w:val="E2524157"/>
    <w:multiLevelType w:val="singleLevel"/>
    <w:tmpl w:val="E2524157"/>
    <w:lvl w:ilvl="0" w:tentative="0">
      <w:start w:val="1"/>
      <w:numFmt w:val="bullet"/>
      <w:lvlText w:val=""/>
      <w:lvlJc w:val="left"/>
      <w:pPr>
        <w:ind w:left="420" w:hanging="420"/>
      </w:pPr>
      <w:rPr>
        <w:rFonts w:hint="default" w:ascii="Wingdings" w:hAnsi="Wingdings"/>
      </w:rPr>
    </w:lvl>
  </w:abstractNum>
  <w:abstractNum w:abstractNumId="24">
    <w:nsid w:val="E6FE83CA"/>
    <w:multiLevelType w:val="singleLevel"/>
    <w:tmpl w:val="E6FE83CA"/>
    <w:lvl w:ilvl="0" w:tentative="0">
      <w:start w:val="1"/>
      <w:numFmt w:val="bullet"/>
      <w:lvlText w:val=""/>
      <w:lvlJc w:val="left"/>
      <w:pPr>
        <w:ind w:left="420" w:hanging="420"/>
      </w:pPr>
      <w:rPr>
        <w:rFonts w:hint="default" w:ascii="Wingdings" w:hAnsi="Wingdings"/>
      </w:rPr>
    </w:lvl>
  </w:abstractNum>
  <w:abstractNum w:abstractNumId="25">
    <w:nsid w:val="E7B8D263"/>
    <w:multiLevelType w:val="singleLevel"/>
    <w:tmpl w:val="E7B8D263"/>
    <w:lvl w:ilvl="0" w:tentative="0">
      <w:start w:val="1"/>
      <w:numFmt w:val="bullet"/>
      <w:lvlText w:val=""/>
      <w:lvlJc w:val="left"/>
      <w:pPr>
        <w:ind w:left="420" w:hanging="420"/>
      </w:pPr>
      <w:rPr>
        <w:rFonts w:hint="default" w:ascii="Wingdings" w:hAnsi="Wingdings"/>
      </w:rPr>
    </w:lvl>
  </w:abstractNum>
  <w:abstractNum w:abstractNumId="26">
    <w:nsid w:val="E9530E0C"/>
    <w:multiLevelType w:val="singleLevel"/>
    <w:tmpl w:val="E9530E0C"/>
    <w:lvl w:ilvl="0" w:tentative="0">
      <w:start w:val="1"/>
      <w:numFmt w:val="bullet"/>
      <w:lvlText w:val=""/>
      <w:lvlJc w:val="left"/>
      <w:pPr>
        <w:ind w:left="420" w:hanging="420"/>
      </w:pPr>
      <w:rPr>
        <w:rFonts w:hint="default" w:ascii="Wingdings" w:hAnsi="Wingdings"/>
      </w:rPr>
    </w:lvl>
  </w:abstractNum>
  <w:abstractNum w:abstractNumId="27">
    <w:nsid w:val="FD8A164D"/>
    <w:multiLevelType w:val="singleLevel"/>
    <w:tmpl w:val="FD8A164D"/>
    <w:lvl w:ilvl="0" w:tentative="0">
      <w:start w:val="1"/>
      <w:numFmt w:val="lowerLetter"/>
      <w:lvlText w:val="%1."/>
      <w:lvlJc w:val="left"/>
      <w:pPr>
        <w:ind w:left="425" w:hanging="425"/>
      </w:pPr>
      <w:rPr>
        <w:rFonts w:hint="default"/>
      </w:rPr>
    </w:lvl>
  </w:abstractNum>
  <w:abstractNum w:abstractNumId="28">
    <w:nsid w:val="FFE4865F"/>
    <w:multiLevelType w:val="singleLevel"/>
    <w:tmpl w:val="FFE4865F"/>
    <w:lvl w:ilvl="0" w:tentative="0">
      <w:start w:val="1"/>
      <w:numFmt w:val="bullet"/>
      <w:lvlText w:val=""/>
      <w:lvlJc w:val="left"/>
      <w:pPr>
        <w:ind w:left="420" w:hanging="420"/>
      </w:pPr>
      <w:rPr>
        <w:rFonts w:hint="default" w:ascii="Wingdings" w:hAnsi="Wingdings"/>
      </w:rPr>
    </w:lvl>
  </w:abstractNum>
  <w:abstractNum w:abstractNumId="29">
    <w:nsid w:val="04F240AD"/>
    <w:multiLevelType w:val="singleLevel"/>
    <w:tmpl w:val="04F240AD"/>
    <w:lvl w:ilvl="0" w:tentative="0">
      <w:start w:val="2"/>
      <w:numFmt w:val="decimal"/>
      <w:suff w:val="nothing"/>
      <w:lvlText w:val="（%1）"/>
      <w:lvlJc w:val="left"/>
    </w:lvl>
  </w:abstractNum>
  <w:abstractNum w:abstractNumId="30">
    <w:nsid w:val="0923BE06"/>
    <w:multiLevelType w:val="singleLevel"/>
    <w:tmpl w:val="0923BE06"/>
    <w:lvl w:ilvl="0" w:tentative="0">
      <w:start w:val="1"/>
      <w:numFmt w:val="lowerLetter"/>
      <w:lvlText w:val="%1."/>
      <w:lvlJc w:val="left"/>
      <w:pPr>
        <w:ind w:left="425" w:hanging="425"/>
      </w:pPr>
      <w:rPr>
        <w:rFonts w:hint="default"/>
      </w:rPr>
    </w:lvl>
  </w:abstractNum>
  <w:abstractNum w:abstractNumId="31">
    <w:nsid w:val="0B842F7E"/>
    <w:multiLevelType w:val="singleLevel"/>
    <w:tmpl w:val="0B842F7E"/>
    <w:lvl w:ilvl="0" w:tentative="0">
      <w:start w:val="1"/>
      <w:numFmt w:val="bullet"/>
      <w:lvlText w:val=""/>
      <w:lvlJc w:val="left"/>
      <w:pPr>
        <w:ind w:left="420" w:hanging="420"/>
      </w:pPr>
      <w:rPr>
        <w:rFonts w:hint="default" w:ascii="Wingdings" w:hAnsi="Wingdings"/>
      </w:rPr>
    </w:lvl>
  </w:abstractNum>
  <w:abstractNum w:abstractNumId="32">
    <w:nsid w:val="0D6D3A36"/>
    <w:multiLevelType w:val="singleLevel"/>
    <w:tmpl w:val="0D6D3A36"/>
    <w:lvl w:ilvl="0" w:tentative="0">
      <w:start w:val="1"/>
      <w:numFmt w:val="lowerLetter"/>
      <w:lvlText w:val="%1."/>
      <w:lvlJc w:val="left"/>
      <w:pPr>
        <w:ind w:left="425" w:hanging="425"/>
      </w:pPr>
      <w:rPr>
        <w:rFonts w:hint="default"/>
      </w:rPr>
    </w:lvl>
  </w:abstractNum>
  <w:abstractNum w:abstractNumId="33">
    <w:nsid w:val="10E5E599"/>
    <w:multiLevelType w:val="singleLevel"/>
    <w:tmpl w:val="10E5E599"/>
    <w:lvl w:ilvl="0" w:tentative="0">
      <w:start w:val="1"/>
      <w:numFmt w:val="bullet"/>
      <w:lvlText w:val=""/>
      <w:lvlJc w:val="left"/>
      <w:pPr>
        <w:ind w:left="420" w:hanging="420"/>
      </w:pPr>
      <w:rPr>
        <w:rFonts w:hint="default" w:ascii="Wingdings" w:hAnsi="Wingdings"/>
      </w:rPr>
    </w:lvl>
  </w:abstractNum>
  <w:abstractNum w:abstractNumId="34">
    <w:nsid w:val="1BFE075D"/>
    <w:multiLevelType w:val="singleLevel"/>
    <w:tmpl w:val="1BFE075D"/>
    <w:lvl w:ilvl="0" w:tentative="0">
      <w:start w:val="1"/>
      <w:numFmt w:val="lowerLetter"/>
      <w:lvlText w:val="%1."/>
      <w:lvlJc w:val="left"/>
      <w:pPr>
        <w:ind w:left="425" w:hanging="425"/>
      </w:pPr>
      <w:rPr>
        <w:rFonts w:hint="default"/>
      </w:rPr>
    </w:lvl>
  </w:abstractNum>
  <w:abstractNum w:abstractNumId="35">
    <w:nsid w:val="2EE21AFF"/>
    <w:multiLevelType w:val="singleLevel"/>
    <w:tmpl w:val="2EE21AFF"/>
    <w:lvl w:ilvl="0" w:tentative="0">
      <w:start w:val="1"/>
      <w:numFmt w:val="bullet"/>
      <w:lvlText w:val=""/>
      <w:lvlJc w:val="left"/>
      <w:pPr>
        <w:ind w:left="420" w:hanging="420"/>
      </w:pPr>
      <w:rPr>
        <w:rFonts w:hint="default" w:ascii="Wingdings" w:hAnsi="Wingdings"/>
      </w:rPr>
    </w:lvl>
  </w:abstractNum>
  <w:abstractNum w:abstractNumId="36">
    <w:nsid w:val="362BC677"/>
    <w:multiLevelType w:val="singleLevel"/>
    <w:tmpl w:val="362BC677"/>
    <w:lvl w:ilvl="0" w:tentative="0">
      <w:start w:val="1"/>
      <w:numFmt w:val="bullet"/>
      <w:lvlText w:val=""/>
      <w:lvlJc w:val="left"/>
      <w:pPr>
        <w:ind w:left="420" w:hanging="420"/>
      </w:pPr>
      <w:rPr>
        <w:rFonts w:hint="default" w:ascii="Wingdings" w:hAnsi="Wingdings"/>
      </w:rPr>
    </w:lvl>
  </w:abstractNum>
  <w:abstractNum w:abstractNumId="37">
    <w:nsid w:val="39AC5F4C"/>
    <w:multiLevelType w:val="singleLevel"/>
    <w:tmpl w:val="39AC5F4C"/>
    <w:lvl w:ilvl="0" w:tentative="0">
      <w:start w:val="1"/>
      <w:numFmt w:val="bullet"/>
      <w:lvlText w:val=""/>
      <w:lvlJc w:val="left"/>
      <w:pPr>
        <w:ind w:left="420" w:hanging="420"/>
      </w:pPr>
      <w:rPr>
        <w:rFonts w:hint="default" w:ascii="Wingdings" w:hAnsi="Wingdings"/>
      </w:rPr>
    </w:lvl>
  </w:abstractNum>
  <w:abstractNum w:abstractNumId="38">
    <w:nsid w:val="3EA2AD6E"/>
    <w:multiLevelType w:val="singleLevel"/>
    <w:tmpl w:val="3EA2AD6E"/>
    <w:lvl w:ilvl="0" w:tentative="0">
      <w:start w:val="1"/>
      <w:numFmt w:val="bullet"/>
      <w:lvlText w:val=""/>
      <w:lvlJc w:val="left"/>
      <w:pPr>
        <w:ind w:left="420" w:hanging="420"/>
      </w:pPr>
      <w:rPr>
        <w:rFonts w:hint="default" w:ascii="Wingdings" w:hAnsi="Wingdings"/>
      </w:rPr>
    </w:lvl>
  </w:abstractNum>
  <w:abstractNum w:abstractNumId="39">
    <w:nsid w:val="4CEA5249"/>
    <w:multiLevelType w:val="singleLevel"/>
    <w:tmpl w:val="4CEA5249"/>
    <w:lvl w:ilvl="0" w:tentative="0">
      <w:start w:val="1"/>
      <w:numFmt w:val="bullet"/>
      <w:lvlText w:val=""/>
      <w:lvlJc w:val="left"/>
      <w:pPr>
        <w:ind w:left="420" w:hanging="420"/>
      </w:pPr>
      <w:rPr>
        <w:rFonts w:hint="default" w:ascii="Wingdings" w:hAnsi="Wingdings"/>
      </w:rPr>
    </w:lvl>
  </w:abstractNum>
  <w:abstractNum w:abstractNumId="40">
    <w:nsid w:val="4D0B798B"/>
    <w:multiLevelType w:val="singleLevel"/>
    <w:tmpl w:val="4D0B798B"/>
    <w:lvl w:ilvl="0" w:tentative="0">
      <w:start w:val="1"/>
      <w:numFmt w:val="bullet"/>
      <w:lvlText w:val=""/>
      <w:lvlJc w:val="left"/>
      <w:pPr>
        <w:ind w:left="420" w:hanging="420"/>
      </w:pPr>
      <w:rPr>
        <w:rFonts w:hint="default" w:ascii="Wingdings" w:hAnsi="Wingdings"/>
      </w:rPr>
    </w:lvl>
  </w:abstractNum>
  <w:abstractNum w:abstractNumId="41">
    <w:nsid w:val="515E3B92"/>
    <w:multiLevelType w:val="singleLevel"/>
    <w:tmpl w:val="515E3B92"/>
    <w:lvl w:ilvl="0" w:tentative="0">
      <w:start w:val="1"/>
      <w:numFmt w:val="bullet"/>
      <w:lvlText w:val=""/>
      <w:lvlJc w:val="left"/>
      <w:pPr>
        <w:ind w:left="420" w:hanging="420"/>
      </w:pPr>
      <w:rPr>
        <w:rFonts w:hint="default" w:ascii="Wingdings" w:hAnsi="Wingdings"/>
      </w:rPr>
    </w:lvl>
  </w:abstractNum>
  <w:abstractNum w:abstractNumId="42">
    <w:nsid w:val="5233CE14"/>
    <w:multiLevelType w:val="singleLevel"/>
    <w:tmpl w:val="5233CE14"/>
    <w:lvl w:ilvl="0" w:tentative="0">
      <w:start w:val="1"/>
      <w:numFmt w:val="bullet"/>
      <w:lvlText w:val=""/>
      <w:lvlJc w:val="left"/>
      <w:pPr>
        <w:ind w:left="420" w:hanging="420"/>
      </w:pPr>
      <w:rPr>
        <w:rFonts w:hint="default" w:ascii="Wingdings" w:hAnsi="Wingdings"/>
      </w:rPr>
    </w:lvl>
  </w:abstractNum>
  <w:abstractNum w:abstractNumId="43">
    <w:nsid w:val="5C15368B"/>
    <w:multiLevelType w:val="singleLevel"/>
    <w:tmpl w:val="5C15368B"/>
    <w:lvl w:ilvl="0" w:tentative="0">
      <w:start w:val="1"/>
      <w:numFmt w:val="bullet"/>
      <w:lvlText w:val=""/>
      <w:lvlJc w:val="left"/>
      <w:pPr>
        <w:ind w:left="420" w:hanging="420"/>
      </w:pPr>
      <w:rPr>
        <w:rFonts w:hint="default" w:ascii="Wingdings" w:hAnsi="Wingdings"/>
      </w:rPr>
    </w:lvl>
  </w:abstractNum>
  <w:abstractNum w:abstractNumId="44">
    <w:nsid w:val="63546429"/>
    <w:multiLevelType w:val="multilevel"/>
    <w:tmpl w:val="63546429"/>
    <w:lvl w:ilvl="0" w:tentative="0">
      <w:start w:val="1"/>
      <w:numFmt w:val="decimal"/>
      <w:lvlText w:val="%1"/>
      <w:lvlJc w:val="left"/>
      <w:pPr>
        <w:tabs>
          <w:tab w:val="left" w:pos="432"/>
        </w:tabs>
        <w:ind w:left="432" w:hanging="432"/>
      </w:pPr>
      <w:rPr>
        <w:rFonts w:hint="eastAsia"/>
      </w:rPr>
    </w:lvl>
    <w:lvl w:ilvl="1" w:tentative="0">
      <w:start w:val="1"/>
      <w:numFmt w:val="decimal"/>
      <w:pStyle w:val="3"/>
      <w:lvlText w:val="%1.%2"/>
      <w:lvlJc w:val="left"/>
      <w:pPr>
        <w:tabs>
          <w:tab w:val="left" w:pos="576"/>
        </w:tabs>
        <w:ind w:left="576" w:hanging="576"/>
      </w:pPr>
      <w:rPr>
        <w:rFonts w:hint="eastAsia"/>
      </w:rPr>
    </w:lvl>
    <w:lvl w:ilvl="2" w:tentative="0">
      <w:start w:val="1"/>
      <w:numFmt w:val="decimal"/>
      <w:pStyle w:val="4"/>
      <w:lvlText w:val="%1.%2.%3"/>
      <w:lvlJc w:val="left"/>
      <w:pPr>
        <w:tabs>
          <w:tab w:val="left" w:pos="862"/>
        </w:tabs>
        <w:ind w:left="862" w:hanging="720"/>
      </w:pPr>
      <w:rPr>
        <w:rFonts w:hint="default" w:ascii="Arial" w:hAnsi="Arial" w:cs="Arial"/>
      </w:rPr>
    </w:lvl>
    <w:lvl w:ilvl="3" w:tentative="0">
      <w:start w:val="1"/>
      <w:numFmt w:val="decimal"/>
      <w:lvlText w:val="%4."/>
      <w:lvlJc w:val="left"/>
      <w:pPr>
        <w:tabs>
          <w:tab w:val="left" w:pos="567"/>
        </w:tabs>
        <w:ind w:left="936" w:hanging="680"/>
      </w:pPr>
      <w:rPr>
        <w:rFonts w:hint="eastAsia"/>
      </w:rPr>
    </w:lvl>
    <w:lvl w:ilvl="4" w:tentative="0">
      <w:start w:val="1"/>
      <w:numFmt w:val="decimal"/>
      <w:lvlText w:val="%5）"/>
      <w:lvlJc w:val="left"/>
      <w:pPr>
        <w:tabs>
          <w:tab w:val="left" w:pos="567"/>
        </w:tabs>
        <w:ind w:left="936" w:hanging="680"/>
      </w:pPr>
      <w:rPr>
        <w:rFonts w:hint="eastAsia"/>
      </w:rPr>
    </w:lvl>
    <w:lvl w:ilvl="5" w:tentative="0">
      <w:start w:val="1"/>
      <w:numFmt w:val="lowerLetter"/>
      <w:lvlText w:val="%6）"/>
      <w:lvlJc w:val="left"/>
      <w:pPr>
        <w:tabs>
          <w:tab w:val="left" w:pos="567"/>
        </w:tabs>
        <w:ind w:left="936" w:hanging="680"/>
      </w:pPr>
      <w:rPr>
        <w:rFonts w:hint="eastAsia"/>
      </w:rPr>
    </w:lvl>
    <w:lvl w:ilvl="6" w:tentative="0">
      <w:start w:val="1"/>
      <w:numFmt w:val="lowerRoman"/>
      <w:lvlText w:val="%7"/>
      <w:lvlJc w:val="left"/>
      <w:pPr>
        <w:tabs>
          <w:tab w:val="left" w:pos="567"/>
        </w:tabs>
        <w:ind w:left="936" w:hanging="680"/>
      </w:pPr>
      <w:rPr>
        <w:rFonts w:hint="default"/>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45">
    <w:nsid w:val="6DBB2EE4"/>
    <w:multiLevelType w:val="singleLevel"/>
    <w:tmpl w:val="6DBB2EE4"/>
    <w:lvl w:ilvl="0" w:tentative="0">
      <w:start w:val="1"/>
      <w:numFmt w:val="lowerLetter"/>
      <w:lvlText w:val="%1."/>
      <w:lvlJc w:val="left"/>
      <w:pPr>
        <w:ind w:left="425" w:hanging="425"/>
      </w:pPr>
      <w:rPr>
        <w:rFonts w:hint="default"/>
      </w:rPr>
    </w:lvl>
  </w:abstractNum>
  <w:abstractNum w:abstractNumId="46">
    <w:nsid w:val="74E2860A"/>
    <w:multiLevelType w:val="singleLevel"/>
    <w:tmpl w:val="74E2860A"/>
    <w:lvl w:ilvl="0" w:tentative="0">
      <w:start w:val="1"/>
      <w:numFmt w:val="bullet"/>
      <w:lvlText w:val=""/>
      <w:lvlJc w:val="left"/>
      <w:pPr>
        <w:ind w:left="420" w:hanging="420"/>
      </w:pPr>
      <w:rPr>
        <w:rFonts w:hint="default" w:ascii="Wingdings" w:hAnsi="Wingdings"/>
      </w:rPr>
    </w:lvl>
  </w:abstractNum>
  <w:abstractNum w:abstractNumId="47">
    <w:nsid w:val="7898279E"/>
    <w:multiLevelType w:val="singleLevel"/>
    <w:tmpl w:val="7898279E"/>
    <w:lvl w:ilvl="0" w:tentative="0">
      <w:start w:val="1"/>
      <w:numFmt w:val="bullet"/>
      <w:lvlText w:val=""/>
      <w:lvlJc w:val="left"/>
      <w:pPr>
        <w:ind w:left="420" w:hanging="420"/>
      </w:pPr>
      <w:rPr>
        <w:rFonts w:hint="default" w:ascii="Wingdings" w:hAnsi="Wingdings"/>
      </w:rPr>
    </w:lvl>
  </w:abstractNum>
  <w:num w:numId="1">
    <w:abstractNumId w:val="44"/>
  </w:num>
  <w:num w:numId="2">
    <w:abstractNumId w:val="11"/>
  </w:num>
  <w:num w:numId="3">
    <w:abstractNumId w:val="29"/>
  </w:num>
  <w:num w:numId="4">
    <w:abstractNumId w:val="40"/>
  </w:num>
  <w:num w:numId="5">
    <w:abstractNumId w:val="2"/>
  </w:num>
  <w:num w:numId="6">
    <w:abstractNumId w:val="3"/>
  </w:num>
  <w:num w:numId="7">
    <w:abstractNumId w:val="26"/>
  </w:num>
  <w:num w:numId="8">
    <w:abstractNumId w:val="7"/>
  </w:num>
  <w:num w:numId="9">
    <w:abstractNumId w:val="19"/>
  </w:num>
  <w:num w:numId="10">
    <w:abstractNumId w:val="16"/>
  </w:num>
  <w:num w:numId="11">
    <w:abstractNumId w:val="25"/>
  </w:num>
  <w:num w:numId="12">
    <w:abstractNumId w:val="35"/>
  </w:num>
  <w:num w:numId="13">
    <w:abstractNumId w:val="23"/>
  </w:num>
  <w:num w:numId="14">
    <w:abstractNumId w:val="46"/>
  </w:num>
  <w:num w:numId="15">
    <w:abstractNumId w:val="6"/>
  </w:num>
  <w:num w:numId="16">
    <w:abstractNumId w:val="36"/>
  </w:num>
  <w:num w:numId="17">
    <w:abstractNumId w:val="41"/>
  </w:num>
  <w:num w:numId="18">
    <w:abstractNumId w:val="24"/>
  </w:num>
  <w:num w:numId="19">
    <w:abstractNumId w:val="31"/>
  </w:num>
  <w:num w:numId="20">
    <w:abstractNumId w:val="4"/>
  </w:num>
  <w:num w:numId="21">
    <w:abstractNumId w:val="42"/>
  </w:num>
  <w:num w:numId="22">
    <w:abstractNumId w:val="47"/>
  </w:num>
  <w:num w:numId="23">
    <w:abstractNumId w:val="10"/>
  </w:num>
  <w:num w:numId="24">
    <w:abstractNumId w:val="22"/>
  </w:num>
  <w:num w:numId="25">
    <w:abstractNumId w:val="20"/>
  </w:num>
  <w:num w:numId="26">
    <w:abstractNumId w:val="13"/>
  </w:num>
  <w:num w:numId="27">
    <w:abstractNumId w:val="8"/>
  </w:num>
  <w:num w:numId="28">
    <w:abstractNumId w:val="37"/>
  </w:num>
  <w:num w:numId="29">
    <w:abstractNumId w:val="43"/>
  </w:num>
  <w:num w:numId="30">
    <w:abstractNumId w:val="39"/>
  </w:num>
  <w:num w:numId="31">
    <w:abstractNumId w:val="28"/>
  </w:num>
  <w:num w:numId="32">
    <w:abstractNumId w:val="14"/>
  </w:num>
  <w:num w:numId="33">
    <w:abstractNumId w:val="9"/>
  </w:num>
  <w:num w:numId="34">
    <w:abstractNumId w:val="38"/>
  </w:num>
  <w:num w:numId="35">
    <w:abstractNumId w:val="32"/>
  </w:num>
  <w:num w:numId="36">
    <w:abstractNumId w:val="30"/>
  </w:num>
  <w:num w:numId="37">
    <w:abstractNumId w:val="12"/>
  </w:num>
  <w:num w:numId="38">
    <w:abstractNumId w:val="5"/>
  </w:num>
  <w:num w:numId="39">
    <w:abstractNumId w:val="15"/>
  </w:num>
  <w:num w:numId="40">
    <w:abstractNumId w:val="45"/>
  </w:num>
  <w:num w:numId="41">
    <w:abstractNumId w:val="1"/>
  </w:num>
  <w:num w:numId="42">
    <w:abstractNumId w:val="17"/>
  </w:num>
  <w:num w:numId="43">
    <w:abstractNumId w:val="34"/>
  </w:num>
  <w:num w:numId="44">
    <w:abstractNumId w:val="21"/>
  </w:num>
  <w:num w:numId="45">
    <w:abstractNumId w:val="33"/>
  </w:num>
  <w:num w:numId="46">
    <w:abstractNumId w:val="18"/>
  </w:num>
  <w:num w:numId="47">
    <w:abstractNumId w:val="27"/>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Q3ODg5OWE0MzNjOWI5NzM1YWU4YWVlOGY5MDc0MjUifQ=="/>
  </w:docVars>
  <w:rsids>
    <w:rsidRoot w:val="62E43DDA"/>
    <w:rsid w:val="05CB200E"/>
    <w:rsid w:val="0D2B61B4"/>
    <w:rsid w:val="0DB37F58"/>
    <w:rsid w:val="185A5BA0"/>
    <w:rsid w:val="1A6D2E09"/>
    <w:rsid w:val="1C281B11"/>
    <w:rsid w:val="219A525F"/>
    <w:rsid w:val="2F300FB0"/>
    <w:rsid w:val="2FE57FED"/>
    <w:rsid w:val="38C74734"/>
    <w:rsid w:val="41B617E9"/>
    <w:rsid w:val="4644110B"/>
    <w:rsid w:val="4C2A0E0A"/>
    <w:rsid w:val="50AB1F80"/>
    <w:rsid w:val="53933738"/>
    <w:rsid w:val="5A0C5FF2"/>
    <w:rsid w:val="5B3B333C"/>
    <w:rsid w:val="62347E94"/>
    <w:rsid w:val="62E43DDA"/>
    <w:rsid w:val="6B362E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3"/>
    <w:qFormat/>
    <w:uiPriority w:val="0"/>
    <w:pPr>
      <w:keepNext/>
      <w:keepLines/>
      <w:spacing w:before="340" w:after="330" w:line="578" w:lineRule="auto"/>
      <w:outlineLvl w:val="0"/>
    </w:pPr>
    <w:rPr>
      <w:b/>
      <w:bCs/>
      <w:kern w:val="44"/>
      <w:sz w:val="44"/>
      <w:szCs w:val="44"/>
    </w:rPr>
  </w:style>
  <w:style w:type="paragraph" w:styleId="3">
    <w:name w:val="heading 2"/>
    <w:basedOn w:val="1"/>
    <w:next w:val="4"/>
    <w:qFormat/>
    <w:uiPriority w:val="0"/>
    <w:pPr>
      <w:keepNext/>
      <w:numPr>
        <w:ilvl w:val="1"/>
        <w:numId w:val="1"/>
      </w:numPr>
      <w:spacing w:before="240" w:after="240"/>
      <w:jc w:val="both"/>
      <w:outlineLvl w:val="1"/>
    </w:pPr>
    <w:rPr>
      <w:rFonts w:ascii="Arial" w:hAnsi="Arial" w:eastAsia="黑体" w:cs="Times New Roman"/>
      <w:sz w:val="24"/>
      <w:szCs w:val="24"/>
      <w:lang w:val="en-US" w:eastAsia="zh-CN" w:bidi="ar-SA"/>
    </w:rPr>
  </w:style>
  <w:style w:type="paragraph" w:styleId="4">
    <w:name w:val="heading 3"/>
    <w:basedOn w:val="1"/>
    <w:next w:val="1"/>
    <w:qFormat/>
    <w:uiPriority w:val="0"/>
    <w:pPr>
      <w:keepNext/>
      <w:keepLines/>
      <w:numPr>
        <w:ilvl w:val="2"/>
        <w:numId w:val="1"/>
      </w:numPr>
      <w:autoSpaceDE/>
      <w:autoSpaceDN/>
      <w:adjustRightInd/>
      <w:spacing w:before="260" w:after="260" w:line="416" w:lineRule="auto"/>
      <w:outlineLvl w:val="2"/>
    </w:pPr>
    <w:rPr>
      <w:rFonts w:eastAsia="黑体"/>
      <w:bCs/>
      <w:kern w:val="2"/>
      <w:sz w:val="24"/>
      <w:szCs w:val="32"/>
    </w:rPr>
  </w:style>
  <w:style w:type="character" w:default="1" w:styleId="11">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5">
    <w:name w:val="Body Text Indent"/>
    <w:basedOn w:val="1"/>
    <w:unhideWhenUsed/>
    <w:qFormat/>
    <w:uiPriority w:val="0"/>
    <w:pPr>
      <w:spacing w:after="120"/>
      <w:ind w:left="420" w:leftChars="200"/>
    </w:pPr>
    <w:rPr>
      <w:rFonts w:ascii="Times New Roman" w:hAnsi="Times New Roman" w:eastAsia="宋体" w:cs="Times New Roman"/>
      <w:szCs w:val="24"/>
    </w:rPr>
  </w:style>
  <w:style w:type="paragraph" w:styleId="6">
    <w:name w:val="footer"/>
    <w:basedOn w:val="1"/>
    <w:unhideWhenUsed/>
    <w:qFormat/>
    <w:uiPriority w:val="99"/>
    <w:pPr>
      <w:tabs>
        <w:tab w:val="center" w:pos="4153"/>
        <w:tab w:val="right" w:pos="8306"/>
      </w:tabs>
      <w:snapToGrid w:val="0"/>
      <w:jc w:val="left"/>
    </w:pPr>
    <w:rPr>
      <w:rFonts w:ascii="等线" w:hAnsi="等线" w:eastAsia="等线"/>
      <w:kern w:val="0"/>
      <w:sz w:val="18"/>
      <w:szCs w:val="18"/>
    </w:rPr>
  </w:style>
  <w:style w:type="paragraph" w:styleId="7">
    <w:name w:val="header"/>
    <w:basedOn w:val="1"/>
    <w:unhideWhenUsed/>
    <w:qFormat/>
    <w:uiPriority w:val="99"/>
    <w:pPr>
      <w:tabs>
        <w:tab w:val="center" w:pos="4153"/>
        <w:tab w:val="right" w:pos="8306"/>
      </w:tabs>
      <w:snapToGrid w:val="0"/>
      <w:jc w:val="center"/>
    </w:pPr>
    <w:rPr>
      <w:rFonts w:ascii="等线" w:hAnsi="等线" w:eastAsia="等线"/>
      <w:kern w:val="0"/>
      <w:sz w:val="18"/>
      <w:szCs w:val="18"/>
    </w:rPr>
  </w:style>
  <w:style w:type="paragraph" w:styleId="8">
    <w:name w:val="toc 1"/>
    <w:basedOn w:val="1"/>
    <w:next w:val="1"/>
    <w:qFormat/>
    <w:uiPriority w:val="39"/>
    <w:pPr>
      <w:spacing w:after="80"/>
      <w:ind w:left="0"/>
    </w:pPr>
    <w:rPr>
      <w:rFonts w:ascii="Book Antiqua" w:hAnsi="Book Antiqua" w:cs="Book Antiqua"/>
      <w:b/>
      <w:bCs/>
      <w:sz w:val="24"/>
      <w:szCs w:val="24"/>
    </w:rPr>
  </w:style>
  <w:style w:type="paragraph" w:styleId="9">
    <w:name w:val="toc 2"/>
    <w:basedOn w:val="1"/>
    <w:next w:val="1"/>
    <w:qFormat/>
    <w:uiPriority w:val="39"/>
    <w:pPr>
      <w:spacing w:before="80" w:after="80"/>
      <w:ind w:left="300" w:leftChars="300"/>
    </w:pPr>
    <w:rPr>
      <w:sz w:val="20"/>
      <w:szCs w:val="20"/>
    </w:rPr>
  </w:style>
  <w:style w:type="character" w:styleId="12">
    <w:name w:val="page number"/>
    <w:qFormat/>
    <w:uiPriority w:val="0"/>
    <w:rPr>
      <w:rFonts w:cs="Times New Roman"/>
    </w:rPr>
  </w:style>
  <w:style w:type="paragraph" w:customStyle="1" w:styleId="13">
    <w:name w:val="表头样式"/>
    <w:basedOn w:val="1"/>
    <w:qFormat/>
    <w:uiPriority w:val="0"/>
    <w:pPr>
      <w:jc w:val="center"/>
    </w:pPr>
    <w:rPr>
      <w:rFonts w:ascii="Arial" w:hAnsi="Arial" w:cs="Times New Roman"/>
      <w:b/>
    </w:rPr>
  </w:style>
  <w:style w:type="paragraph" w:customStyle="1" w:styleId="14">
    <w:name w:val="缺省文本"/>
    <w:basedOn w:val="1"/>
    <w:qFormat/>
    <w:uiPriority w:val="0"/>
    <w:pPr>
      <w:spacing w:before="120" w:line="276" w:lineRule="auto"/>
      <w:ind w:left="708" w:hanging="708" w:hangingChars="337"/>
      <w:jc w:val="center"/>
    </w:pPr>
    <w:rPr>
      <w:rFonts w:ascii="Arial" w:hAnsi="Arial" w:cs="Times New Roman"/>
    </w:rPr>
  </w:style>
  <w:style w:type="paragraph" w:styleId="15">
    <w:name w:val="List Paragraph"/>
    <w:basedOn w:val="1"/>
    <w:qFormat/>
    <w:uiPriority w:val="34"/>
    <w:pPr>
      <w:spacing w:line="360" w:lineRule="auto"/>
      <w:ind w:firstLine="420" w:firstLineChars="200"/>
      <w:jc w:val="left"/>
    </w:pPr>
    <w:rPr>
      <w:rFonts w:ascii="Times New Roman" w:cs="Times New Roman"/>
      <w:snapToGrid w:val="0"/>
    </w:rPr>
  </w:style>
  <w:style w:type="character" w:customStyle="1" w:styleId="16">
    <w:name w:val="tpc_content1"/>
    <w:qFormat/>
    <w:uiPriority w:val="0"/>
    <w:rPr>
      <w:sz w:val="20"/>
      <w:szCs w:val="20"/>
    </w:rPr>
  </w:style>
  <w:style w:type="paragraph" w:customStyle="1" w:styleId="17">
    <w:name w:val="列出段落1"/>
    <w:basedOn w:val="1"/>
    <w:qFormat/>
    <w:uiPriority w:val="0"/>
    <w:pPr>
      <w:ind w:firstLine="420" w:firstLineChars="200"/>
    </w:pPr>
  </w:style>
  <w:style w:type="paragraph" w:customStyle="1" w:styleId="18">
    <w:name w:val="Contents"/>
    <w:basedOn w:val="19"/>
    <w:qFormat/>
    <w:uiPriority w:val="0"/>
    <w:pPr>
      <w:tabs>
        <w:tab w:val="left" w:pos="1995"/>
      </w:tabs>
    </w:pPr>
    <w:rPr>
      <w:rFonts w:eastAsia="黑体"/>
    </w:rPr>
  </w:style>
  <w:style w:type="paragraph" w:customStyle="1" w:styleId="19">
    <w:name w:val="Heading1 No Number"/>
    <w:basedOn w:val="1"/>
    <w:next w:val="1"/>
    <w:uiPriority w:val="0"/>
    <w:pPr>
      <w:pageBreakBefore/>
      <w:spacing w:before="360" w:after="360"/>
      <w:ind w:left="0"/>
      <w:jc w:val="center"/>
    </w:pPr>
    <w:rPr>
      <w:b/>
      <w:sz w:val="32"/>
      <w:szCs w:val="30"/>
    </w:rPr>
  </w:style>
  <w:style w:type="paragraph" w:customStyle="1" w:styleId="20">
    <w:name w:val="Table Heading"/>
    <w:basedOn w:val="1"/>
    <w:qFormat/>
    <w:uiPriority w:val="0"/>
    <w:pPr>
      <w:keepNext/>
      <w:widowControl w:val="0"/>
      <w:spacing w:before="80" w:after="80"/>
      <w:ind w:left="0"/>
    </w:pPr>
    <w:rPr>
      <w:rFonts w:ascii="Book Antiqua" w:hAnsi="Book Antiqua" w:eastAsia="黑体" w:cs="Book Antiqua"/>
      <w:b/>
      <w:bCs/>
      <w:snapToGrid w:val="0"/>
      <w:kern w:val="0"/>
    </w:rPr>
  </w:style>
  <w:style w:type="table" w:customStyle="1" w:styleId="21">
    <w:name w:val="Table"/>
    <w:basedOn w:val="10"/>
    <w:qFormat/>
    <w:uiPriority w:val="0"/>
    <w:pPr>
      <w:spacing w:before="80" w:after="80" w:line="240" w:lineRule="atLeast"/>
    </w:pPr>
    <w:rPr>
      <w:rFonts w:cs="Arial"/>
      <w:sz w:val="21"/>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rPr>
      <w:cantSplit/>
    </w:trPr>
    <w:tblStylePr w:type="firstRow">
      <w:rPr>
        <w:b w:val="0"/>
        <w:bCs w:val="0"/>
        <w:i w:val="0"/>
        <w:iCs w:val="0"/>
        <w:color w:val="auto"/>
        <w:sz w:val="20"/>
        <w:szCs w:val="20"/>
      </w:rPr>
      <w:tblPr/>
      <w:trPr>
        <w:tblHeader/>
      </w:trPr>
      <w:tcPr>
        <w:tcBorders>
          <w:top w:val="single" w:color="auto" w:sz="6" w:space="0"/>
          <w:left w:val="single" w:color="auto" w:sz="6" w:space="0"/>
          <w:bottom w:val="single" w:color="auto" w:sz="6" w:space="0"/>
          <w:right w:val="single" w:color="auto" w:sz="6" w:space="0"/>
          <w:insideH w:val="single" w:sz="6" w:space="0"/>
          <w:insideV w:val="single" w:sz="6" w:space="0"/>
          <w:tl2br w:val="nil"/>
          <w:tr2bl w:val="nil"/>
        </w:tcBorders>
        <w:shd w:val="clear" w:color="auto" w:fill="D9D9D9"/>
      </w:tcPr>
    </w:tblStylePr>
  </w:style>
  <w:style w:type="paragraph" w:customStyle="1" w:styleId="22">
    <w:name w:val="Table Text"/>
    <w:basedOn w:val="1"/>
    <w:qFormat/>
    <w:uiPriority w:val="0"/>
    <w:pPr>
      <w:widowControl w:val="0"/>
      <w:spacing w:before="80" w:after="80"/>
      <w:ind w:left="0"/>
    </w:pPr>
    <w:rPr>
      <w:snapToGrid w:val="0"/>
      <w:kern w:val="0"/>
    </w:rPr>
  </w:style>
  <w:style w:type="paragraph" w:customStyle="1" w:styleId="23">
    <w:name w:val="Heading Left"/>
    <w:basedOn w:val="1"/>
    <w:qFormat/>
    <w:uiPriority w:val="0"/>
    <w:pPr>
      <w:spacing w:before="0" w:after="0"/>
      <w:ind w:left="0"/>
    </w:pPr>
    <w:rPr>
      <w:sz w:val="20"/>
      <w:szCs w:val="20"/>
    </w:rPr>
  </w:style>
  <w:style w:type="paragraph" w:customStyle="1" w:styleId="24">
    <w:name w:val="Heading Right"/>
    <w:basedOn w:val="1"/>
    <w:qFormat/>
    <w:uiPriority w:val="0"/>
    <w:pPr>
      <w:spacing w:before="0" w:after="0"/>
      <w:ind w:left="0"/>
      <w:jc w:val="right"/>
    </w:pPr>
    <w:rPr>
      <w:sz w:val="20"/>
      <w:szCs w:val="20"/>
    </w:rPr>
  </w:style>
  <w:style w:type="paragraph" w:customStyle="1" w:styleId="25">
    <w:name w:val="Heading Middl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styleId="26">
    <w:name w:val="No Spacing"/>
    <w:qFormat/>
    <w:uiPriority w:val="1"/>
    <w:rPr>
      <w:rFonts w:asciiTheme="minorHAnsi" w:hAnsiTheme="minorHAnsi" w:eastAsiaTheme="minorEastAsia" w:cstheme="minorBidi"/>
      <w:sz w:val="2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8"/>
    <customShpInfo spid="_x0000_s4097"/>
    <customShpInfo spid="_x0000_s1026"/>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2024-05-31T00:42:00Z</dcterms:created>
  <dc:creator>Jiang.Yuan</dc:creator>
  <cp:lastModifiedBy>Jiang.Yuan</cp:lastModifiedBy>
  <dcterms:modified xsi:type="dcterms:W3CDTF">2024-06-02T13:23:08Z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878112936D744D2DBBC8978804FE300F_13</vt:lpwstr>
  </property>
</Properties>
</file>