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BC41934">
      <w:pPr>
        <w:keepNext w:val="0"/>
        <w:keepLines w:val="0"/>
        <w:pageBreakBefore w:val="0"/>
        <w:widowControl w:val="0"/>
        <w:kinsoku/>
        <w:overflowPunct/>
        <w:topLinePunct w:val="0"/>
        <w:autoSpaceDN/>
        <w:bidi w:val="0"/>
        <w:adjustRightInd w:val="0"/>
        <w:snapToGrid w:val="0"/>
        <w:spacing w:afterLines="0" w:line="500" w:lineRule="exact"/>
        <w:jc w:val="center"/>
        <w:textAlignment w:val="auto"/>
        <w:rPr>
          <w:rFonts w:hint="eastAsia" w:ascii="方正小标宋简体" w:hAnsi="方正小标宋简体" w:eastAsia="方正小标宋简体" w:cs="方正小标宋简体"/>
          <w:b w:val="0"/>
          <w:bCs/>
          <w:color w:val="auto"/>
          <w:sz w:val="44"/>
          <w:szCs w:val="44"/>
          <w:lang w:val="en-US" w:eastAsia="zh-CN"/>
        </w:rPr>
      </w:pPr>
      <w:r>
        <w:rPr>
          <w:rFonts w:hint="eastAsia" w:ascii="方正小标宋简体" w:hAnsi="方正小标宋简体" w:eastAsia="方正小标宋简体" w:cs="方正小标宋简体"/>
          <w:b w:val="0"/>
          <w:bCs/>
          <w:color w:val="auto"/>
          <w:sz w:val="44"/>
          <w:szCs w:val="44"/>
          <w:lang w:val="en-US" w:eastAsia="zh-CN"/>
        </w:rPr>
        <w:t>四川九洲后勤服务有限责任公司</w:t>
      </w:r>
    </w:p>
    <w:p w14:paraId="022CD653">
      <w:pPr>
        <w:keepNext w:val="0"/>
        <w:keepLines w:val="0"/>
        <w:pageBreakBefore w:val="0"/>
        <w:widowControl w:val="0"/>
        <w:kinsoku/>
        <w:overflowPunct/>
        <w:topLinePunct w:val="0"/>
        <w:autoSpaceDN/>
        <w:bidi w:val="0"/>
        <w:adjustRightInd w:val="0"/>
        <w:snapToGrid w:val="0"/>
        <w:spacing w:afterLines="0" w:line="500" w:lineRule="exact"/>
        <w:jc w:val="center"/>
        <w:textAlignment w:val="auto"/>
        <w:rPr>
          <w:rFonts w:hint="default" w:ascii="方正小标宋简体" w:hAnsi="方正小标宋简体" w:eastAsia="方正小标宋简体" w:cs="方正小标宋简体"/>
          <w:b w:val="0"/>
          <w:bCs/>
          <w:color w:val="auto"/>
          <w:sz w:val="44"/>
          <w:szCs w:val="44"/>
          <w:lang w:val="en-US" w:eastAsia="zh-CN"/>
        </w:rPr>
      </w:pPr>
      <w:r>
        <w:rPr>
          <w:rFonts w:hint="eastAsia" w:ascii="方正小标宋简体" w:hAnsi="方正小标宋简体" w:eastAsia="方正小标宋简体" w:cs="方正小标宋简体"/>
          <w:b w:val="0"/>
          <w:bCs/>
          <w:color w:val="auto"/>
          <w:sz w:val="44"/>
          <w:szCs w:val="44"/>
          <w:lang w:val="en-US" w:eastAsia="zh-CN"/>
        </w:rPr>
        <w:t xml:space="preserve"> 委托办理建筑相关资质事项谈判采购公告</w:t>
      </w:r>
    </w:p>
    <w:p w14:paraId="2B0D43F8">
      <w:pPr>
        <w:keepNext w:val="0"/>
        <w:keepLines w:val="0"/>
        <w:pageBreakBefore w:val="0"/>
        <w:widowControl w:val="0"/>
        <w:kinsoku/>
        <w:wordWrap/>
        <w:overflowPunct/>
        <w:topLinePunct w:val="0"/>
        <w:autoSpaceDE/>
        <w:autoSpaceDN/>
        <w:bidi w:val="0"/>
        <w:adjustRightInd w:val="0"/>
        <w:snapToGrid w:val="0"/>
        <w:spacing w:afterLines="0" w:line="500" w:lineRule="exact"/>
        <w:ind w:firstLine="560" w:firstLineChars="200"/>
        <w:textAlignment w:val="auto"/>
        <w:rPr>
          <w:rFonts w:hint="eastAsia" w:ascii="仿宋_GB2312" w:hAnsi="仿宋_GB2312" w:eastAsia="仿宋_GB2312" w:cs="仿宋_GB2312"/>
          <w:b w:val="0"/>
          <w:bCs w:val="0"/>
          <w:color w:val="auto"/>
          <w:sz w:val="28"/>
          <w:szCs w:val="28"/>
          <w:lang w:val="en-US" w:eastAsia="zh-CN"/>
        </w:rPr>
      </w:pPr>
      <w:r>
        <w:rPr>
          <w:rFonts w:hint="eastAsia" w:ascii="仿宋_GB2312" w:hAnsi="仿宋_GB2312" w:eastAsia="仿宋_GB2312" w:cs="仿宋_GB2312"/>
          <w:b w:val="0"/>
          <w:color w:val="auto"/>
          <w:sz w:val="28"/>
          <w:szCs w:val="28"/>
        </w:rPr>
        <w:t>四川九洲</w:t>
      </w:r>
      <w:r>
        <w:rPr>
          <w:rFonts w:hint="eastAsia" w:ascii="仿宋_GB2312" w:hAnsi="仿宋_GB2312" w:eastAsia="仿宋_GB2312" w:cs="仿宋_GB2312"/>
          <w:b w:val="0"/>
          <w:color w:val="auto"/>
          <w:sz w:val="28"/>
          <w:szCs w:val="28"/>
          <w:lang w:val="en-US" w:eastAsia="zh-CN"/>
        </w:rPr>
        <w:t>后勤服务</w:t>
      </w:r>
      <w:r>
        <w:rPr>
          <w:rFonts w:hint="eastAsia" w:ascii="仿宋_GB2312" w:hAnsi="仿宋_GB2312" w:eastAsia="仿宋_GB2312" w:cs="仿宋_GB2312"/>
          <w:b w:val="0"/>
          <w:color w:val="auto"/>
          <w:sz w:val="28"/>
          <w:szCs w:val="28"/>
        </w:rPr>
        <w:t>有限责任公司</w:t>
      </w:r>
      <w:r>
        <w:rPr>
          <w:rFonts w:hint="eastAsia" w:ascii="仿宋_GB2312" w:hAnsi="仿宋_GB2312" w:eastAsia="仿宋_GB2312" w:cs="仿宋_GB2312"/>
          <w:color w:val="auto"/>
          <w:sz w:val="28"/>
          <w:szCs w:val="28"/>
          <w:highlight w:val="none"/>
          <w:lang w:eastAsia="zh-CN"/>
        </w:rPr>
        <w:t>（以下简称九洲</w:t>
      </w:r>
      <w:r>
        <w:rPr>
          <w:rFonts w:hint="eastAsia" w:ascii="仿宋_GB2312" w:hAnsi="仿宋_GB2312" w:eastAsia="仿宋_GB2312" w:cs="仿宋_GB2312"/>
          <w:color w:val="auto"/>
          <w:sz w:val="28"/>
          <w:szCs w:val="28"/>
          <w:highlight w:val="none"/>
          <w:lang w:val="en-US" w:eastAsia="zh-CN"/>
        </w:rPr>
        <w:t>后勤</w:t>
      </w:r>
      <w:r>
        <w:rPr>
          <w:rFonts w:hint="eastAsia" w:ascii="仿宋_GB2312" w:hAnsi="仿宋_GB2312" w:eastAsia="仿宋_GB2312" w:cs="仿宋_GB2312"/>
          <w:color w:val="auto"/>
          <w:sz w:val="28"/>
          <w:szCs w:val="28"/>
          <w:highlight w:val="none"/>
          <w:lang w:eastAsia="zh-CN"/>
        </w:rPr>
        <w:t>）</w:t>
      </w:r>
      <w:r>
        <w:rPr>
          <w:rFonts w:hint="eastAsia" w:ascii="仿宋_GB2312" w:hAnsi="仿宋_GB2312" w:eastAsia="仿宋_GB2312" w:cs="仿宋_GB2312"/>
          <w:b w:val="0"/>
          <w:bCs w:val="0"/>
          <w:color w:val="auto"/>
          <w:sz w:val="28"/>
          <w:szCs w:val="28"/>
          <w:lang w:val="en-US" w:eastAsia="zh-CN"/>
        </w:rPr>
        <w:t>拟通过公开谈判采购方式确定建筑相关资质办理委托</w:t>
      </w:r>
      <w:r>
        <w:rPr>
          <w:rFonts w:hint="eastAsia" w:ascii="仿宋_GB2312" w:hAnsi="仿宋_GB2312" w:eastAsia="仿宋_GB2312" w:cs="仿宋_GB2312"/>
          <w:b w:val="0"/>
          <w:bCs w:val="0"/>
          <w:color w:val="auto"/>
          <w:sz w:val="28"/>
          <w:szCs w:val="28"/>
          <w:highlight w:val="none"/>
          <w:lang w:val="en-US" w:eastAsia="zh-CN"/>
        </w:rPr>
        <w:t>单位，</w:t>
      </w:r>
      <w:r>
        <w:rPr>
          <w:rFonts w:hint="eastAsia" w:ascii="仿宋_GB2312" w:hAnsi="仿宋_GB2312" w:eastAsia="仿宋_GB2312" w:cs="仿宋_GB2312"/>
          <w:b w:val="0"/>
          <w:bCs w:val="0"/>
          <w:color w:val="auto"/>
          <w:sz w:val="28"/>
          <w:szCs w:val="28"/>
          <w:lang w:val="en-US" w:eastAsia="zh-CN"/>
        </w:rPr>
        <w:t>现</w:t>
      </w:r>
      <w:r>
        <w:rPr>
          <w:rFonts w:hint="eastAsia" w:ascii="仿宋_GB2312" w:hAnsi="仿宋_GB2312" w:eastAsia="仿宋_GB2312" w:cs="仿宋_GB2312"/>
          <w:color w:val="auto"/>
          <w:sz w:val="28"/>
          <w:szCs w:val="28"/>
          <w:highlight w:val="none"/>
          <w:lang w:eastAsia="zh-CN"/>
        </w:rPr>
        <w:t>就有</w:t>
      </w:r>
      <w:r>
        <w:rPr>
          <w:rFonts w:hint="eastAsia" w:ascii="仿宋_GB2312" w:hAnsi="仿宋_GB2312" w:eastAsia="仿宋_GB2312" w:cs="仿宋_GB2312"/>
          <w:b w:val="0"/>
          <w:bCs w:val="0"/>
          <w:color w:val="auto"/>
          <w:sz w:val="28"/>
          <w:szCs w:val="28"/>
          <w:lang w:val="en-US" w:eastAsia="zh-CN"/>
        </w:rPr>
        <w:t>关事项公告如下：</w:t>
      </w:r>
    </w:p>
    <w:p w14:paraId="31FDBF3C">
      <w:pPr>
        <w:keepNext w:val="0"/>
        <w:keepLines w:val="0"/>
        <w:pageBreakBefore w:val="0"/>
        <w:widowControl w:val="0"/>
        <w:kinsoku/>
        <w:wordWrap/>
        <w:overflowPunct/>
        <w:topLinePunct w:val="0"/>
        <w:autoSpaceDE/>
        <w:autoSpaceDN/>
        <w:bidi w:val="0"/>
        <w:adjustRightInd w:val="0"/>
        <w:snapToGrid w:val="0"/>
        <w:spacing w:afterLines="0" w:line="500" w:lineRule="exact"/>
        <w:ind w:firstLine="560" w:firstLineChars="200"/>
        <w:textAlignment w:val="auto"/>
        <w:rPr>
          <w:rFonts w:hint="eastAsia" w:ascii="黑体" w:hAnsi="黑体" w:eastAsia="黑体" w:cs="黑体"/>
          <w:b w:val="0"/>
          <w:bCs w:val="0"/>
          <w:color w:val="auto"/>
          <w:sz w:val="28"/>
          <w:szCs w:val="28"/>
          <w:lang w:val="en-US" w:eastAsia="zh-CN"/>
        </w:rPr>
      </w:pPr>
      <w:r>
        <w:rPr>
          <w:rFonts w:hint="eastAsia" w:ascii="黑体" w:hAnsi="黑体" w:eastAsia="黑体" w:cs="黑体"/>
          <w:b w:val="0"/>
          <w:bCs w:val="0"/>
          <w:color w:val="auto"/>
          <w:sz w:val="28"/>
          <w:szCs w:val="28"/>
          <w:lang w:val="en-US" w:eastAsia="zh-CN"/>
        </w:rPr>
        <w:t>一、项目概况</w:t>
      </w:r>
    </w:p>
    <w:p w14:paraId="608C00B1">
      <w:pPr>
        <w:keepNext w:val="0"/>
        <w:keepLines w:val="0"/>
        <w:pageBreakBefore w:val="0"/>
        <w:widowControl w:val="0"/>
        <w:kinsoku/>
        <w:wordWrap/>
        <w:overflowPunct/>
        <w:topLinePunct w:val="0"/>
        <w:autoSpaceDE/>
        <w:autoSpaceDN/>
        <w:bidi w:val="0"/>
        <w:adjustRightInd w:val="0"/>
        <w:snapToGrid w:val="0"/>
        <w:spacing w:afterLines="0" w:line="500" w:lineRule="exact"/>
        <w:ind w:firstLine="560" w:firstLineChars="200"/>
        <w:textAlignment w:val="auto"/>
        <w:rPr>
          <w:rFonts w:hint="eastAsia"/>
          <w:lang w:val="en-US" w:eastAsia="zh-CN"/>
        </w:rPr>
      </w:pPr>
      <w:r>
        <w:rPr>
          <w:rFonts w:hint="eastAsia" w:ascii="仿宋_GB2312" w:hAnsi="仿宋_GB2312" w:eastAsia="仿宋_GB2312" w:cs="仿宋_GB2312"/>
          <w:b w:val="0"/>
          <w:bCs w:val="0"/>
          <w:color w:val="auto"/>
          <w:sz w:val="28"/>
          <w:szCs w:val="28"/>
          <w:lang w:val="en-US" w:eastAsia="zh-CN"/>
        </w:rPr>
        <w:t>1、项目名称：</w:t>
      </w:r>
      <w:r>
        <w:rPr>
          <w:rFonts w:hint="eastAsia" w:ascii="仿宋_GB2312" w:hAnsi="仿宋_GB2312" w:eastAsia="仿宋_GB2312" w:cs="仿宋_GB2312"/>
          <w:b w:val="0"/>
          <w:color w:val="auto"/>
          <w:sz w:val="28"/>
          <w:szCs w:val="28"/>
        </w:rPr>
        <w:t>四川九洲</w:t>
      </w:r>
      <w:r>
        <w:rPr>
          <w:rFonts w:hint="eastAsia" w:ascii="仿宋_GB2312" w:hAnsi="仿宋_GB2312" w:eastAsia="仿宋_GB2312" w:cs="仿宋_GB2312"/>
          <w:b w:val="0"/>
          <w:color w:val="auto"/>
          <w:sz w:val="28"/>
          <w:szCs w:val="28"/>
          <w:lang w:val="en-US" w:eastAsia="zh-CN"/>
        </w:rPr>
        <w:t>后勤服务</w:t>
      </w:r>
      <w:r>
        <w:rPr>
          <w:rFonts w:hint="eastAsia" w:ascii="仿宋_GB2312" w:hAnsi="仿宋_GB2312" w:eastAsia="仿宋_GB2312" w:cs="仿宋_GB2312"/>
          <w:b w:val="0"/>
          <w:color w:val="auto"/>
          <w:sz w:val="28"/>
          <w:szCs w:val="28"/>
        </w:rPr>
        <w:t>有限责任公司</w:t>
      </w:r>
      <w:r>
        <w:rPr>
          <w:rFonts w:hint="eastAsia" w:ascii="仿宋_GB2312" w:hAnsi="仿宋_GB2312" w:eastAsia="仿宋_GB2312" w:cs="仿宋_GB2312"/>
          <w:b w:val="0"/>
          <w:color w:val="auto"/>
          <w:sz w:val="28"/>
          <w:szCs w:val="28"/>
          <w:lang w:val="en-US" w:eastAsia="zh-CN"/>
        </w:rPr>
        <w:t>委托</w:t>
      </w:r>
      <w:r>
        <w:rPr>
          <w:rFonts w:hint="eastAsia" w:ascii="仿宋_GB2312" w:hAnsi="仿宋_GB2312" w:eastAsia="仿宋_GB2312" w:cs="仿宋_GB2312"/>
          <w:b w:val="0"/>
          <w:bCs w:val="0"/>
          <w:color w:val="auto"/>
          <w:sz w:val="28"/>
          <w:szCs w:val="28"/>
          <w:lang w:val="en-US" w:eastAsia="zh-CN"/>
        </w:rPr>
        <w:t>办理建筑相关资质。</w:t>
      </w:r>
    </w:p>
    <w:p w14:paraId="238029F0">
      <w:pPr>
        <w:keepNext w:val="0"/>
        <w:keepLines w:val="0"/>
        <w:pageBreakBefore w:val="0"/>
        <w:widowControl w:val="0"/>
        <w:kinsoku/>
        <w:wordWrap/>
        <w:overflowPunct/>
        <w:topLinePunct w:val="0"/>
        <w:autoSpaceDE/>
        <w:autoSpaceDN/>
        <w:bidi w:val="0"/>
        <w:adjustRightInd w:val="0"/>
        <w:snapToGrid w:val="0"/>
        <w:spacing w:afterLines="0" w:line="500" w:lineRule="exact"/>
        <w:ind w:firstLine="560" w:firstLineChars="200"/>
        <w:textAlignment w:val="auto"/>
        <w:rPr>
          <w:rFonts w:hint="eastAsia" w:ascii="仿宋_GB2312" w:hAnsi="仿宋_GB2312" w:eastAsia="仿宋_GB2312" w:cs="仿宋_GB2312"/>
          <w:b w:val="0"/>
          <w:bCs w:val="0"/>
          <w:color w:val="auto"/>
          <w:sz w:val="28"/>
          <w:szCs w:val="28"/>
          <w:lang w:val="en-US" w:eastAsia="zh-CN"/>
        </w:rPr>
      </w:pPr>
      <w:r>
        <w:rPr>
          <w:rFonts w:hint="eastAsia" w:ascii="仿宋_GB2312" w:hAnsi="仿宋_GB2312" w:eastAsia="仿宋_GB2312" w:cs="仿宋_GB2312"/>
          <w:b w:val="0"/>
          <w:bCs w:val="0"/>
          <w:color w:val="auto"/>
          <w:kern w:val="2"/>
          <w:sz w:val="28"/>
          <w:szCs w:val="28"/>
          <w:lang w:val="en-US" w:eastAsia="zh-CN" w:bidi="ar-SA"/>
        </w:rPr>
        <w:t>2、</w:t>
      </w:r>
      <w:r>
        <w:rPr>
          <w:rFonts w:hint="eastAsia" w:ascii="仿宋_GB2312" w:hAnsi="仿宋_GB2312" w:eastAsia="仿宋_GB2312" w:cs="仿宋_GB2312"/>
          <w:b w:val="0"/>
          <w:bCs w:val="0"/>
          <w:color w:val="auto"/>
          <w:sz w:val="28"/>
          <w:szCs w:val="28"/>
          <w:lang w:val="en-US" w:eastAsia="zh-CN"/>
        </w:rPr>
        <w:t>项目地点：绵阳市九华路6号。</w:t>
      </w:r>
    </w:p>
    <w:p w14:paraId="0A27D932">
      <w:pPr>
        <w:keepNext w:val="0"/>
        <w:keepLines w:val="0"/>
        <w:pageBreakBefore w:val="0"/>
        <w:widowControl w:val="0"/>
        <w:kinsoku/>
        <w:wordWrap/>
        <w:overflowPunct/>
        <w:topLinePunct w:val="0"/>
        <w:autoSpaceDE/>
        <w:autoSpaceDN/>
        <w:bidi w:val="0"/>
        <w:adjustRightInd w:val="0"/>
        <w:snapToGrid w:val="0"/>
        <w:spacing w:afterLines="0" w:line="500" w:lineRule="exact"/>
        <w:ind w:firstLine="560" w:firstLineChars="200"/>
        <w:textAlignment w:val="auto"/>
        <w:rPr>
          <w:rFonts w:hint="eastAsia" w:ascii="仿宋_GB2312" w:hAnsi="仿宋_GB2312" w:eastAsia="仿宋_GB2312" w:cs="仿宋_GB2312"/>
          <w:b w:val="0"/>
          <w:bCs w:val="0"/>
          <w:color w:val="auto"/>
          <w:sz w:val="28"/>
          <w:szCs w:val="28"/>
          <w:highlight w:val="yellow"/>
          <w:lang w:val="en-US" w:eastAsia="zh-CN"/>
        </w:rPr>
      </w:pPr>
      <w:r>
        <w:rPr>
          <w:rFonts w:hint="eastAsia" w:ascii="仿宋_GB2312" w:hAnsi="仿宋_GB2312" w:eastAsia="仿宋_GB2312" w:cs="仿宋_GB2312"/>
          <w:b w:val="0"/>
          <w:bCs w:val="0"/>
          <w:color w:val="auto"/>
          <w:sz w:val="28"/>
          <w:szCs w:val="28"/>
          <w:lang w:val="en-US" w:eastAsia="zh-CN"/>
        </w:rPr>
        <w:t>3、服务期限：</w:t>
      </w:r>
      <w:r>
        <w:rPr>
          <w:rFonts w:hint="eastAsia" w:ascii="仿宋_GB2312" w:hAnsi="仿宋_GB2312" w:eastAsia="仿宋_GB2312" w:cs="仿宋_GB2312"/>
          <w:b w:val="0"/>
          <w:bCs w:val="0"/>
          <w:color w:val="000000" w:themeColor="text1"/>
          <w:sz w:val="28"/>
          <w:szCs w:val="28"/>
          <w:lang w:val="en-US" w:eastAsia="zh-CN"/>
          <w14:textFill>
            <w14:solidFill>
              <w14:schemeClr w14:val="tx1"/>
            </w14:solidFill>
          </w14:textFill>
        </w:rPr>
        <w:t>合同签订后90日历天内完成</w:t>
      </w:r>
      <w:r>
        <w:rPr>
          <w:rFonts w:hint="eastAsia" w:ascii="仿宋_GB2312" w:hAnsi="仿宋_GB2312" w:eastAsia="仿宋_GB2312" w:cs="仿宋_GB2312"/>
          <w:b w:val="0"/>
          <w:bCs w:val="0"/>
          <w:color w:val="000000" w:themeColor="text1"/>
          <w:sz w:val="28"/>
          <w:szCs w:val="28"/>
          <w:highlight w:val="none"/>
          <w:lang w:val="en-US" w:eastAsia="zh-CN"/>
          <w14:textFill>
            <w14:solidFill>
              <w14:schemeClr w14:val="tx1"/>
            </w14:solidFill>
          </w14:textFill>
        </w:rPr>
        <w:t>。</w:t>
      </w:r>
      <w:bookmarkStart w:id="0" w:name="_GoBack"/>
      <w:bookmarkEnd w:id="0"/>
    </w:p>
    <w:p w14:paraId="437A71D4">
      <w:pPr>
        <w:keepNext w:val="0"/>
        <w:keepLines w:val="0"/>
        <w:pageBreakBefore w:val="0"/>
        <w:widowControl w:val="0"/>
        <w:kinsoku/>
        <w:overflowPunct/>
        <w:topLinePunct w:val="0"/>
        <w:autoSpaceDN/>
        <w:bidi w:val="0"/>
        <w:spacing w:line="500" w:lineRule="exact"/>
        <w:ind w:firstLine="641"/>
        <w:textAlignment w:val="auto"/>
        <w:rPr>
          <w:rFonts w:hint="eastAsia" w:ascii="黑体" w:hAnsi="黑体" w:eastAsia="黑体" w:cs="黑体"/>
          <w:b w:val="0"/>
          <w:bCs w:val="0"/>
          <w:color w:val="auto"/>
          <w:sz w:val="28"/>
          <w:szCs w:val="28"/>
          <w:lang w:val="en-US" w:eastAsia="zh-CN"/>
        </w:rPr>
      </w:pPr>
      <w:r>
        <w:rPr>
          <w:rFonts w:hint="eastAsia" w:ascii="黑体" w:hAnsi="黑体" w:eastAsia="黑体" w:cs="黑体"/>
          <w:b w:val="0"/>
          <w:bCs w:val="0"/>
          <w:color w:val="auto"/>
          <w:sz w:val="28"/>
          <w:szCs w:val="28"/>
          <w:lang w:val="en-US" w:eastAsia="zh-CN"/>
        </w:rPr>
        <w:t>二、谈判采购内容</w:t>
      </w:r>
    </w:p>
    <w:p w14:paraId="23BB8B5C">
      <w:pPr>
        <w:keepNext w:val="0"/>
        <w:keepLines w:val="0"/>
        <w:pageBreakBefore w:val="0"/>
        <w:widowControl w:val="0"/>
        <w:kinsoku/>
        <w:wordWrap/>
        <w:overflowPunct/>
        <w:topLinePunct w:val="0"/>
        <w:autoSpaceDE/>
        <w:autoSpaceDN/>
        <w:bidi w:val="0"/>
        <w:adjustRightInd w:val="0"/>
        <w:snapToGrid w:val="0"/>
        <w:spacing w:afterLines="0" w:line="500" w:lineRule="exact"/>
        <w:ind w:firstLine="560" w:firstLineChars="200"/>
        <w:textAlignment w:val="auto"/>
        <w:rPr>
          <w:rFonts w:hint="eastAsia" w:ascii="仿宋_GB2312" w:hAnsi="仿宋_GB2312" w:eastAsia="仿宋_GB2312" w:cs="仿宋_GB2312"/>
          <w:b w:val="0"/>
          <w:bCs w:val="0"/>
          <w:color w:val="auto"/>
          <w:sz w:val="28"/>
          <w:szCs w:val="28"/>
          <w:lang w:val="en-US" w:eastAsia="zh-CN"/>
        </w:rPr>
      </w:pPr>
      <w:r>
        <w:rPr>
          <w:rFonts w:hint="eastAsia" w:ascii="仿宋_GB2312" w:hAnsi="仿宋_GB2312" w:eastAsia="仿宋_GB2312" w:cs="仿宋_GB2312"/>
          <w:b w:val="0"/>
          <w:bCs w:val="0"/>
          <w:color w:val="auto"/>
          <w:sz w:val="28"/>
          <w:szCs w:val="28"/>
          <w:lang w:val="en-US" w:eastAsia="zh-CN"/>
        </w:rPr>
        <w:t>办理九洲后勤的建筑工程施工总承包二级资质。</w:t>
      </w:r>
    </w:p>
    <w:p w14:paraId="2998204E">
      <w:pPr>
        <w:keepNext w:val="0"/>
        <w:keepLines w:val="0"/>
        <w:pageBreakBefore w:val="0"/>
        <w:widowControl w:val="0"/>
        <w:kinsoku/>
        <w:wordWrap/>
        <w:overflowPunct/>
        <w:topLinePunct w:val="0"/>
        <w:autoSpaceDE/>
        <w:autoSpaceDN/>
        <w:bidi w:val="0"/>
        <w:adjustRightInd w:val="0"/>
        <w:snapToGrid w:val="0"/>
        <w:spacing w:afterLines="0" w:line="500" w:lineRule="exact"/>
        <w:ind w:firstLine="560" w:firstLineChars="200"/>
        <w:jc w:val="both"/>
        <w:textAlignment w:val="auto"/>
        <w:rPr>
          <w:rFonts w:hint="eastAsia" w:ascii="黑体" w:hAnsi="黑体" w:eastAsia="黑体" w:cs="黑体"/>
          <w:b w:val="0"/>
          <w:bCs w:val="0"/>
          <w:color w:val="auto"/>
          <w:sz w:val="28"/>
          <w:szCs w:val="28"/>
          <w:lang w:val="en-US" w:eastAsia="zh-CN"/>
        </w:rPr>
      </w:pPr>
      <w:r>
        <w:rPr>
          <w:rFonts w:hint="eastAsia" w:ascii="黑体" w:hAnsi="黑体" w:eastAsia="黑体" w:cs="黑体"/>
          <w:b w:val="0"/>
          <w:bCs w:val="0"/>
          <w:color w:val="auto"/>
          <w:sz w:val="28"/>
          <w:szCs w:val="28"/>
          <w:lang w:val="en-US" w:eastAsia="zh-CN"/>
        </w:rPr>
        <w:t>三、</w:t>
      </w:r>
      <w:r>
        <w:rPr>
          <w:rFonts w:hint="eastAsia" w:ascii="黑体" w:hAnsi="黑体" w:eastAsia="黑体" w:cs="黑体"/>
          <w:b w:val="0"/>
          <w:bCs/>
          <w:color w:val="auto"/>
          <w:sz w:val="28"/>
          <w:szCs w:val="28"/>
          <w:highlight w:val="none"/>
          <w:lang w:val="en-US" w:eastAsia="zh-CN"/>
        </w:rPr>
        <w:t>谈判采购申请人</w:t>
      </w:r>
      <w:r>
        <w:rPr>
          <w:rFonts w:hint="eastAsia" w:ascii="黑体" w:hAnsi="黑体" w:eastAsia="黑体" w:cs="黑体"/>
          <w:b w:val="0"/>
          <w:bCs w:val="0"/>
          <w:color w:val="auto"/>
          <w:sz w:val="28"/>
          <w:szCs w:val="28"/>
          <w:lang w:val="en-US" w:eastAsia="zh-CN"/>
        </w:rPr>
        <w:t>资质资格要求</w:t>
      </w:r>
    </w:p>
    <w:p w14:paraId="57AAC0AC">
      <w:pPr>
        <w:keepNext w:val="0"/>
        <w:keepLines w:val="0"/>
        <w:pageBreakBefore w:val="0"/>
        <w:widowControl w:val="0"/>
        <w:kinsoku/>
        <w:wordWrap/>
        <w:overflowPunct/>
        <w:topLinePunct w:val="0"/>
        <w:autoSpaceDE/>
        <w:autoSpaceDN/>
        <w:bidi w:val="0"/>
        <w:adjustRightInd w:val="0"/>
        <w:snapToGrid w:val="0"/>
        <w:spacing w:afterLines="0" w:line="500" w:lineRule="exact"/>
        <w:ind w:firstLine="560" w:firstLineChars="200"/>
        <w:jc w:val="both"/>
        <w:textAlignment w:val="auto"/>
        <w:rPr>
          <w:rFonts w:hint="eastAsia" w:ascii="仿宋_GB2312" w:hAnsi="仿宋_GB2312" w:eastAsia="仿宋_GB2312" w:cs="仿宋_GB2312"/>
          <w:b w:val="0"/>
          <w:bCs w:val="0"/>
          <w:color w:val="auto"/>
          <w:sz w:val="28"/>
          <w:szCs w:val="28"/>
          <w:lang w:val="en-US" w:eastAsia="zh-CN"/>
        </w:rPr>
      </w:pPr>
      <w:r>
        <w:rPr>
          <w:rFonts w:hint="eastAsia" w:ascii="仿宋_GB2312" w:hAnsi="仿宋_GB2312" w:eastAsia="仿宋_GB2312" w:cs="仿宋_GB2312"/>
          <w:b w:val="0"/>
          <w:bCs w:val="0"/>
          <w:color w:val="auto"/>
          <w:sz w:val="28"/>
          <w:szCs w:val="28"/>
          <w:lang w:val="en-US" w:eastAsia="zh-CN"/>
        </w:rPr>
        <w:t>1.</w:t>
      </w:r>
      <w:r>
        <w:rPr>
          <w:rFonts w:hint="eastAsia" w:ascii="仿宋_GB2312" w:hAnsi="仿宋_GB2312" w:eastAsia="仿宋_GB2312" w:cs="仿宋_GB2312"/>
          <w:color w:val="auto"/>
          <w:kern w:val="2"/>
          <w:sz w:val="28"/>
          <w:szCs w:val="28"/>
          <w:lang w:val="en-US" w:eastAsia="zh-CN" w:bidi="ar"/>
        </w:rPr>
        <w:t>在中华人民共和国境内合法注册，具有独立法人资格，具有独立承担民事责任的能力</w:t>
      </w:r>
      <w:r>
        <w:rPr>
          <w:rFonts w:hint="eastAsia" w:ascii="仿宋_GB2312" w:hAnsi="仿宋_GB2312" w:eastAsia="仿宋_GB2312" w:cs="仿宋_GB2312"/>
          <w:b w:val="0"/>
          <w:bCs w:val="0"/>
          <w:color w:val="auto"/>
          <w:sz w:val="28"/>
          <w:szCs w:val="28"/>
          <w:lang w:val="en-US" w:eastAsia="zh-CN"/>
        </w:rPr>
        <w:t>。</w:t>
      </w:r>
    </w:p>
    <w:p w14:paraId="1F63BAA5">
      <w:pPr>
        <w:keepNext w:val="0"/>
        <w:keepLines w:val="0"/>
        <w:pageBreakBefore w:val="0"/>
        <w:widowControl w:val="0"/>
        <w:kinsoku/>
        <w:wordWrap/>
        <w:overflowPunct/>
        <w:topLinePunct w:val="0"/>
        <w:autoSpaceDE/>
        <w:autoSpaceDN/>
        <w:bidi w:val="0"/>
        <w:adjustRightInd w:val="0"/>
        <w:snapToGrid w:val="0"/>
        <w:spacing w:afterLines="0" w:line="500" w:lineRule="exact"/>
        <w:ind w:firstLine="560" w:firstLineChars="200"/>
        <w:jc w:val="both"/>
        <w:textAlignment w:val="auto"/>
        <w:rPr>
          <w:rFonts w:hint="eastAsia" w:ascii="仿宋_GB2312" w:hAnsi="仿宋_GB2312" w:eastAsia="仿宋_GB2312" w:cs="仿宋_GB2312"/>
          <w:b w:val="0"/>
          <w:bCs w:val="0"/>
          <w:color w:val="auto"/>
          <w:sz w:val="28"/>
          <w:szCs w:val="28"/>
          <w:lang w:val="en-US" w:eastAsia="zh-CN"/>
        </w:rPr>
      </w:pPr>
      <w:r>
        <w:rPr>
          <w:rFonts w:hint="eastAsia" w:ascii="仿宋_GB2312" w:hAnsi="仿宋_GB2312" w:eastAsia="仿宋_GB2312" w:cs="仿宋_GB2312"/>
          <w:b w:val="0"/>
          <w:bCs w:val="0"/>
          <w:color w:val="auto"/>
          <w:sz w:val="28"/>
          <w:szCs w:val="28"/>
          <w:lang w:val="en-US" w:eastAsia="zh-CN"/>
        </w:rPr>
        <w:t>2.2023年以来，在经营活动中没有重大违法记录和行贿记录，没有受过刑事处分、行政处罚。其中，重大违法记录是指谈判采购申请人因违法经营受到刑事处罚或者责令停产停业、吊销许可证或者执照、较大数额罚款等行政处罚（较大数额罚款按照发出行政处罚决定书部门所在省级政府，或实行垂直领导的国务院有关行政主管部门制定的较大数额罚款标准，或罚款决定之前需要举行听证会的金额标准来认定）。</w:t>
      </w:r>
    </w:p>
    <w:p w14:paraId="49CF9401">
      <w:pPr>
        <w:keepNext w:val="0"/>
        <w:keepLines w:val="0"/>
        <w:pageBreakBefore w:val="0"/>
        <w:widowControl w:val="0"/>
        <w:kinsoku/>
        <w:wordWrap/>
        <w:overflowPunct/>
        <w:topLinePunct w:val="0"/>
        <w:autoSpaceDE/>
        <w:autoSpaceDN/>
        <w:bidi w:val="0"/>
        <w:adjustRightInd w:val="0"/>
        <w:snapToGrid w:val="0"/>
        <w:spacing w:afterLines="0" w:line="500" w:lineRule="exact"/>
        <w:ind w:firstLine="560" w:firstLineChars="200"/>
        <w:jc w:val="both"/>
        <w:textAlignment w:val="auto"/>
        <w:rPr>
          <w:rFonts w:hint="eastAsia" w:ascii="仿宋_GB2312" w:hAnsi="仿宋_GB2312" w:eastAsia="仿宋_GB2312" w:cs="仿宋_GB2312"/>
          <w:b w:val="0"/>
          <w:bCs w:val="0"/>
          <w:color w:val="auto"/>
          <w:sz w:val="28"/>
          <w:szCs w:val="28"/>
          <w:lang w:val="en-US" w:eastAsia="zh-CN"/>
        </w:rPr>
      </w:pPr>
      <w:r>
        <w:rPr>
          <w:rFonts w:hint="eastAsia" w:ascii="仿宋_GB2312" w:hAnsi="仿宋_GB2312" w:eastAsia="仿宋_GB2312" w:cs="仿宋_GB2312"/>
          <w:b w:val="0"/>
          <w:bCs w:val="0"/>
          <w:color w:val="auto"/>
          <w:sz w:val="28"/>
          <w:szCs w:val="28"/>
          <w:lang w:val="en-US" w:eastAsia="zh-CN"/>
        </w:rPr>
        <w:t>3.没有处于投标禁入期内。</w:t>
      </w:r>
    </w:p>
    <w:p w14:paraId="348DCFBE">
      <w:pPr>
        <w:keepNext w:val="0"/>
        <w:keepLines w:val="0"/>
        <w:pageBreakBefore w:val="0"/>
        <w:widowControl w:val="0"/>
        <w:kinsoku/>
        <w:wordWrap/>
        <w:overflowPunct/>
        <w:topLinePunct w:val="0"/>
        <w:autoSpaceDE/>
        <w:autoSpaceDN/>
        <w:bidi w:val="0"/>
        <w:adjustRightInd w:val="0"/>
        <w:snapToGrid w:val="0"/>
        <w:spacing w:afterLines="0" w:line="500" w:lineRule="exact"/>
        <w:ind w:firstLine="560" w:firstLineChars="200"/>
        <w:jc w:val="both"/>
        <w:textAlignment w:val="auto"/>
        <w:rPr>
          <w:rFonts w:hint="eastAsia" w:ascii="仿宋_GB2312" w:hAnsi="仿宋_GB2312" w:eastAsia="仿宋_GB2312" w:cs="仿宋_GB2312"/>
          <w:b w:val="0"/>
          <w:bCs w:val="0"/>
          <w:color w:val="auto"/>
          <w:sz w:val="28"/>
          <w:szCs w:val="28"/>
          <w:lang w:val="en-US" w:eastAsia="zh-CN"/>
        </w:rPr>
      </w:pPr>
      <w:r>
        <w:rPr>
          <w:rFonts w:hint="eastAsia" w:ascii="仿宋_GB2312" w:hAnsi="仿宋_GB2312" w:eastAsia="仿宋_GB2312" w:cs="仿宋_GB2312"/>
          <w:b w:val="0"/>
          <w:bCs w:val="0"/>
          <w:color w:val="auto"/>
          <w:sz w:val="28"/>
          <w:szCs w:val="28"/>
          <w:lang w:val="en-US" w:eastAsia="zh-CN"/>
        </w:rPr>
        <w:t>4.不得被“信用中国”网站（www.creditchina.gov.cn）</w:t>
      </w:r>
      <w:r>
        <w:rPr>
          <w:rFonts w:hint="eastAsia" w:ascii="仿宋_GB2312" w:hAnsi="仿宋_GB2312" w:eastAsia="仿宋_GB2312" w:cs="仿宋_GB2312"/>
          <w:color w:val="auto"/>
          <w:sz w:val="28"/>
          <w:szCs w:val="28"/>
          <w:lang w:eastAsia="zh-CN"/>
        </w:rPr>
        <w:t>、</w:t>
      </w:r>
      <w:r>
        <w:rPr>
          <w:rFonts w:hint="eastAsia" w:ascii="仿宋_GB2312" w:hAnsi="仿宋_GB2312" w:eastAsia="仿宋_GB2312" w:cs="仿宋_GB2312"/>
          <w:b w:val="0"/>
          <w:bCs w:val="0"/>
          <w:color w:val="auto"/>
          <w:sz w:val="28"/>
          <w:szCs w:val="28"/>
          <w:u w:val="none"/>
          <w:lang w:val="en-US" w:eastAsia="zh-CN"/>
        </w:rPr>
        <w:t>“国家税务总局”网站(www.chinatax.gov.cn)、</w:t>
      </w:r>
      <w:r>
        <w:rPr>
          <w:rFonts w:hint="eastAsia" w:ascii="仿宋_GB2312" w:hAnsi="仿宋_GB2312" w:eastAsia="仿宋_GB2312" w:cs="仿宋_GB2312"/>
          <w:color w:val="auto"/>
          <w:sz w:val="28"/>
          <w:szCs w:val="28"/>
          <w:lang w:eastAsia="zh-CN"/>
        </w:rPr>
        <w:t>“中国政府采购网”网站（www.ccgp.gov.cn）</w:t>
      </w:r>
      <w:r>
        <w:rPr>
          <w:rFonts w:hint="eastAsia" w:ascii="仿宋_GB2312" w:hAnsi="仿宋_GB2312" w:eastAsia="仿宋_GB2312" w:cs="仿宋_GB2312"/>
          <w:color w:val="auto"/>
          <w:sz w:val="28"/>
          <w:szCs w:val="28"/>
          <w:lang w:val="en-US" w:eastAsia="zh-CN"/>
        </w:rPr>
        <w:t>等</w:t>
      </w:r>
      <w:r>
        <w:rPr>
          <w:rFonts w:hint="eastAsia" w:ascii="仿宋_GB2312" w:hAnsi="仿宋_GB2312" w:eastAsia="仿宋_GB2312" w:cs="仿宋_GB2312"/>
          <w:b w:val="0"/>
          <w:bCs w:val="0"/>
          <w:color w:val="auto"/>
          <w:sz w:val="28"/>
          <w:szCs w:val="28"/>
          <w:lang w:val="en-US" w:eastAsia="zh-CN"/>
        </w:rPr>
        <w:t>列入失信被执行人、重大税收违法案件当事人名单</w:t>
      </w:r>
      <w:r>
        <w:rPr>
          <w:rFonts w:hint="eastAsia" w:ascii="仿宋_GB2312" w:hAnsi="仿宋_GB2312" w:eastAsia="仿宋_GB2312" w:cs="仿宋_GB2312"/>
          <w:color w:val="auto"/>
          <w:sz w:val="28"/>
          <w:szCs w:val="28"/>
          <w:lang w:eastAsia="zh-CN"/>
        </w:rPr>
        <w:t>、政府采购严重违法失信行为记录名单。</w:t>
      </w:r>
      <w:r>
        <w:rPr>
          <w:rFonts w:hint="eastAsia" w:ascii="仿宋_GB2312" w:hAnsi="仿宋_GB2312" w:eastAsia="仿宋_GB2312" w:cs="仿宋_GB2312"/>
          <w:b w:val="0"/>
          <w:bCs w:val="0"/>
          <w:color w:val="auto"/>
          <w:sz w:val="28"/>
          <w:szCs w:val="28"/>
          <w:lang w:val="en-US" w:eastAsia="zh-CN"/>
        </w:rPr>
        <w:t>信用信息截止时点为谈判采购当日。</w:t>
      </w:r>
    </w:p>
    <w:p w14:paraId="7BB20219">
      <w:pPr>
        <w:keepNext w:val="0"/>
        <w:keepLines w:val="0"/>
        <w:pageBreakBefore w:val="0"/>
        <w:widowControl w:val="0"/>
        <w:kinsoku/>
        <w:wordWrap/>
        <w:overflowPunct/>
        <w:topLinePunct w:val="0"/>
        <w:autoSpaceDE/>
        <w:autoSpaceDN/>
        <w:bidi w:val="0"/>
        <w:adjustRightInd w:val="0"/>
        <w:snapToGrid w:val="0"/>
        <w:spacing w:afterLines="0" w:line="500" w:lineRule="exact"/>
        <w:ind w:firstLine="560" w:firstLineChars="200"/>
        <w:jc w:val="both"/>
        <w:textAlignment w:val="auto"/>
        <w:rPr>
          <w:rFonts w:hint="eastAsia" w:ascii="仿宋_GB2312" w:hAnsi="仿宋_GB2312" w:eastAsia="仿宋_GB2312" w:cs="仿宋_GB2312"/>
          <w:b w:val="0"/>
          <w:bCs w:val="0"/>
          <w:color w:val="auto"/>
          <w:sz w:val="28"/>
          <w:szCs w:val="28"/>
          <w:lang w:val="en-US" w:eastAsia="zh-CN"/>
        </w:rPr>
      </w:pPr>
      <w:r>
        <w:rPr>
          <w:rFonts w:hint="eastAsia" w:ascii="仿宋_GB2312" w:hAnsi="仿宋_GB2312" w:eastAsia="仿宋_GB2312" w:cs="仿宋_GB2312"/>
          <w:b w:val="0"/>
          <w:bCs w:val="0"/>
          <w:color w:val="auto"/>
          <w:sz w:val="28"/>
          <w:szCs w:val="28"/>
          <w:lang w:val="en-US" w:eastAsia="zh-CN"/>
        </w:rPr>
        <w:t>5.本项目拒绝联合体。</w:t>
      </w:r>
    </w:p>
    <w:p w14:paraId="60CE3A18">
      <w:pPr>
        <w:keepNext w:val="0"/>
        <w:keepLines w:val="0"/>
        <w:pageBreakBefore w:val="0"/>
        <w:widowControl w:val="0"/>
        <w:kinsoku/>
        <w:wordWrap/>
        <w:overflowPunct/>
        <w:topLinePunct w:val="0"/>
        <w:autoSpaceDE/>
        <w:autoSpaceDN/>
        <w:bidi w:val="0"/>
        <w:adjustRightInd w:val="0"/>
        <w:snapToGrid w:val="0"/>
        <w:spacing w:afterLines="0" w:line="500" w:lineRule="exact"/>
        <w:ind w:firstLine="560" w:firstLineChars="200"/>
        <w:jc w:val="both"/>
        <w:textAlignment w:val="auto"/>
      </w:pPr>
      <w:r>
        <w:rPr>
          <w:rFonts w:hint="eastAsia" w:ascii="仿宋_GB2312" w:hAnsi="仿宋_GB2312" w:eastAsia="仿宋_GB2312" w:cs="仿宋_GB2312"/>
          <w:b w:val="0"/>
          <w:bCs w:val="0"/>
          <w:color w:val="auto"/>
          <w:sz w:val="28"/>
          <w:szCs w:val="28"/>
          <w:lang w:val="en-US" w:eastAsia="zh-CN"/>
        </w:rPr>
        <w:t>6.单位负责人为同一人或者存在控股（含法定代表人控股）、管理关系的不同单位，不得同时参加本次谈判采购。</w:t>
      </w:r>
    </w:p>
    <w:p w14:paraId="4D9D8719">
      <w:pPr>
        <w:pStyle w:val="8"/>
        <w:keepNext w:val="0"/>
        <w:keepLines w:val="0"/>
        <w:pageBreakBefore w:val="0"/>
        <w:widowControl w:val="0"/>
        <w:kinsoku/>
        <w:overflowPunct/>
        <w:topLinePunct w:val="0"/>
        <w:autoSpaceDN/>
        <w:bidi w:val="0"/>
        <w:spacing w:line="500" w:lineRule="exact"/>
        <w:ind w:firstLine="560" w:firstLineChars="200"/>
        <w:textAlignment w:val="auto"/>
        <w:rPr>
          <w:rFonts w:hint="eastAsia"/>
          <w:lang w:val="en-US" w:eastAsia="zh-CN"/>
        </w:rPr>
      </w:pPr>
      <w:r>
        <w:rPr>
          <w:rFonts w:hint="eastAsia" w:ascii="仿宋_GB2312" w:hAnsi="仿宋_GB2312" w:eastAsia="仿宋_GB2312" w:cs="仿宋_GB2312"/>
          <w:color w:val="auto"/>
          <w:kern w:val="2"/>
          <w:sz w:val="28"/>
          <w:szCs w:val="28"/>
          <w:lang w:val="en-US" w:eastAsia="zh-CN" w:bidi="ar-SA"/>
        </w:rPr>
        <w:t>7.有依法缴纳税收和社会保障资金的良好记录。</w:t>
      </w:r>
    </w:p>
    <w:p w14:paraId="405FACA1">
      <w:pPr>
        <w:keepNext w:val="0"/>
        <w:keepLines w:val="0"/>
        <w:pageBreakBefore w:val="0"/>
        <w:widowControl w:val="0"/>
        <w:kinsoku/>
        <w:wordWrap/>
        <w:overflowPunct/>
        <w:topLinePunct w:val="0"/>
        <w:autoSpaceDE/>
        <w:autoSpaceDN/>
        <w:bidi w:val="0"/>
        <w:adjustRightInd w:val="0"/>
        <w:snapToGrid w:val="0"/>
        <w:spacing w:afterLines="0" w:line="500" w:lineRule="exact"/>
        <w:ind w:firstLine="560" w:firstLineChars="200"/>
        <w:jc w:val="both"/>
        <w:textAlignment w:val="auto"/>
        <w:rPr>
          <w:rFonts w:hint="default" w:ascii="黑体" w:hAnsi="黑体" w:eastAsia="黑体" w:cs="黑体"/>
          <w:b w:val="0"/>
          <w:bCs w:val="0"/>
          <w:color w:val="auto"/>
          <w:sz w:val="28"/>
          <w:szCs w:val="28"/>
          <w:lang w:val="en-US" w:eastAsia="zh-CN"/>
        </w:rPr>
      </w:pPr>
      <w:r>
        <w:rPr>
          <w:rFonts w:hint="eastAsia" w:ascii="黑体" w:hAnsi="黑体" w:eastAsia="黑体" w:cs="黑体"/>
          <w:b w:val="0"/>
          <w:bCs w:val="0"/>
          <w:color w:val="auto"/>
          <w:sz w:val="28"/>
          <w:szCs w:val="28"/>
          <w:lang w:val="en-US" w:eastAsia="zh-CN"/>
        </w:rPr>
        <w:t>四、</w:t>
      </w:r>
      <w:r>
        <w:rPr>
          <w:rFonts w:hint="eastAsia" w:ascii="黑体" w:hAnsi="黑体" w:eastAsia="黑体" w:cs="黑体"/>
          <w:b w:val="0"/>
          <w:bCs/>
          <w:color w:val="auto"/>
          <w:sz w:val="28"/>
          <w:szCs w:val="28"/>
          <w:highlight w:val="none"/>
          <w:lang w:val="en-US" w:eastAsia="zh-CN"/>
        </w:rPr>
        <w:t>谈判采购须知</w:t>
      </w:r>
    </w:p>
    <w:p w14:paraId="55DF17E6">
      <w:pPr>
        <w:keepNext w:val="0"/>
        <w:keepLines w:val="0"/>
        <w:pageBreakBefore w:val="0"/>
        <w:widowControl w:val="0"/>
        <w:kinsoku/>
        <w:wordWrap/>
        <w:overflowPunct/>
        <w:topLinePunct w:val="0"/>
        <w:autoSpaceDE/>
        <w:autoSpaceDN/>
        <w:bidi w:val="0"/>
        <w:adjustRightInd w:val="0"/>
        <w:snapToGrid w:val="0"/>
        <w:spacing w:afterLines="0" w:line="500" w:lineRule="exact"/>
        <w:ind w:firstLine="560" w:firstLineChars="200"/>
        <w:jc w:val="both"/>
        <w:textAlignment w:val="auto"/>
        <w:rPr>
          <w:rFonts w:hint="eastAsia" w:ascii="仿宋_GB2312" w:hAnsi="仿宋_GB2312" w:eastAsia="仿宋_GB2312" w:cs="仿宋_GB2312"/>
          <w:b w:val="0"/>
          <w:bCs w:val="0"/>
          <w:color w:val="auto"/>
          <w:sz w:val="28"/>
          <w:szCs w:val="28"/>
          <w:lang w:val="en-US" w:eastAsia="zh-CN"/>
        </w:rPr>
      </w:pPr>
      <w:r>
        <w:rPr>
          <w:rFonts w:hint="eastAsia" w:ascii="仿宋_GB2312" w:hAnsi="仿宋_GB2312" w:eastAsia="仿宋_GB2312" w:cs="仿宋_GB2312"/>
          <w:b w:val="0"/>
          <w:bCs w:val="0"/>
          <w:color w:val="auto"/>
          <w:sz w:val="28"/>
          <w:szCs w:val="28"/>
          <w:lang w:val="en-US" w:eastAsia="zh-CN"/>
        </w:rPr>
        <w:t>参加此次谈判采购需缴纳谈判采购保证金，具体详见《</w:t>
      </w:r>
      <w:r>
        <w:rPr>
          <w:rFonts w:hint="eastAsia" w:ascii="仿宋_GB2312" w:hAnsi="仿宋_GB2312" w:eastAsia="仿宋_GB2312" w:cs="仿宋_GB2312"/>
          <w:b w:val="0"/>
          <w:color w:val="auto"/>
          <w:sz w:val="28"/>
          <w:szCs w:val="28"/>
        </w:rPr>
        <w:t>四川九洲</w:t>
      </w:r>
      <w:r>
        <w:rPr>
          <w:rFonts w:hint="eastAsia" w:ascii="仿宋_GB2312" w:hAnsi="仿宋_GB2312" w:eastAsia="仿宋_GB2312" w:cs="仿宋_GB2312"/>
          <w:b w:val="0"/>
          <w:color w:val="auto"/>
          <w:sz w:val="28"/>
          <w:szCs w:val="28"/>
          <w:lang w:val="en-US" w:eastAsia="zh-CN"/>
        </w:rPr>
        <w:t>后勤服务</w:t>
      </w:r>
      <w:r>
        <w:rPr>
          <w:rFonts w:hint="eastAsia" w:ascii="仿宋_GB2312" w:hAnsi="仿宋_GB2312" w:eastAsia="仿宋_GB2312" w:cs="仿宋_GB2312"/>
          <w:b w:val="0"/>
          <w:color w:val="auto"/>
          <w:sz w:val="28"/>
          <w:szCs w:val="28"/>
        </w:rPr>
        <w:t>有限责任公司</w:t>
      </w:r>
      <w:r>
        <w:rPr>
          <w:rFonts w:hint="eastAsia" w:ascii="仿宋_GB2312" w:hAnsi="仿宋_GB2312" w:eastAsia="仿宋_GB2312" w:cs="仿宋_GB2312"/>
          <w:b w:val="0"/>
          <w:color w:val="auto"/>
          <w:sz w:val="28"/>
          <w:szCs w:val="28"/>
          <w:lang w:val="en-US" w:eastAsia="zh-CN"/>
        </w:rPr>
        <w:t>委托</w:t>
      </w:r>
      <w:r>
        <w:rPr>
          <w:rFonts w:hint="eastAsia" w:ascii="仿宋_GB2312" w:hAnsi="仿宋_GB2312" w:eastAsia="仿宋_GB2312" w:cs="仿宋_GB2312"/>
          <w:b w:val="0"/>
          <w:bCs w:val="0"/>
          <w:color w:val="auto"/>
          <w:sz w:val="28"/>
          <w:szCs w:val="28"/>
          <w:lang w:val="en-US" w:eastAsia="zh-CN"/>
        </w:rPr>
        <w:t>办理建筑相关资质事项谈判采购</w:t>
      </w:r>
      <w:r>
        <w:rPr>
          <w:rFonts w:hint="eastAsia" w:ascii="仿宋_GB2312" w:hAnsi="仿宋_GB2312" w:eastAsia="仿宋_GB2312" w:cs="仿宋_GB2312"/>
          <w:color w:val="auto"/>
          <w:spacing w:val="0"/>
          <w:sz w:val="28"/>
          <w:szCs w:val="28"/>
          <w:highlight w:val="none"/>
          <w:lang w:val="en-US" w:eastAsia="zh-CN"/>
        </w:rPr>
        <w:t>文件</w:t>
      </w:r>
      <w:r>
        <w:rPr>
          <w:rFonts w:hint="eastAsia" w:ascii="仿宋_GB2312" w:hAnsi="仿宋_GB2312" w:eastAsia="仿宋_GB2312" w:cs="仿宋_GB2312"/>
          <w:b w:val="0"/>
          <w:bCs w:val="0"/>
          <w:color w:val="auto"/>
          <w:sz w:val="28"/>
          <w:szCs w:val="28"/>
          <w:lang w:val="en-US" w:eastAsia="zh-CN"/>
        </w:rPr>
        <w:t>》要求，逾期缴纳、未缴纳保证金的视为不参与本次谈判采购。</w:t>
      </w:r>
    </w:p>
    <w:p w14:paraId="0035F9F4">
      <w:pPr>
        <w:keepNext w:val="0"/>
        <w:keepLines w:val="0"/>
        <w:pageBreakBefore w:val="0"/>
        <w:widowControl w:val="0"/>
        <w:kinsoku/>
        <w:wordWrap/>
        <w:overflowPunct/>
        <w:topLinePunct w:val="0"/>
        <w:autoSpaceDE/>
        <w:autoSpaceDN/>
        <w:bidi w:val="0"/>
        <w:adjustRightInd w:val="0"/>
        <w:snapToGrid w:val="0"/>
        <w:spacing w:afterLines="0" w:line="500" w:lineRule="exact"/>
        <w:ind w:firstLine="560" w:firstLineChars="200"/>
        <w:jc w:val="both"/>
        <w:textAlignment w:val="auto"/>
        <w:rPr>
          <w:rFonts w:hint="eastAsia" w:ascii="黑体" w:hAnsi="黑体" w:eastAsia="黑体" w:cs="黑体"/>
          <w:b w:val="0"/>
          <w:bCs w:val="0"/>
          <w:color w:val="auto"/>
          <w:sz w:val="28"/>
          <w:szCs w:val="28"/>
          <w:lang w:val="en-US" w:eastAsia="zh-CN"/>
        </w:rPr>
      </w:pPr>
      <w:r>
        <w:rPr>
          <w:rFonts w:hint="eastAsia" w:ascii="黑体" w:hAnsi="黑体" w:eastAsia="黑体" w:cs="黑体"/>
          <w:b w:val="0"/>
          <w:bCs w:val="0"/>
          <w:color w:val="auto"/>
          <w:sz w:val="28"/>
          <w:szCs w:val="28"/>
          <w:lang w:val="en-US" w:eastAsia="zh-CN"/>
        </w:rPr>
        <w:t>五、评审方式：</w:t>
      </w:r>
    </w:p>
    <w:p w14:paraId="40134F17">
      <w:pPr>
        <w:keepNext w:val="0"/>
        <w:keepLines w:val="0"/>
        <w:pageBreakBefore w:val="0"/>
        <w:widowControl w:val="0"/>
        <w:kinsoku/>
        <w:wordWrap/>
        <w:overflowPunct/>
        <w:topLinePunct w:val="0"/>
        <w:autoSpaceDE/>
        <w:autoSpaceDN/>
        <w:bidi w:val="0"/>
        <w:adjustRightInd w:val="0"/>
        <w:snapToGrid w:val="0"/>
        <w:spacing w:afterLines="0" w:line="500" w:lineRule="exact"/>
        <w:ind w:firstLine="560" w:firstLineChars="200"/>
        <w:jc w:val="both"/>
        <w:textAlignment w:val="auto"/>
        <w:rPr>
          <w:rFonts w:hint="eastAsia" w:ascii="仿宋_GB2312" w:hAnsi="仿宋_GB2312" w:eastAsia="仿宋_GB2312" w:cs="仿宋_GB2312"/>
          <w:b w:val="0"/>
          <w:bCs w:val="0"/>
          <w:color w:val="auto"/>
          <w:sz w:val="28"/>
          <w:szCs w:val="28"/>
          <w:lang w:val="en-US" w:eastAsia="zh-CN"/>
        </w:rPr>
      </w:pPr>
      <w:r>
        <w:rPr>
          <w:rFonts w:hint="eastAsia" w:ascii="仿宋_GB2312" w:hAnsi="仿宋_GB2312" w:eastAsia="仿宋_GB2312" w:cs="仿宋_GB2312"/>
          <w:sz w:val="28"/>
          <w:szCs w:val="28"/>
          <w:lang w:eastAsia="zh-CN"/>
        </w:rPr>
        <w:t>本次评</w:t>
      </w:r>
      <w:r>
        <w:rPr>
          <w:rFonts w:hint="eastAsia" w:ascii="仿宋_GB2312" w:hAnsi="仿宋_GB2312" w:eastAsia="仿宋_GB2312" w:cs="仿宋_GB2312"/>
          <w:sz w:val="28"/>
          <w:szCs w:val="28"/>
          <w:lang w:val="en-US" w:eastAsia="zh-CN"/>
        </w:rPr>
        <w:t>审</w:t>
      </w:r>
      <w:r>
        <w:rPr>
          <w:rFonts w:hint="eastAsia" w:ascii="仿宋_GB2312" w:hAnsi="仿宋_GB2312" w:eastAsia="仿宋_GB2312" w:cs="仿宋_GB2312"/>
          <w:sz w:val="28"/>
          <w:szCs w:val="28"/>
          <w:lang w:eastAsia="zh-CN"/>
        </w:rPr>
        <w:t>采用</w:t>
      </w:r>
      <w:r>
        <w:rPr>
          <w:rFonts w:hint="eastAsia" w:ascii="仿宋_GB2312" w:hAnsi="仿宋_GB2312" w:eastAsia="仿宋_GB2312" w:cs="仿宋_GB2312"/>
          <w:b/>
          <w:color w:val="auto"/>
          <w:sz w:val="28"/>
          <w:szCs w:val="28"/>
          <w:u w:val="single"/>
          <w:lang w:val="en-US" w:eastAsia="zh-CN"/>
        </w:rPr>
        <w:t>综合评分法</w:t>
      </w:r>
      <w:r>
        <w:rPr>
          <w:rFonts w:hint="eastAsia" w:ascii="宋体" w:hAnsi="宋体"/>
          <w:b w:val="0"/>
          <w:bCs/>
          <w:color w:val="auto"/>
          <w:sz w:val="24"/>
          <w:u w:val="none"/>
          <w:lang w:val="en-US" w:eastAsia="zh-CN"/>
        </w:rPr>
        <w:t>，</w:t>
      </w:r>
      <w:r>
        <w:rPr>
          <w:rFonts w:hint="eastAsia" w:ascii="仿宋_GB2312" w:hAnsi="仿宋_GB2312" w:eastAsia="仿宋_GB2312" w:cs="仿宋_GB2312"/>
          <w:sz w:val="28"/>
          <w:szCs w:val="28"/>
          <w:lang w:val="en-US" w:eastAsia="zh-CN"/>
        </w:rPr>
        <w:t>总分为100分，最终评分的取值按四舍五入法，保留2位小数</w:t>
      </w:r>
      <w:r>
        <w:rPr>
          <w:rFonts w:hint="eastAsia" w:ascii="仿宋_GB2312" w:hAnsi="仿宋_GB2312" w:eastAsia="仿宋_GB2312" w:cs="仿宋_GB2312"/>
          <w:sz w:val="28"/>
          <w:szCs w:val="28"/>
          <w:lang w:eastAsia="zh-CN"/>
        </w:rPr>
        <w:t>。</w:t>
      </w:r>
      <w:r>
        <w:rPr>
          <w:rFonts w:hint="eastAsia" w:ascii="仿宋_GB2312" w:hAnsi="仿宋_GB2312" w:eastAsia="仿宋_GB2312" w:cs="仿宋_GB2312"/>
          <w:color w:val="auto"/>
          <w:sz w:val="28"/>
          <w:szCs w:val="28"/>
          <w:lang w:val="en-US" w:eastAsia="zh-CN"/>
        </w:rPr>
        <w:t>详见</w:t>
      </w:r>
      <w:r>
        <w:rPr>
          <w:rFonts w:hint="eastAsia" w:ascii="仿宋_GB2312" w:hAnsi="仿宋_GB2312" w:eastAsia="仿宋_GB2312" w:cs="仿宋_GB2312"/>
          <w:b w:val="0"/>
          <w:bCs w:val="0"/>
          <w:color w:val="auto"/>
          <w:sz w:val="28"/>
          <w:szCs w:val="28"/>
          <w:lang w:val="en-US" w:eastAsia="zh-CN"/>
        </w:rPr>
        <w:t>《</w:t>
      </w:r>
      <w:r>
        <w:rPr>
          <w:rFonts w:hint="eastAsia" w:ascii="仿宋_GB2312" w:hAnsi="仿宋_GB2312" w:eastAsia="仿宋_GB2312" w:cs="仿宋_GB2312"/>
          <w:b w:val="0"/>
          <w:color w:val="auto"/>
          <w:sz w:val="28"/>
          <w:szCs w:val="28"/>
        </w:rPr>
        <w:t>四川九洲</w:t>
      </w:r>
      <w:r>
        <w:rPr>
          <w:rFonts w:hint="eastAsia" w:ascii="仿宋_GB2312" w:hAnsi="仿宋_GB2312" w:eastAsia="仿宋_GB2312" w:cs="仿宋_GB2312"/>
          <w:b w:val="0"/>
          <w:color w:val="auto"/>
          <w:sz w:val="28"/>
          <w:szCs w:val="28"/>
          <w:lang w:val="en-US" w:eastAsia="zh-CN"/>
        </w:rPr>
        <w:t>后勤服务</w:t>
      </w:r>
      <w:r>
        <w:rPr>
          <w:rFonts w:hint="eastAsia" w:ascii="仿宋_GB2312" w:hAnsi="仿宋_GB2312" w:eastAsia="仿宋_GB2312" w:cs="仿宋_GB2312"/>
          <w:b w:val="0"/>
          <w:color w:val="auto"/>
          <w:sz w:val="28"/>
          <w:szCs w:val="28"/>
        </w:rPr>
        <w:t>有限责任公司</w:t>
      </w:r>
      <w:r>
        <w:rPr>
          <w:rFonts w:hint="eastAsia" w:ascii="仿宋_GB2312" w:hAnsi="仿宋_GB2312" w:eastAsia="仿宋_GB2312" w:cs="仿宋_GB2312"/>
          <w:b w:val="0"/>
          <w:color w:val="auto"/>
          <w:sz w:val="28"/>
          <w:szCs w:val="28"/>
          <w:lang w:val="en-US" w:eastAsia="zh-CN"/>
        </w:rPr>
        <w:t>委托</w:t>
      </w:r>
      <w:r>
        <w:rPr>
          <w:rFonts w:hint="eastAsia" w:ascii="仿宋_GB2312" w:hAnsi="仿宋_GB2312" w:eastAsia="仿宋_GB2312" w:cs="仿宋_GB2312"/>
          <w:b w:val="0"/>
          <w:bCs w:val="0"/>
          <w:color w:val="auto"/>
          <w:sz w:val="28"/>
          <w:szCs w:val="28"/>
          <w:lang w:val="en-US" w:eastAsia="zh-CN"/>
        </w:rPr>
        <w:t>办理建筑相关资质事项谈判采购</w:t>
      </w:r>
      <w:r>
        <w:rPr>
          <w:rFonts w:hint="eastAsia" w:ascii="仿宋_GB2312" w:hAnsi="仿宋_GB2312" w:eastAsia="仿宋_GB2312" w:cs="仿宋_GB2312"/>
          <w:color w:val="auto"/>
          <w:spacing w:val="0"/>
          <w:sz w:val="28"/>
          <w:szCs w:val="28"/>
          <w:lang w:val="en-US" w:eastAsia="zh-CN"/>
        </w:rPr>
        <w:t>文件</w:t>
      </w:r>
      <w:r>
        <w:rPr>
          <w:rFonts w:hint="eastAsia" w:ascii="仿宋_GB2312" w:hAnsi="仿宋_GB2312" w:eastAsia="仿宋_GB2312" w:cs="仿宋_GB2312"/>
          <w:b w:val="0"/>
          <w:bCs w:val="0"/>
          <w:color w:val="auto"/>
          <w:sz w:val="28"/>
          <w:szCs w:val="28"/>
          <w:lang w:val="en-US" w:eastAsia="zh-CN"/>
        </w:rPr>
        <w:t>》</w:t>
      </w:r>
      <w:r>
        <w:rPr>
          <w:rFonts w:hint="eastAsia" w:ascii="仿宋_GB2312" w:hAnsi="仿宋_GB2312" w:eastAsia="仿宋_GB2312" w:cs="仿宋_GB2312"/>
          <w:b w:val="0"/>
          <w:bCs w:val="0"/>
          <w:color w:val="auto"/>
          <w:kern w:val="2"/>
          <w:sz w:val="28"/>
          <w:szCs w:val="28"/>
        </w:rPr>
        <w:t>第</w:t>
      </w:r>
      <w:r>
        <w:rPr>
          <w:rFonts w:hint="eastAsia" w:ascii="仿宋_GB2312" w:hAnsi="仿宋_GB2312" w:eastAsia="仿宋_GB2312" w:cs="仿宋_GB2312"/>
          <w:b w:val="0"/>
          <w:bCs w:val="0"/>
          <w:color w:val="auto"/>
          <w:kern w:val="2"/>
          <w:sz w:val="28"/>
          <w:szCs w:val="28"/>
          <w:lang w:val="en-US" w:eastAsia="zh-CN"/>
        </w:rPr>
        <w:t>二</w:t>
      </w:r>
      <w:r>
        <w:rPr>
          <w:rFonts w:hint="eastAsia" w:ascii="仿宋_GB2312" w:hAnsi="仿宋_GB2312" w:eastAsia="仿宋_GB2312" w:cs="仿宋_GB2312"/>
          <w:b w:val="0"/>
          <w:bCs w:val="0"/>
          <w:color w:val="auto"/>
          <w:kern w:val="2"/>
          <w:sz w:val="28"/>
          <w:szCs w:val="28"/>
        </w:rPr>
        <w:t>章评审办法</w:t>
      </w:r>
      <w:r>
        <w:rPr>
          <w:rFonts w:hint="eastAsia" w:ascii="仿宋_GB2312" w:hAnsi="仿宋_GB2312" w:eastAsia="仿宋_GB2312" w:cs="仿宋_GB2312"/>
          <w:b w:val="0"/>
          <w:bCs w:val="0"/>
          <w:color w:val="auto"/>
          <w:kern w:val="2"/>
          <w:sz w:val="28"/>
          <w:szCs w:val="28"/>
          <w:lang w:eastAsia="zh-CN"/>
        </w:rPr>
        <w:t>。</w:t>
      </w:r>
    </w:p>
    <w:p w14:paraId="0A885745">
      <w:pPr>
        <w:keepNext w:val="0"/>
        <w:keepLines w:val="0"/>
        <w:pageBreakBefore w:val="0"/>
        <w:widowControl w:val="0"/>
        <w:kinsoku/>
        <w:wordWrap/>
        <w:overflowPunct/>
        <w:topLinePunct w:val="0"/>
        <w:autoSpaceDE/>
        <w:autoSpaceDN/>
        <w:bidi w:val="0"/>
        <w:adjustRightInd w:val="0"/>
        <w:snapToGrid w:val="0"/>
        <w:spacing w:afterLines="0" w:line="500" w:lineRule="exact"/>
        <w:ind w:firstLine="560" w:firstLineChars="200"/>
        <w:jc w:val="both"/>
        <w:textAlignment w:val="auto"/>
        <w:rPr>
          <w:rFonts w:hint="eastAsia" w:ascii="黑体" w:hAnsi="黑体" w:eastAsia="黑体" w:cs="黑体"/>
          <w:b w:val="0"/>
          <w:bCs w:val="0"/>
          <w:color w:val="auto"/>
          <w:sz w:val="28"/>
          <w:szCs w:val="28"/>
          <w:lang w:val="en-US" w:eastAsia="zh-CN"/>
        </w:rPr>
      </w:pPr>
      <w:r>
        <w:rPr>
          <w:rFonts w:hint="eastAsia" w:ascii="黑体" w:hAnsi="黑体" w:eastAsia="黑体" w:cs="黑体"/>
          <w:b w:val="0"/>
          <w:bCs w:val="0"/>
          <w:color w:val="auto"/>
          <w:sz w:val="28"/>
          <w:szCs w:val="28"/>
          <w:lang w:val="en-US" w:eastAsia="zh-CN"/>
        </w:rPr>
        <w:t>六、响应文件及其递交</w:t>
      </w:r>
    </w:p>
    <w:p w14:paraId="1373E408">
      <w:pPr>
        <w:keepNext w:val="0"/>
        <w:keepLines w:val="0"/>
        <w:pageBreakBefore w:val="0"/>
        <w:widowControl w:val="0"/>
        <w:kinsoku/>
        <w:wordWrap/>
        <w:overflowPunct/>
        <w:topLinePunct w:val="0"/>
        <w:autoSpaceDE w:val="0"/>
        <w:autoSpaceDN/>
        <w:bidi w:val="0"/>
        <w:adjustRightInd w:val="0"/>
        <w:snapToGrid w:val="0"/>
        <w:spacing w:afterLines="-2147483648" w:line="500" w:lineRule="exact"/>
        <w:ind w:firstLine="560" w:firstLineChars="200"/>
        <w:jc w:val="both"/>
        <w:textAlignment w:val="auto"/>
        <w:rPr>
          <w:rFonts w:hint="eastAsia" w:ascii="仿宋_GB2312" w:hAnsi="仿宋_GB2312" w:eastAsia="仿宋_GB2312" w:cs="仿宋_GB2312"/>
          <w:b w:val="0"/>
          <w:bCs w:val="0"/>
          <w:color w:val="auto"/>
          <w:sz w:val="28"/>
          <w:szCs w:val="28"/>
          <w:lang w:val="en-US" w:eastAsia="zh-CN"/>
        </w:rPr>
      </w:pPr>
      <w:r>
        <w:rPr>
          <w:rFonts w:hint="eastAsia" w:ascii="仿宋_GB2312" w:hAnsi="仿宋_GB2312" w:eastAsia="仿宋_GB2312" w:cs="仿宋_GB2312"/>
          <w:b w:val="0"/>
          <w:bCs w:val="0"/>
          <w:color w:val="auto"/>
          <w:sz w:val="28"/>
          <w:szCs w:val="28"/>
          <w:lang w:val="en-US" w:eastAsia="zh-CN"/>
        </w:rPr>
        <w:t>1.</w:t>
      </w:r>
      <w:r>
        <w:rPr>
          <w:rFonts w:hint="eastAsia" w:ascii="仿宋_GB2312" w:hAnsi="Calibri" w:eastAsia="仿宋_GB2312" w:cs="仿宋_GB2312"/>
          <w:bCs/>
          <w:color w:val="auto"/>
          <w:kern w:val="2"/>
          <w:sz w:val="28"/>
          <w:szCs w:val="28"/>
          <w:lang w:val="en-US" w:eastAsia="zh-CN" w:bidi="ar"/>
        </w:rPr>
        <w:t>响应文件递交时间：</w:t>
      </w:r>
      <w:r>
        <w:rPr>
          <w:rFonts w:hint="eastAsia" w:ascii="仿宋_GB2312" w:hAnsi="Calibri" w:eastAsia="仿宋_GB2312" w:cs="仿宋_GB2312"/>
          <w:bCs/>
          <w:color w:val="auto"/>
          <w:kern w:val="2"/>
          <w:sz w:val="28"/>
          <w:szCs w:val="28"/>
          <w:highlight w:val="none"/>
          <w:lang w:val="en-US" w:eastAsia="zh-CN" w:bidi="ar"/>
        </w:rPr>
        <w:t>2026年3月31日10:00，</w:t>
      </w:r>
      <w:r>
        <w:rPr>
          <w:rFonts w:hint="eastAsia" w:ascii="仿宋_GB2312" w:hAnsi="Calibri" w:eastAsia="仿宋_GB2312" w:cs="仿宋_GB2312"/>
          <w:bCs/>
          <w:color w:val="auto"/>
          <w:kern w:val="2"/>
          <w:sz w:val="28"/>
          <w:szCs w:val="28"/>
          <w:lang w:val="en-US" w:eastAsia="zh-CN" w:bidi="ar"/>
        </w:rPr>
        <w:t>地点为：四川省绵阳市涪城区九华路6号东门接待室。</w:t>
      </w:r>
    </w:p>
    <w:p w14:paraId="578CA1D4">
      <w:pPr>
        <w:keepNext w:val="0"/>
        <w:keepLines w:val="0"/>
        <w:pageBreakBefore w:val="0"/>
        <w:widowControl w:val="0"/>
        <w:kinsoku/>
        <w:wordWrap/>
        <w:overflowPunct/>
        <w:topLinePunct w:val="0"/>
        <w:autoSpaceDE/>
        <w:autoSpaceDN/>
        <w:bidi w:val="0"/>
        <w:adjustRightInd w:val="0"/>
        <w:snapToGrid w:val="0"/>
        <w:spacing w:afterLines="0" w:line="500" w:lineRule="exact"/>
        <w:ind w:firstLine="560" w:firstLineChars="200"/>
        <w:textAlignment w:val="auto"/>
        <w:rPr>
          <w:rFonts w:hint="eastAsia" w:ascii="仿宋_GB2312" w:hAnsi="仿宋_GB2312" w:eastAsia="仿宋_GB2312" w:cs="仿宋_GB2312"/>
          <w:b w:val="0"/>
          <w:bCs w:val="0"/>
          <w:color w:val="auto"/>
          <w:sz w:val="28"/>
          <w:szCs w:val="28"/>
          <w:lang w:val="en-US" w:eastAsia="zh-CN"/>
        </w:rPr>
      </w:pPr>
      <w:r>
        <w:rPr>
          <w:rFonts w:hint="eastAsia" w:ascii="仿宋_GB2312" w:hAnsi="仿宋_GB2312" w:eastAsia="仿宋_GB2312" w:cs="仿宋_GB2312"/>
          <w:b w:val="0"/>
          <w:bCs w:val="0"/>
          <w:color w:val="auto"/>
          <w:sz w:val="28"/>
          <w:szCs w:val="28"/>
          <w:lang w:val="en-US" w:eastAsia="zh-CN"/>
        </w:rPr>
        <w:t>2.谈判采购申请人应按照《</w:t>
      </w:r>
      <w:r>
        <w:rPr>
          <w:rFonts w:hint="eastAsia" w:ascii="仿宋_GB2312" w:hAnsi="仿宋_GB2312" w:eastAsia="仿宋_GB2312" w:cs="仿宋_GB2312"/>
          <w:b w:val="0"/>
          <w:color w:val="auto"/>
          <w:sz w:val="28"/>
          <w:szCs w:val="28"/>
        </w:rPr>
        <w:t>四川九洲</w:t>
      </w:r>
      <w:r>
        <w:rPr>
          <w:rFonts w:hint="eastAsia" w:ascii="仿宋_GB2312" w:hAnsi="仿宋_GB2312" w:eastAsia="仿宋_GB2312" w:cs="仿宋_GB2312"/>
          <w:b w:val="0"/>
          <w:color w:val="auto"/>
          <w:sz w:val="28"/>
          <w:szCs w:val="28"/>
          <w:lang w:val="en-US" w:eastAsia="zh-CN"/>
        </w:rPr>
        <w:t>后勤服务</w:t>
      </w:r>
      <w:r>
        <w:rPr>
          <w:rFonts w:hint="eastAsia" w:ascii="仿宋_GB2312" w:hAnsi="仿宋_GB2312" w:eastAsia="仿宋_GB2312" w:cs="仿宋_GB2312"/>
          <w:b w:val="0"/>
          <w:color w:val="auto"/>
          <w:sz w:val="28"/>
          <w:szCs w:val="28"/>
        </w:rPr>
        <w:t>有限责任公司</w:t>
      </w:r>
      <w:r>
        <w:rPr>
          <w:rFonts w:hint="eastAsia" w:ascii="仿宋_GB2312" w:hAnsi="仿宋_GB2312" w:eastAsia="仿宋_GB2312" w:cs="仿宋_GB2312"/>
          <w:b w:val="0"/>
          <w:color w:val="auto"/>
          <w:sz w:val="28"/>
          <w:szCs w:val="28"/>
          <w:lang w:val="en-US" w:eastAsia="zh-CN"/>
        </w:rPr>
        <w:t>委托</w:t>
      </w:r>
      <w:r>
        <w:rPr>
          <w:rFonts w:hint="eastAsia" w:ascii="仿宋_GB2312" w:hAnsi="仿宋_GB2312" w:eastAsia="仿宋_GB2312" w:cs="仿宋_GB2312"/>
          <w:b w:val="0"/>
          <w:bCs w:val="0"/>
          <w:color w:val="auto"/>
          <w:sz w:val="28"/>
          <w:szCs w:val="28"/>
          <w:lang w:val="en-US" w:eastAsia="zh-CN"/>
        </w:rPr>
        <w:t>办理建筑相关资质事项谈判采购</w:t>
      </w:r>
      <w:r>
        <w:rPr>
          <w:rFonts w:hint="eastAsia" w:ascii="仿宋_GB2312" w:hAnsi="仿宋_GB2312" w:eastAsia="仿宋_GB2312" w:cs="仿宋_GB2312"/>
          <w:color w:val="auto"/>
          <w:spacing w:val="0"/>
          <w:sz w:val="28"/>
          <w:szCs w:val="28"/>
          <w:highlight w:val="none"/>
          <w:lang w:val="en-US" w:eastAsia="zh-CN"/>
        </w:rPr>
        <w:t>文件</w:t>
      </w:r>
      <w:r>
        <w:rPr>
          <w:rFonts w:hint="eastAsia" w:ascii="仿宋_GB2312" w:hAnsi="仿宋_GB2312" w:eastAsia="仿宋_GB2312" w:cs="仿宋_GB2312"/>
          <w:b w:val="0"/>
          <w:bCs w:val="0"/>
          <w:color w:val="auto"/>
          <w:sz w:val="28"/>
          <w:szCs w:val="28"/>
          <w:lang w:val="en-US" w:eastAsia="zh-CN"/>
        </w:rPr>
        <w:t>》要求形成响应文件，并将响应文件胶装成册。</w:t>
      </w:r>
    </w:p>
    <w:p w14:paraId="447E85DF">
      <w:pPr>
        <w:keepNext w:val="0"/>
        <w:keepLines w:val="0"/>
        <w:pageBreakBefore w:val="0"/>
        <w:widowControl w:val="0"/>
        <w:kinsoku/>
        <w:wordWrap/>
        <w:overflowPunct/>
        <w:topLinePunct w:val="0"/>
        <w:autoSpaceDE/>
        <w:autoSpaceDN/>
        <w:bidi w:val="0"/>
        <w:adjustRightInd w:val="0"/>
        <w:snapToGrid w:val="0"/>
        <w:spacing w:afterLines="0" w:line="500" w:lineRule="exact"/>
        <w:ind w:firstLine="560" w:firstLineChars="200"/>
        <w:jc w:val="both"/>
        <w:textAlignment w:val="auto"/>
        <w:rPr>
          <w:rFonts w:hint="eastAsia" w:ascii="仿宋_GB2312" w:hAnsi="仿宋_GB2312" w:eastAsia="仿宋_GB2312" w:cs="仿宋_GB2312"/>
          <w:color w:val="auto"/>
          <w:spacing w:val="0"/>
          <w:sz w:val="28"/>
          <w:szCs w:val="28"/>
          <w:highlight w:val="none"/>
          <w:lang w:eastAsia="zh-CN"/>
        </w:rPr>
      </w:pPr>
      <w:r>
        <w:rPr>
          <w:rFonts w:hint="eastAsia" w:ascii="仿宋_GB2312" w:hAnsi="仿宋_GB2312" w:eastAsia="仿宋_GB2312" w:cs="仿宋_GB2312"/>
          <w:b w:val="0"/>
          <w:bCs w:val="0"/>
          <w:color w:val="auto"/>
          <w:sz w:val="28"/>
          <w:szCs w:val="28"/>
          <w:lang w:val="en-US" w:eastAsia="zh-CN"/>
        </w:rPr>
        <w:t>3.谈判采购</w:t>
      </w:r>
      <w:r>
        <w:rPr>
          <w:rFonts w:hint="eastAsia" w:ascii="仿宋_GB2312" w:hAnsi="仿宋_GB2312" w:eastAsia="仿宋_GB2312" w:cs="仿宋_GB2312"/>
          <w:color w:val="auto"/>
          <w:spacing w:val="0"/>
          <w:sz w:val="28"/>
          <w:szCs w:val="28"/>
          <w:highlight w:val="none"/>
        </w:rPr>
        <w:t>申请人需按</w:t>
      </w:r>
      <w:r>
        <w:rPr>
          <w:rFonts w:hint="eastAsia" w:ascii="仿宋_GB2312" w:hAnsi="仿宋_GB2312" w:eastAsia="仿宋_GB2312" w:cs="仿宋_GB2312"/>
          <w:color w:val="auto"/>
          <w:spacing w:val="0"/>
          <w:sz w:val="28"/>
          <w:szCs w:val="28"/>
          <w:highlight w:val="none"/>
          <w:lang w:val="en-US" w:eastAsia="zh-CN"/>
        </w:rPr>
        <w:t>本公告第七条规定的</w:t>
      </w:r>
      <w:r>
        <w:rPr>
          <w:rFonts w:hint="eastAsia" w:ascii="仿宋_GB2312" w:hAnsi="仿宋_GB2312" w:eastAsia="仿宋_GB2312" w:cs="仿宋_GB2312"/>
          <w:b w:val="0"/>
          <w:bCs w:val="0"/>
          <w:color w:val="auto"/>
          <w:sz w:val="28"/>
          <w:szCs w:val="28"/>
          <w:lang w:val="en-US" w:eastAsia="zh-CN"/>
        </w:rPr>
        <w:t>谈判采购</w:t>
      </w:r>
      <w:r>
        <w:rPr>
          <w:rFonts w:hint="eastAsia" w:ascii="仿宋_GB2312" w:hAnsi="仿宋_GB2312" w:eastAsia="仿宋_GB2312" w:cs="仿宋_GB2312"/>
          <w:color w:val="auto"/>
          <w:spacing w:val="0"/>
          <w:sz w:val="28"/>
          <w:szCs w:val="28"/>
          <w:highlight w:val="none"/>
        </w:rPr>
        <w:t>时间和</w:t>
      </w:r>
      <w:r>
        <w:rPr>
          <w:rFonts w:hint="eastAsia" w:ascii="仿宋_GB2312" w:hAnsi="仿宋_GB2312" w:eastAsia="仿宋_GB2312" w:cs="仿宋_GB2312"/>
          <w:b w:val="0"/>
          <w:bCs w:val="0"/>
          <w:color w:val="auto"/>
          <w:sz w:val="28"/>
          <w:szCs w:val="28"/>
          <w:lang w:val="en-US" w:eastAsia="zh-CN"/>
        </w:rPr>
        <w:t>谈判采购</w:t>
      </w:r>
      <w:r>
        <w:rPr>
          <w:rFonts w:hint="eastAsia" w:ascii="仿宋_GB2312" w:hAnsi="仿宋_GB2312" w:eastAsia="仿宋_GB2312" w:cs="仿宋_GB2312"/>
          <w:color w:val="auto"/>
          <w:spacing w:val="0"/>
          <w:sz w:val="28"/>
          <w:szCs w:val="28"/>
          <w:highlight w:val="none"/>
        </w:rPr>
        <w:t>地点当面递交响应文件</w:t>
      </w:r>
      <w:r>
        <w:rPr>
          <w:rFonts w:hint="eastAsia" w:ascii="仿宋_GB2312" w:hAnsi="仿宋_GB2312" w:eastAsia="仿宋_GB2312" w:cs="仿宋_GB2312"/>
          <w:color w:val="auto"/>
          <w:spacing w:val="0"/>
          <w:sz w:val="28"/>
          <w:szCs w:val="28"/>
          <w:highlight w:val="none"/>
          <w:lang w:eastAsia="zh-CN"/>
        </w:rPr>
        <w:t>。</w:t>
      </w:r>
      <w:r>
        <w:rPr>
          <w:rFonts w:hint="eastAsia" w:ascii="仿宋_GB2312" w:hAnsi="仿宋_GB2312" w:eastAsia="仿宋_GB2312" w:cs="仿宋_GB2312"/>
          <w:color w:val="auto"/>
          <w:spacing w:val="0"/>
          <w:sz w:val="28"/>
          <w:szCs w:val="28"/>
          <w:highlight w:val="none"/>
        </w:rPr>
        <w:t>响应文件应密封完好，未按要求密封的不予接收。提交的材料须真实、有效、完整，材料中出现虚假、错误信息等所带来的后果由</w:t>
      </w:r>
      <w:r>
        <w:rPr>
          <w:rFonts w:hint="eastAsia" w:ascii="仿宋_GB2312" w:hAnsi="仿宋_GB2312" w:eastAsia="仿宋_GB2312" w:cs="仿宋_GB2312"/>
          <w:b w:val="0"/>
          <w:bCs w:val="0"/>
          <w:color w:val="auto"/>
          <w:sz w:val="28"/>
          <w:szCs w:val="28"/>
          <w:lang w:val="en-US" w:eastAsia="zh-CN"/>
        </w:rPr>
        <w:t>谈判采购</w:t>
      </w:r>
      <w:r>
        <w:rPr>
          <w:rFonts w:hint="eastAsia" w:ascii="仿宋_GB2312" w:hAnsi="仿宋_GB2312" w:eastAsia="仿宋_GB2312" w:cs="仿宋_GB2312"/>
          <w:color w:val="auto"/>
          <w:spacing w:val="0"/>
          <w:sz w:val="28"/>
          <w:szCs w:val="28"/>
          <w:highlight w:val="none"/>
          <w:lang w:val="en-US" w:eastAsia="zh-CN"/>
        </w:rPr>
        <w:t>申请人</w:t>
      </w:r>
      <w:r>
        <w:rPr>
          <w:rFonts w:hint="eastAsia" w:ascii="仿宋_GB2312" w:hAnsi="仿宋_GB2312" w:eastAsia="仿宋_GB2312" w:cs="仿宋_GB2312"/>
          <w:color w:val="auto"/>
          <w:spacing w:val="0"/>
          <w:sz w:val="28"/>
          <w:szCs w:val="28"/>
          <w:highlight w:val="none"/>
        </w:rPr>
        <w:t>自行承担</w:t>
      </w:r>
      <w:r>
        <w:rPr>
          <w:rFonts w:hint="eastAsia" w:ascii="仿宋_GB2312" w:hAnsi="仿宋_GB2312" w:eastAsia="仿宋_GB2312" w:cs="仿宋_GB2312"/>
          <w:color w:val="auto"/>
          <w:spacing w:val="0"/>
          <w:sz w:val="28"/>
          <w:szCs w:val="28"/>
          <w:highlight w:val="none"/>
          <w:lang w:eastAsia="zh-CN"/>
        </w:rPr>
        <w:t>（</w:t>
      </w:r>
      <w:r>
        <w:rPr>
          <w:rFonts w:hint="eastAsia" w:ascii="仿宋_GB2312" w:hAnsi="仿宋_GB2312" w:eastAsia="仿宋_GB2312" w:cs="仿宋_GB2312"/>
          <w:color w:val="auto"/>
          <w:spacing w:val="0"/>
          <w:sz w:val="28"/>
          <w:szCs w:val="28"/>
          <w:highlight w:val="none"/>
        </w:rPr>
        <w:t>资料提交不予退还</w:t>
      </w:r>
      <w:r>
        <w:rPr>
          <w:rFonts w:hint="eastAsia" w:ascii="仿宋_GB2312" w:hAnsi="仿宋_GB2312" w:eastAsia="仿宋_GB2312" w:cs="仿宋_GB2312"/>
          <w:color w:val="auto"/>
          <w:spacing w:val="0"/>
          <w:sz w:val="28"/>
          <w:szCs w:val="28"/>
          <w:highlight w:val="none"/>
          <w:lang w:eastAsia="zh-CN"/>
        </w:rPr>
        <w:t>）。</w:t>
      </w:r>
    </w:p>
    <w:p w14:paraId="51449522">
      <w:pPr>
        <w:keepNext w:val="0"/>
        <w:keepLines w:val="0"/>
        <w:pageBreakBefore w:val="0"/>
        <w:widowControl w:val="0"/>
        <w:kinsoku/>
        <w:wordWrap/>
        <w:overflowPunct/>
        <w:topLinePunct w:val="0"/>
        <w:autoSpaceDE/>
        <w:autoSpaceDN/>
        <w:bidi w:val="0"/>
        <w:adjustRightInd w:val="0"/>
        <w:snapToGrid w:val="0"/>
        <w:spacing w:afterLines="0" w:line="500" w:lineRule="exact"/>
        <w:ind w:firstLine="560" w:firstLineChars="200"/>
        <w:jc w:val="both"/>
        <w:textAlignment w:val="auto"/>
        <w:rPr>
          <w:rFonts w:hint="default" w:ascii="仿宋_GB2312" w:hAnsi="仿宋_GB2312" w:eastAsia="仿宋_GB2312" w:cs="仿宋_GB2312"/>
          <w:b w:val="0"/>
          <w:bCs w:val="0"/>
          <w:color w:val="auto"/>
          <w:sz w:val="28"/>
          <w:szCs w:val="28"/>
          <w:lang w:val="en-US" w:eastAsia="zh-CN"/>
        </w:rPr>
      </w:pPr>
      <w:r>
        <w:rPr>
          <w:rFonts w:hint="eastAsia" w:ascii="仿宋_GB2312" w:hAnsi="仿宋_GB2312" w:eastAsia="仿宋_GB2312" w:cs="仿宋_GB2312"/>
          <w:b w:val="0"/>
          <w:bCs w:val="0"/>
          <w:color w:val="auto"/>
          <w:sz w:val="28"/>
          <w:szCs w:val="28"/>
          <w:lang w:val="en-US" w:eastAsia="zh-CN"/>
        </w:rPr>
        <w:t>4.响应文件的份数：一式二份，正本一份，副本一份。</w:t>
      </w:r>
    </w:p>
    <w:p w14:paraId="083BCE93">
      <w:pPr>
        <w:keepNext w:val="0"/>
        <w:keepLines w:val="0"/>
        <w:pageBreakBefore w:val="0"/>
        <w:widowControl w:val="0"/>
        <w:kinsoku/>
        <w:overflowPunct/>
        <w:topLinePunct w:val="0"/>
        <w:autoSpaceDN/>
        <w:bidi w:val="0"/>
        <w:adjustRightInd w:val="0"/>
        <w:snapToGrid w:val="0"/>
        <w:spacing w:afterLines="0" w:line="500" w:lineRule="exact"/>
        <w:ind w:firstLine="560" w:firstLineChars="200"/>
        <w:jc w:val="both"/>
        <w:textAlignment w:val="auto"/>
        <w:rPr>
          <w:rFonts w:hint="eastAsia"/>
          <w:sz w:val="28"/>
          <w:szCs w:val="28"/>
          <w:lang w:val="en-US" w:eastAsia="zh-CN"/>
        </w:rPr>
      </w:pPr>
      <w:r>
        <w:rPr>
          <w:rFonts w:hint="eastAsia" w:ascii="仿宋_GB2312" w:hAnsi="仿宋_GB2312" w:eastAsia="仿宋_GB2312" w:cs="仿宋_GB2312"/>
          <w:b w:val="0"/>
          <w:bCs w:val="0"/>
          <w:color w:val="auto"/>
          <w:sz w:val="28"/>
          <w:szCs w:val="28"/>
          <w:lang w:val="en-US" w:eastAsia="zh-CN"/>
        </w:rPr>
        <w:t>5.逾期送达、未送达指定地点、未密封或者标注错误的响应文件，谈判采购人不予受理。本次谈判采购不接收邮寄的响应文件。</w:t>
      </w:r>
    </w:p>
    <w:p w14:paraId="32F7244A">
      <w:pPr>
        <w:keepNext w:val="0"/>
        <w:keepLines w:val="0"/>
        <w:pageBreakBefore w:val="0"/>
        <w:widowControl w:val="0"/>
        <w:kinsoku/>
        <w:wordWrap/>
        <w:overflowPunct/>
        <w:topLinePunct w:val="0"/>
        <w:autoSpaceDE/>
        <w:autoSpaceDN/>
        <w:bidi w:val="0"/>
        <w:adjustRightInd w:val="0"/>
        <w:snapToGrid w:val="0"/>
        <w:spacing w:afterLines="0" w:line="500" w:lineRule="exact"/>
        <w:ind w:firstLine="560" w:firstLineChars="200"/>
        <w:jc w:val="both"/>
        <w:textAlignment w:val="auto"/>
        <w:rPr>
          <w:rFonts w:hint="default" w:ascii="黑体" w:hAnsi="黑体" w:eastAsia="黑体" w:cs="黑体"/>
          <w:b w:val="0"/>
          <w:bCs w:val="0"/>
          <w:color w:val="auto"/>
          <w:sz w:val="28"/>
          <w:szCs w:val="28"/>
          <w:lang w:val="en-US" w:eastAsia="zh-CN"/>
        </w:rPr>
      </w:pPr>
      <w:r>
        <w:rPr>
          <w:rFonts w:hint="eastAsia" w:ascii="黑体" w:hAnsi="黑体" w:eastAsia="黑体" w:cs="黑体"/>
          <w:b w:val="0"/>
          <w:bCs w:val="0"/>
          <w:color w:val="auto"/>
          <w:sz w:val="28"/>
          <w:szCs w:val="28"/>
          <w:lang w:val="en-US" w:eastAsia="zh-CN"/>
        </w:rPr>
        <w:t>七、谈判采购时间和地点</w:t>
      </w:r>
    </w:p>
    <w:p w14:paraId="1BE3DCED">
      <w:pPr>
        <w:keepNext w:val="0"/>
        <w:keepLines w:val="0"/>
        <w:pageBreakBefore w:val="0"/>
        <w:widowControl w:val="0"/>
        <w:kinsoku/>
        <w:wordWrap/>
        <w:overflowPunct/>
        <w:topLinePunct w:val="0"/>
        <w:autoSpaceDE/>
        <w:autoSpaceDN/>
        <w:bidi w:val="0"/>
        <w:adjustRightInd/>
        <w:snapToGrid/>
        <w:spacing w:afterLines="-2147483648" w:line="500" w:lineRule="exact"/>
        <w:ind w:firstLine="560" w:firstLineChars="200"/>
        <w:jc w:val="both"/>
        <w:textAlignment w:val="auto"/>
        <w:rPr>
          <w:rFonts w:hint="default" w:ascii="仿宋_GB2312" w:hAnsi="仿宋_GB2312" w:eastAsia="仿宋_GB2312" w:cs="仿宋_GB2312"/>
          <w:b/>
          <w:bCs/>
          <w:color w:val="auto"/>
          <w:sz w:val="28"/>
          <w:szCs w:val="28"/>
          <w:highlight w:val="none"/>
          <w:u w:val="single"/>
          <w:lang w:val="en-US" w:eastAsia="zh-CN"/>
        </w:rPr>
      </w:pPr>
      <w:r>
        <w:rPr>
          <w:rFonts w:hint="eastAsia" w:ascii="仿宋_GB2312" w:hAnsi="仿宋_GB2312" w:eastAsia="仿宋_GB2312" w:cs="仿宋_GB2312"/>
          <w:b w:val="0"/>
          <w:bCs w:val="0"/>
          <w:color w:val="auto"/>
          <w:sz w:val="28"/>
          <w:szCs w:val="28"/>
          <w:lang w:val="en-US" w:eastAsia="zh-CN"/>
        </w:rPr>
        <w:t>1.谈判采购时间：</w:t>
      </w:r>
      <w:r>
        <w:rPr>
          <w:rFonts w:hint="eastAsia" w:ascii="仿宋_GB2312" w:hAnsi="仿宋_GB2312" w:eastAsia="仿宋_GB2312" w:cs="仿宋_GB2312"/>
          <w:b/>
          <w:bCs/>
          <w:color w:val="auto"/>
          <w:sz w:val="28"/>
          <w:szCs w:val="28"/>
          <w:highlight w:val="none"/>
          <w:u w:val="single"/>
          <w:lang w:val="en-US" w:eastAsia="zh-CN"/>
        </w:rPr>
        <w:t>2026年</w:t>
      </w:r>
      <w:r>
        <w:rPr>
          <w:rFonts w:hint="eastAsia" w:ascii="仿宋_GB2312" w:hAnsi="仿宋_GB2312" w:eastAsia="仿宋_GB2312" w:cs="仿宋_GB2312"/>
          <w:b/>
          <w:bCs/>
          <w:color w:val="auto"/>
          <w:kern w:val="2"/>
          <w:sz w:val="28"/>
          <w:szCs w:val="28"/>
          <w:highlight w:val="none"/>
          <w:u w:val="single"/>
          <w:lang w:val="en-US" w:eastAsia="zh-CN" w:bidi="ar"/>
        </w:rPr>
        <w:t>3月31日</w:t>
      </w:r>
      <w:r>
        <w:rPr>
          <w:rFonts w:hint="eastAsia" w:ascii="仿宋_GB2312" w:hAnsi="仿宋_GB2312" w:eastAsia="仿宋_GB2312" w:cs="仿宋_GB2312"/>
          <w:b/>
          <w:bCs/>
          <w:color w:val="auto"/>
          <w:sz w:val="28"/>
          <w:szCs w:val="28"/>
          <w:highlight w:val="none"/>
          <w:u w:val="single"/>
          <w:lang w:val="en-US" w:eastAsia="zh-CN"/>
        </w:rPr>
        <w:t>10:00</w:t>
      </w:r>
      <w:r>
        <w:rPr>
          <w:rFonts w:hint="eastAsia" w:ascii="仿宋_GB2312" w:hAnsi="仿宋_GB2312" w:eastAsia="仿宋_GB2312" w:cs="仿宋_GB2312"/>
          <w:b w:val="0"/>
          <w:bCs w:val="0"/>
          <w:color w:val="auto"/>
          <w:sz w:val="28"/>
          <w:szCs w:val="28"/>
          <w:highlight w:val="none"/>
          <w:u w:val="none"/>
          <w:lang w:val="en-US" w:eastAsia="zh-CN"/>
        </w:rPr>
        <w:t>。</w:t>
      </w:r>
    </w:p>
    <w:p w14:paraId="44737C2A">
      <w:pPr>
        <w:keepNext w:val="0"/>
        <w:keepLines w:val="0"/>
        <w:pageBreakBefore w:val="0"/>
        <w:widowControl w:val="0"/>
        <w:kinsoku/>
        <w:wordWrap/>
        <w:overflowPunct/>
        <w:topLinePunct w:val="0"/>
        <w:autoSpaceDE/>
        <w:autoSpaceDN/>
        <w:bidi w:val="0"/>
        <w:adjustRightInd w:val="0"/>
        <w:snapToGrid w:val="0"/>
        <w:spacing w:afterLines="0" w:line="500" w:lineRule="exact"/>
        <w:ind w:firstLine="560" w:firstLineChars="200"/>
        <w:jc w:val="both"/>
        <w:textAlignment w:val="auto"/>
        <w:rPr>
          <w:rFonts w:hint="eastAsia" w:ascii="仿宋_GB2312" w:hAnsi="仿宋_GB2312" w:eastAsia="仿宋_GB2312" w:cs="仿宋_GB2312"/>
          <w:b/>
          <w:bCs/>
          <w:color w:val="auto"/>
          <w:sz w:val="28"/>
          <w:szCs w:val="28"/>
          <w:u w:val="single"/>
          <w:lang w:val="en-US" w:eastAsia="zh-CN"/>
        </w:rPr>
      </w:pPr>
      <w:r>
        <w:rPr>
          <w:rFonts w:hint="eastAsia" w:ascii="仿宋_GB2312" w:hAnsi="仿宋_GB2312" w:eastAsia="仿宋_GB2312" w:cs="仿宋_GB2312"/>
          <w:b w:val="0"/>
          <w:bCs w:val="0"/>
          <w:color w:val="auto"/>
          <w:sz w:val="28"/>
          <w:szCs w:val="28"/>
          <w:lang w:val="en-US" w:eastAsia="zh-CN"/>
        </w:rPr>
        <w:t>2.谈判采购地点：</w:t>
      </w:r>
      <w:r>
        <w:rPr>
          <w:rFonts w:hint="eastAsia" w:ascii="仿宋_GB2312" w:hAnsi="仿宋_GB2312" w:eastAsia="仿宋_GB2312" w:cs="仿宋_GB2312"/>
          <w:b/>
          <w:bCs/>
          <w:color w:val="auto"/>
          <w:sz w:val="28"/>
          <w:szCs w:val="28"/>
          <w:u w:val="single"/>
          <w:lang w:val="en-US" w:eastAsia="zh-CN"/>
        </w:rPr>
        <w:t>四川省绵阳市科创园区九华路6号东门接待室</w:t>
      </w:r>
      <w:r>
        <w:rPr>
          <w:rFonts w:hint="eastAsia" w:ascii="仿宋_GB2312" w:hAnsi="仿宋_GB2312" w:eastAsia="仿宋_GB2312" w:cs="仿宋_GB2312"/>
          <w:b w:val="0"/>
          <w:bCs w:val="0"/>
          <w:color w:val="auto"/>
          <w:sz w:val="28"/>
          <w:szCs w:val="28"/>
          <w:u w:val="none"/>
          <w:lang w:val="en-US" w:eastAsia="zh-CN"/>
        </w:rPr>
        <w:t>。</w:t>
      </w:r>
    </w:p>
    <w:p w14:paraId="6DD72E7D">
      <w:pPr>
        <w:pStyle w:val="4"/>
        <w:keepNext w:val="0"/>
        <w:keepLines w:val="0"/>
        <w:pageBreakBefore w:val="0"/>
        <w:widowControl w:val="0"/>
        <w:numPr>
          <w:ilvl w:val="0"/>
          <w:numId w:val="0"/>
        </w:numPr>
        <w:kinsoku/>
        <w:wordWrap/>
        <w:overflowPunct/>
        <w:topLinePunct w:val="0"/>
        <w:autoSpaceDE/>
        <w:autoSpaceDN/>
        <w:bidi w:val="0"/>
        <w:adjustRightInd w:val="0"/>
        <w:snapToGrid w:val="0"/>
        <w:spacing w:afterLines="0" w:line="500" w:lineRule="exact"/>
        <w:ind w:firstLine="516" w:firstLineChars="200"/>
        <w:jc w:val="both"/>
        <w:textAlignment w:val="auto"/>
        <w:rPr>
          <w:rFonts w:hint="eastAsia" w:ascii="黑体" w:hAnsi="黑体" w:eastAsia="黑体" w:cs="黑体"/>
          <w:b w:val="0"/>
          <w:bCs w:val="0"/>
          <w:color w:val="auto"/>
          <w:spacing w:val="-11"/>
          <w:kern w:val="2"/>
          <w:sz w:val="28"/>
          <w:szCs w:val="28"/>
          <w:lang w:val="en-US" w:eastAsia="zh-CN" w:bidi="ar-SA"/>
        </w:rPr>
      </w:pPr>
      <w:r>
        <w:rPr>
          <w:rFonts w:hint="eastAsia" w:ascii="黑体" w:hAnsi="黑体" w:eastAsia="黑体" w:cs="黑体"/>
          <w:b w:val="0"/>
          <w:bCs w:val="0"/>
          <w:color w:val="auto"/>
          <w:spacing w:val="-11"/>
          <w:kern w:val="2"/>
          <w:sz w:val="28"/>
          <w:szCs w:val="28"/>
          <w:lang w:val="en-US" w:eastAsia="zh-CN" w:bidi="ar-SA"/>
        </w:rPr>
        <w:t>八、发布公告的媒介</w:t>
      </w:r>
    </w:p>
    <w:p w14:paraId="5A46786C">
      <w:pPr>
        <w:pStyle w:val="4"/>
        <w:keepNext w:val="0"/>
        <w:keepLines w:val="0"/>
        <w:pageBreakBefore w:val="0"/>
        <w:widowControl w:val="0"/>
        <w:numPr>
          <w:ilvl w:val="0"/>
          <w:numId w:val="0"/>
        </w:numPr>
        <w:kinsoku/>
        <w:wordWrap/>
        <w:overflowPunct/>
        <w:topLinePunct w:val="0"/>
        <w:autoSpaceDE/>
        <w:autoSpaceDN/>
        <w:bidi w:val="0"/>
        <w:adjustRightInd w:val="0"/>
        <w:snapToGrid w:val="0"/>
        <w:spacing w:afterLines="0" w:line="500" w:lineRule="exact"/>
        <w:ind w:firstLine="516" w:firstLineChars="200"/>
        <w:jc w:val="both"/>
        <w:textAlignment w:val="auto"/>
        <w:rPr>
          <w:rFonts w:hint="eastAsia" w:ascii="仿宋_GB2312" w:hAnsi="仿宋_GB2312" w:eastAsia="仿宋_GB2312" w:cs="仿宋_GB2312"/>
          <w:b w:val="0"/>
          <w:color w:val="auto"/>
          <w:spacing w:val="-11"/>
          <w:kern w:val="2"/>
          <w:sz w:val="28"/>
          <w:szCs w:val="28"/>
          <w:u w:val="none"/>
          <w:lang w:val="en-US" w:eastAsia="zh-CN" w:bidi="ar-SA"/>
        </w:rPr>
      </w:pPr>
      <w:r>
        <w:rPr>
          <w:rFonts w:hint="eastAsia" w:ascii="仿宋_GB2312" w:hAnsi="仿宋_GB2312" w:eastAsia="仿宋_GB2312" w:cs="仿宋_GB2312"/>
          <w:b w:val="0"/>
          <w:color w:val="auto"/>
          <w:spacing w:val="-11"/>
          <w:kern w:val="2"/>
          <w:sz w:val="28"/>
          <w:szCs w:val="28"/>
          <w:u w:val="none"/>
          <w:lang w:val="en-US" w:eastAsia="zh-CN" w:bidi="ar-SA"/>
        </w:rPr>
        <w:t>本次谈判采购公告在</w:t>
      </w:r>
      <w:r>
        <w:rPr>
          <w:rFonts w:hint="eastAsia" w:ascii="仿宋_GB2312" w:hAnsi="仿宋_GB2312" w:eastAsia="仿宋_GB2312" w:cs="仿宋_GB2312"/>
          <w:b w:val="0"/>
          <w:color w:val="auto"/>
          <w:spacing w:val="-11"/>
          <w:kern w:val="2"/>
          <w:sz w:val="28"/>
          <w:szCs w:val="28"/>
          <w:u w:val="single"/>
          <w:lang w:val="en-US" w:eastAsia="zh-CN" w:bidi="ar-SA"/>
        </w:rPr>
        <w:t>绵阳市国资委网(https://gzw.my.gov.cn)及 四川九洲投资控股集团有限公司官网（http://jiuzhou.com.cn）</w:t>
      </w:r>
      <w:r>
        <w:rPr>
          <w:rFonts w:hint="eastAsia" w:ascii="仿宋_GB2312" w:hAnsi="仿宋_GB2312" w:eastAsia="仿宋_GB2312" w:cs="仿宋_GB2312"/>
          <w:b w:val="0"/>
          <w:color w:val="auto"/>
          <w:spacing w:val="-11"/>
          <w:kern w:val="2"/>
          <w:sz w:val="28"/>
          <w:szCs w:val="28"/>
          <w:u w:val="none"/>
          <w:lang w:val="en-US" w:eastAsia="zh-CN" w:bidi="ar-SA"/>
        </w:rPr>
        <w:t>，对于因其他网站转载并发布的非完整版或修改版公告，而导致误报名或无效报名的情形，谈判采购人不承担责任。</w:t>
      </w:r>
    </w:p>
    <w:p w14:paraId="2B1412F2">
      <w:pPr>
        <w:keepNext w:val="0"/>
        <w:keepLines w:val="0"/>
        <w:pageBreakBefore w:val="0"/>
        <w:widowControl w:val="0"/>
        <w:suppressLineNumbers w:val="0"/>
        <w:kinsoku/>
        <w:overflowPunct/>
        <w:topLinePunct w:val="0"/>
        <w:autoSpaceDE w:val="0"/>
        <w:autoSpaceDN/>
        <w:bidi w:val="0"/>
        <w:spacing w:before="0" w:beforeAutospacing="0" w:after="0" w:afterAutospacing="0" w:line="500" w:lineRule="exact"/>
        <w:ind w:left="0" w:right="0" w:rightChars="0" w:firstLine="560" w:firstLineChars="200"/>
        <w:jc w:val="both"/>
        <w:textAlignment w:val="auto"/>
        <w:rPr>
          <w:rFonts w:hint="eastAsia" w:ascii="黑体" w:hAnsi="宋体" w:eastAsia="黑体" w:cs="黑体"/>
          <w:b w:val="0"/>
          <w:bCs/>
          <w:color w:val="auto"/>
          <w:kern w:val="2"/>
          <w:sz w:val="28"/>
          <w:szCs w:val="28"/>
        </w:rPr>
      </w:pPr>
      <w:r>
        <w:rPr>
          <w:rFonts w:hint="eastAsia" w:ascii="黑体" w:hAnsi="宋体" w:eastAsia="黑体" w:cs="黑体"/>
          <w:b w:val="0"/>
          <w:bCs/>
          <w:color w:val="auto"/>
          <w:kern w:val="2"/>
          <w:sz w:val="28"/>
          <w:szCs w:val="28"/>
          <w:lang w:val="en-US" w:eastAsia="zh-CN" w:bidi="ar"/>
        </w:rPr>
        <w:t>九、公告期限</w:t>
      </w:r>
    </w:p>
    <w:p w14:paraId="0C266707">
      <w:pPr>
        <w:keepNext w:val="0"/>
        <w:keepLines w:val="0"/>
        <w:pageBreakBefore w:val="0"/>
        <w:widowControl w:val="0"/>
        <w:kinsoku/>
        <w:overflowPunct/>
        <w:topLinePunct w:val="0"/>
        <w:autoSpaceDE w:val="0"/>
        <w:autoSpaceDN/>
        <w:bidi w:val="0"/>
        <w:spacing w:line="500" w:lineRule="exact"/>
        <w:ind w:firstLine="560" w:firstLineChars="200"/>
        <w:textAlignment w:val="auto"/>
        <w:rPr>
          <w:rFonts w:hint="default"/>
          <w:color w:val="auto"/>
          <w:sz w:val="28"/>
          <w:szCs w:val="28"/>
          <w:lang w:val="en-US" w:eastAsia="zh-CN"/>
        </w:rPr>
      </w:pPr>
      <w:r>
        <w:rPr>
          <w:rFonts w:hint="eastAsia" w:ascii="仿宋_GB2312" w:hAnsi="Times New Roman" w:eastAsia="仿宋_GB2312" w:cs="仿宋_GB2312"/>
          <w:color w:val="auto"/>
          <w:kern w:val="2"/>
          <w:sz w:val="28"/>
          <w:szCs w:val="28"/>
          <w:lang w:val="en-US" w:eastAsia="zh-CN" w:bidi="ar"/>
        </w:rPr>
        <w:t>2026年3月19日—2026年3月25日。</w:t>
      </w:r>
    </w:p>
    <w:p w14:paraId="29F3D762">
      <w:pPr>
        <w:keepNext w:val="0"/>
        <w:keepLines w:val="0"/>
        <w:pageBreakBefore w:val="0"/>
        <w:widowControl w:val="0"/>
        <w:kinsoku/>
        <w:wordWrap/>
        <w:overflowPunct/>
        <w:topLinePunct w:val="0"/>
        <w:autoSpaceDE/>
        <w:autoSpaceDN/>
        <w:bidi w:val="0"/>
        <w:adjustRightInd w:val="0"/>
        <w:snapToGrid w:val="0"/>
        <w:spacing w:afterLines="0" w:line="500" w:lineRule="exact"/>
        <w:ind w:firstLine="560" w:firstLineChars="200"/>
        <w:jc w:val="both"/>
        <w:textAlignment w:val="auto"/>
        <w:rPr>
          <w:rFonts w:hint="eastAsia" w:ascii="黑体" w:hAnsi="黑体" w:eastAsia="黑体" w:cs="黑体"/>
          <w:b w:val="0"/>
          <w:bCs w:val="0"/>
          <w:color w:val="auto"/>
          <w:sz w:val="28"/>
          <w:szCs w:val="28"/>
          <w:lang w:val="en-US" w:eastAsia="zh-CN"/>
        </w:rPr>
      </w:pPr>
      <w:r>
        <w:rPr>
          <w:rFonts w:hint="eastAsia" w:ascii="黑体" w:hAnsi="黑体" w:eastAsia="黑体" w:cs="黑体"/>
          <w:b w:val="0"/>
          <w:bCs w:val="0"/>
          <w:color w:val="auto"/>
          <w:sz w:val="28"/>
          <w:szCs w:val="28"/>
          <w:lang w:val="en-US" w:eastAsia="zh-CN"/>
        </w:rPr>
        <w:t>十、联系方式</w:t>
      </w:r>
    </w:p>
    <w:p w14:paraId="24DA88F0">
      <w:pPr>
        <w:keepNext w:val="0"/>
        <w:keepLines w:val="0"/>
        <w:pageBreakBefore w:val="0"/>
        <w:widowControl w:val="0"/>
        <w:kinsoku/>
        <w:wordWrap/>
        <w:overflowPunct/>
        <w:topLinePunct w:val="0"/>
        <w:autoSpaceDE/>
        <w:autoSpaceDN/>
        <w:bidi w:val="0"/>
        <w:adjustRightInd w:val="0"/>
        <w:snapToGrid w:val="0"/>
        <w:spacing w:afterLines="0" w:line="500" w:lineRule="exact"/>
        <w:ind w:firstLine="560" w:firstLineChars="200"/>
        <w:jc w:val="both"/>
        <w:textAlignment w:val="auto"/>
        <w:rPr>
          <w:rFonts w:hint="eastAsia" w:ascii="仿宋_GB2312" w:hAnsi="仿宋_GB2312" w:eastAsia="仿宋_GB2312" w:cs="仿宋_GB2312"/>
          <w:b w:val="0"/>
          <w:bCs w:val="0"/>
          <w:color w:val="auto"/>
          <w:sz w:val="28"/>
          <w:szCs w:val="28"/>
          <w:lang w:val="en-US" w:eastAsia="zh-CN"/>
        </w:rPr>
      </w:pPr>
      <w:r>
        <w:rPr>
          <w:rFonts w:hint="eastAsia" w:ascii="仿宋_GB2312" w:hAnsi="仿宋_GB2312" w:eastAsia="仿宋_GB2312" w:cs="仿宋_GB2312"/>
          <w:b w:val="0"/>
          <w:bCs w:val="0"/>
          <w:color w:val="auto"/>
          <w:sz w:val="28"/>
          <w:szCs w:val="28"/>
          <w:lang w:val="en-US" w:eastAsia="zh-CN"/>
        </w:rPr>
        <w:t>谈判采购人：</w:t>
      </w:r>
      <w:r>
        <w:rPr>
          <w:rFonts w:hint="eastAsia" w:ascii="仿宋_GB2312" w:hAnsi="仿宋_GB2312" w:eastAsia="仿宋_GB2312" w:cs="仿宋_GB2312"/>
          <w:b w:val="0"/>
          <w:color w:val="auto"/>
          <w:sz w:val="28"/>
          <w:szCs w:val="28"/>
        </w:rPr>
        <w:t>四川九洲</w:t>
      </w:r>
      <w:r>
        <w:rPr>
          <w:rFonts w:hint="eastAsia" w:ascii="仿宋_GB2312" w:hAnsi="仿宋_GB2312" w:eastAsia="仿宋_GB2312" w:cs="仿宋_GB2312"/>
          <w:b w:val="0"/>
          <w:color w:val="auto"/>
          <w:sz w:val="28"/>
          <w:szCs w:val="28"/>
          <w:lang w:val="en-US" w:eastAsia="zh-CN"/>
        </w:rPr>
        <w:t>后勤服务</w:t>
      </w:r>
      <w:r>
        <w:rPr>
          <w:rFonts w:hint="eastAsia" w:ascii="仿宋_GB2312" w:hAnsi="仿宋_GB2312" w:eastAsia="仿宋_GB2312" w:cs="仿宋_GB2312"/>
          <w:b w:val="0"/>
          <w:color w:val="auto"/>
          <w:sz w:val="28"/>
          <w:szCs w:val="28"/>
        </w:rPr>
        <w:t>有限责任公司</w:t>
      </w:r>
      <w:r>
        <w:rPr>
          <w:rFonts w:hint="eastAsia" w:ascii="仿宋_GB2312" w:hAnsi="仿宋_GB2312" w:eastAsia="仿宋_GB2312" w:cs="仿宋_GB2312"/>
          <w:b w:val="0"/>
          <w:bCs w:val="0"/>
          <w:color w:val="auto"/>
          <w:sz w:val="28"/>
          <w:szCs w:val="28"/>
          <w:lang w:val="en-US" w:eastAsia="zh-CN"/>
        </w:rPr>
        <w:t xml:space="preserve">          </w:t>
      </w:r>
    </w:p>
    <w:p w14:paraId="11A89646">
      <w:pPr>
        <w:keepNext w:val="0"/>
        <w:keepLines w:val="0"/>
        <w:pageBreakBefore w:val="0"/>
        <w:widowControl w:val="0"/>
        <w:kinsoku/>
        <w:wordWrap/>
        <w:overflowPunct/>
        <w:topLinePunct w:val="0"/>
        <w:autoSpaceDE/>
        <w:autoSpaceDN/>
        <w:bidi w:val="0"/>
        <w:adjustRightInd w:val="0"/>
        <w:snapToGrid w:val="0"/>
        <w:spacing w:afterLines="0" w:line="500" w:lineRule="exact"/>
        <w:ind w:firstLine="560" w:firstLineChars="200"/>
        <w:jc w:val="both"/>
        <w:textAlignment w:val="auto"/>
        <w:rPr>
          <w:rFonts w:hint="eastAsia" w:ascii="仿宋_GB2312" w:hAnsi="仿宋_GB2312" w:eastAsia="仿宋_GB2312" w:cs="仿宋_GB2312"/>
          <w:b w:val="0"/>
          <w:bCs w:val="0"/>
          <w:color w:val="auto"/>
          <w:sz w:val="28"/>
          <w:szCs w:val="28"/>
          <w:lang w:val="en-US" w:eastAsia="zh-CN"/>
        </w:rPr>
      </w:pPr>
      <w:r>
        <w:rPr>
          <w:rFonts w:hint="eastAsia" w:ascii="仿宋_GB2312" w:hAnsi="仿宋_GB2312" w:eastAsia="仿宋_GB2312" w:cs="仿宋_GB2312"/>
          <w:b w:val="0"/>
          <w:bCs w:val="0"/>
          <w:color w:val="auto"/>
          <w:sz w:val="28"/>
          <w:szCs w:val="28"/>
          <w:lang w:val="en-US" w:eastAsia="zh-CN"/>
        </w:rPr>
        <w:t xml:space="preserve">联系人：张先生          </w:t>
      </w:r>
    </w:p>
    <w:p w14:paraId="7E9A665C">
      <w:pPr>
        <w:keepNext w:val="0"/>
        <w:keepLines w:val="0"/>
        <w:pageBreakBefore w:val="0"/>
        <w:widowControl w:val="0"/>
        <w:kinsoku/>
        <w:wordWrap/>
        <w:overflowPunct/>
        <w:topLinePunct w:val="0"/>
        <w:autoSpaceDE/>
        <w:autoSpaceDN/>
        <w:bidi w:val="0"/>
        <w:adjustRightInd w:val="0"/>
        <w:snapToGrid w:val="0"/>
        <w:spacing w:afterLines="0" w:line="500" w:lineRule="exact"/>
        <w:ind w:firstLine="560" w:firstLineChars="200"/>
        <w:jc w:val="both"/>
        <w:textAlignment w:val="auto"/>
        <w:rPr>
          <w:rFonts w:hint="default" w:ascii="仿宋_GB2312" w:hAnsi="仿宋_GB2312" w:eastAsia="仿宋_GB2312" w:cs="仿宋_GB2312"/>
          <w:b w:val="0"/>
          <w:bCs w:val="0"/>
          <w:color w:val="auto"/>
          <w:sz w:val="28"/>
          <w:szCs w:val="28"/>
          <w:lang w:val="en-US" w:eastAsia="zh-CN"/>
        </w:rPr>
      </w:pPr>
      <w:r>
        <w:rPr>
          <w:rFonts w:hint="eastAsia" w:ascii="仿宋_GB2312" w:hAnsi="仿宋_GB2312" w:eastAsia="仿宋_GB2312" w:cs="仿宋_GB2312"/>
          <w:b w:val="0"/>
          <w:bCs w:val="0"/>
          <w:color w:val="auto"/>
          <w:sz w:val="28"/>
          <w:szCs w:val="28"/>
          <w:lang w:val="en-US" w:eastAsia="zh-CN"/>
        </w:rPr>
        <w:t>电  话：18181779006</w:t>
      </w:r>
    </w:p>
    <w:p w14:paraId="498E707B">
      <w:pPr>
        <w:keepNext w:val="0"/>
        <w:keepLines w:val="0"/>
        <w:pageBreakBefore w:val="0"/>
        <w:widowControl w:val="0"/>
        <w:tabs>
          <w:tab w:val="left" w:pos="360"/>
          <w:tab w:val="left" w:pos="540"/>
        </w:tabs>
        <w:kinsoku/>
        <w:wordWrap/>
        <w:overflowPunct/>
        <w:topLinePunct w:val="0"/>
        <w:autoSpaceDE/>
        <w:autoSpaceDN/>
        <w:bidi w:val="0"/>
        <w:adjustRightInd w:val="0"/>
        <w:snapToGrid w:val="0"/>
        <w:spacing w:afterLines="0" w:line="500" w:lineRule="exact"/>
        <w:ind w:firstLine="560" w:firstLineChars="200"/>
        <w:textAlignment w:val="auto"/>
        <w:outlineLvl w:val="9"/>
        <w:rPr>
          <w:rFonts w:hint="eastAsia"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b w:val="0"/>
          <w:bCs w:val="0"/>
          <w:color w:val="auto"/>
          <w:sz w:val="28"/>
          <w:szCs w:val="28"/>
          <w:lang w:val="en-US" w:eastAsia="zh-CN"/>
        </w:rPr>
        <w:t>邮  箱：zhangheng4@jezetek.cc</w:t>
      </w:r>
    </w:p>
    <w:p w14:paraId="090D6C09">
      <w:pPr>
        <w:keepNext w:val="0"/>
        <w:keepLines w:val="0"/>
        <w:pageBreakBefore w:val="0"/>
        <w:widowControl w:val="0"/>
        <w:kinsoku/>
        <w:wordWrap/>
        <w:overflowPunct/>
        <w:topLinePunct w:val="0"/>
        <w:autoSpaceDE/>
        <w:autoSpaceDN/>
        <w:bidi w:val="0"/>
        <w:adjustRightInd w:val="0"/>
        <w:snapToGrid w:val="0"/>
        <w:spacing w:afterLines="0" w:line="500" w:lineRule="exact"/>
        <w:ind w:firstLine="560" w:firstLineChars="200"/>
        <w:textAlignment w:val="auto"/>
        <w:rPr>
          <w:rFonts w:hint="eastAsia"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lang w:val="en-US" w:eastAsia="zh-CN"/>
        </w:rPr>
        <w:t>附件：</w:t>
      </w:r>
    </w:p>
    <w:p w14:paraId="53376474">
      <w:pPr>
        <w:pStyle w:val="4"/>
        <w:keepNext w:val="0"/>
        <w:keepLines w:val="0"/>
        <w:pageBreakBefore w:val="0"/>
        <w:widowControl w:val="0"/>
        <w:kinsoku/>
        <w:overflowPunct/>
        <w:topLinePunct w:val="0"/>
        <w:autoSpaceDN/>
        <w:bidi w:val="0"/>
        <w:spacing w:afterLines="0" w:line="500" w:lineRule="exact"/>
        <w:ind w:firstLine="560" w:firstLineChars="200"/>
        <w:textAlignment w:val="auto"/>
        <w:rPr>
          <w:rFonts w:hint="eastAsia"/>
          <w:color w:val="auto"/>
          <w:sz w:val="28"/>
          <w:szCs w:val="28"/>
          <w:lang w:val="en-US" w:eastAsia="zh-CN"/>
        </w:rPr>
      </w:pPr>
      <w:r>
        <w:rPr>
          <w:rFonts w:hint="eastAsia" w:ascii="仿宋_GB2312" w:hAnsi="仿宋_GB2312" w:eastAsia="仿宋_GB2312" w:cs="仿宋_GB2312"/>
          <w:color w:val="auto"/>
          <w:spacing w:val="0"/>
          <w:sz w:val="28"/>
          <w:szCs w:val="28"/>
          <w:highlight w:val="none"/>
          <w:lang w:val="en-US" w:eastAsia="zh-CN"/>
        </w:rPr>
        <w:t>《</w:t>
      </w:r>
      <w:r>
        <w:rPr>
          <w:rFonts w:hint="eastAsia" w:ascii="仿宋_GB2312" w:hAnsi="仿宋_GB2312" w:eastAsia="仿宋_GB2312" w:cs="仿宋_GB2312"/>
          <w:b w:val="0"/>
          <w:color w:val="auto"/>
          <w:sz w:val="28"/>
          <w:szCs w:val="28"/>
        </w:rPr>
        <w:t>四川九洲</w:t>
      </w:r>
      <w:r>
        <w:rPr>
          <w:rFonts w:hint="eastAsia" w:ascii="仿宋_GB2312" w:hAnsi="仿宋_GB2312" w:eastAsia="仿宋_GB2312" w:cs="仿宋_GB2312"/>
          <w:b w:val="0"/>
          <w:color w:val="auto"/>
          <w:sz w:val="28"/>
          <w:szCs w:val="28"/>
          <w:lang w:val="en-US" w:eastAsia="zh-CN"/>
        </w:rPr>
        <w:t>后勤服务</w:t>
      </w:r>
      <w:r>
        <w:rPr>
          <w:rFonts w:hint="eastAsia" w:ascii="仿宋_GB2312" w:hAnsi="仿宋_GB2312" w:eastAsia="仿宋_GB2312" w:cs="仿宋_GB2312"/>
          <w:b w:val="0"/>
          <w:color w:val="auto"/>
          <w:sz w:val="28"/>
          <w:szCs w:val="28"/>
        </w:rPr>
        <w:t>有限责任公司</w:t>
      </w:r>
      <w:r>
        <w:rPr>
          <w:rFonts w:hint="eastAsia" w:ascii="仿宋_GB2312" w:hAnsi="仿宋_GB2312" w:eastAsia="仿宋_GB2312" w:cs="仿宋_GB2312"/>
          <w:b w:val="0"/>
          <w:color w:val="auto"/>
          <w:sz w:val="28"/>
          <w:szCs w:val="28"/>
          <w:lang w:val="en-US" w:eastAsia="zh-CN"/>
        </w:rPr>
        <w:t>委托</w:t>
      </w:r>
      <w:r>
        <w:rPr>
          <w:rFonts w:hint="eastAsia" w:ascii="仿宋_GB2312" w:hAnsi="仿宋_GB2312" w:eastAsia="仿宋_GB2312" w:cs="仿宋_GB2312"/>
          <w:b w:val="0"/>
          <w:bCs w:val="0"/>
          <w:color w:val="auto"/>
          <w:sz w:val="28"/>
          <w:szCs w:val="28"/>
          <w:lang w:val="en-US" w:eastAsia="zh-CN"/>
        </w:rPr>
        <w:t>办理建筑相关资质事项</w:t>
      </w:r>
      <w:r>
        <w:rPr>
          <w:rFonts w:hint="eastAsia" w:ascii="仿宋_GB2312" w:hAnsi="仿宋_GB2312" w:eastAsia="仿宋_GB2312" w:cs="仿宋_GB2312"/>
          <w:color w:val="auto"/>
          <w:spacing w:val="0"/>
          <w:sz w:val="28"/>
          <w:szCs w:val="28"/>
          <w:highlight w:val="none"/>
          <w:lang w:val="en-US" w:eastAsia="zh-CN"/>
        </w:rPr>
        <w:t>谈判采购文件》</w:t>
      </w:r>
    </w:p>
    <w:p w14:paraId="631F586B">
      <w:pPr>
        <w:keepNext w:val="0"/>
        <w:keepLines w:val="0"/>
        <w:pageBreakBefore w:val="0"/>
        <w:widowControl w:val="0"/>
        <w:kinsoku/>
        <w:overflowPunct/>
        <w:topLinePunct w:val="0"/>
        <w:autoSpaceDN/>
        <w:bidi w:val="0"/>
        <w:spacing w:afterLines="0" w:line="500" w:lineRule="exact"/>
        <w:textAlignment w:val="auto"/>
        <w:rPr>
          <w:rFonts w:hint="eastAsia"/>
          <w:color w:val="auto"/>
          <w:sz w:val="28"/>
          <w:szCs w:val="28"/>
          <w:lang w:val="en-US" w:eastAsia="zh-CN"/>
        </w:rPr>
      </w:pPr>
    </w:p>
    <w:p w14:paraId="2214160B">
      <w:pPr>
        <w:keepNext w:val="0"/>
        <w:keepLines w:val="0"/>
        <w:pageBreakBefore w:val="0"/>
        <w:widowControl w:val="0"/>
        <w:kinsoku/>
        <w:wordWrap w:val="0"/>
        <w:overflowPunct/>
        <w:topLinePunct w:val="0"/>
        <w:autoSpaceDE/>
        <w:autoSpaceDN/>
        <w:bidi w:val="0"/>
        <w:spacing w:afterLines="0" w:line="500" w:lineRule="exact"/>
        <w:jc w:val="right"/>
        <w:textAlignment w:val="auto"/>
        <w:rPr>
          <w:rFonts w:hint="default" w:ascii="仿宋_GB2312" w:hAnsi="仿宋_GB2312" w:eastAsia="仿宋_GB2312" w:cs="仿宋_GB2312"/>
          <w:color w:val="auto"/>
          <w:sz w:val="28"/>
          <w:szCs w:val="28"/>
          <w:lang w:val="en-US" w:eastAsia="zh-CN"/>
        </w:rPr>
      </w:pPr>
      <w:r>
        <w:rPr>
          <w:rFonts w:hint="eastAsia" w:ascii="仿宋_GB2312" w:hAnsi="仿宋_GB2312" w:eastAsia="仿宋_GB2312" w:cs="仿宋_GB2312"/>
          <w:b w:val="0"/>
          <w:bCs w:val="0"/>
          <w:color w:val="auto"/>
          <w:sz w:val="28"/>
          <w:szCs w:val="28"/>
          <w:lang w:val="en-US" w:eastAsia="zh-CN"/>
        </w:rPr>
        <w:t xml:space="preserve">      </w:t>
      </w:r>
      <w:r>
        <w:rPr>
          <w:rFonts w:hint="eastAsia" w:ascii="仿宋_GB2312" w:hAnsi="仿宋_GB2312" w:eastAsia="仿宋_GB2312" w:cs="仿宋_GB2312"/>
          <w:b w:val="0"/>
          <w:color w:val="auto"/>
          <w:sz w:val="28"/>
          <w:szCs w:val="28"/>
        </w:rPr>
        <w:t>四川九洲</w:t>
      </w:r>
      <w:r>
        <w:rPr>
          <w:rFonts w:hint="eastAsia" w:ascii="仿宋_GB2312" w:hAnsi="仿宋_GB2312" w:eastAsia="仿宋_GB2312" w:cs="仿宋_GB2312"/>
          <w:b w:val="0"/>
          <w:color w:val="auto"/>
          <w:sz w:val="28"/>
          <w:szCs w:val="28"/>
          <w:lang w:val="en-US" w:eastAsia="zh-CN"/>
        </w:rPr>
        <w:t>后勤服务</w:t>
      </w:r>
      <w:r>
        <w:rPr>
          <w:rFonts w:hint="eastAsia" w:ascii="仿宋_GB2312" w:hAnsi="仿宋_GB2312" w:eastAsia="仿宋_GB2312" w:cs="仿宋_GB2312"/>
          <w:b w:val="0"/>
          <w:color w:val="auto"/>
          <w:sz w:val="28"/>
          <w:szCs w:val="28"/>
        </w:rPr>
        <w:t>有限责任公司</w:t>
      </w:r>
      <w:r>
        <w:rPr>
          <w:rFonts w:hint="eastAsia" w:ascii="仿宋_GB2312" w:hAnsi="仿宋_GB2312" w:eastAsia="仿宋_GB2312" w:cs="仿宋_GB2312"/>
          <w:color w:val="auto"/>
          <w:sz w:val="28"/>
          <w:szCs w:val="28"/>
          <w:lang w:val="en-US" w:eastAsia="zh-CN"/>
        </w:rPr>
        <w:t xml:space="preserve">        </w:t>
      </w:r>
    </w:p>
    <w:p w14:paraId="7C1B8A6B">
      <w:pPr>
        <w:pStyle w:val="4"/>
        <w:keepNext w:val="0"/>
        <w:keepLines w:val="0"/>
        <w:pageBreakBefore w:val="0"/>
        <w:widowControl w:val="0"/>
        <w:kinsoku/>
        <w:wordWrap w:val="0"/>
        <w:overflowPunct/>
        <w:topLinePunct w:val="0"/>
        <w:autoSpaceDE/>
        <w:autoSpaceDN/>
        <w:bidi w:val="0"/>
        <w:spacing w:afterLines="0" w:line="500" w:lineRule="exact"/>
        <w:jc w:val="right"/>
        <w:textAlignment w:val="auto"/>
        <w:rPr>
          <w:rFonts w:hint="default"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8"/>
          <w:szCs w:val="28"/>
          <w:lang w:val="en-US" w:eastAsia="zh-CN"/>
        </w:rPr>
        <w:t xml:space="preserve">2026年3月19日             </w:t>
      </w:r>
    </w:p>
    <w:sectPr>
      <w:footerReference r:id="rId3" w:type="default"/>
      <w:pgSz w:w="11906" w:h="16838"/>
      <w:pgMar w:top="2098" w:right="1474" w:bottom="1984" w:left="1587" w:header="851" w:footer="992" w:gutter="0"/>
      <w:pgNumType w:fmt="decimal"/>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D6B9915B-D824-4B7D-8AF6-90D332562B8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2" w:fontKey="{B0BF52A0-25C0-4913-93CE-2E941FF2F6D3}"/>
  </w:font>
  <w:font w:name="方正小标宋简体">
    <w:panose1 w:val="03000509000000000000"/>
    <w:charset w:val="86"/>
    <w:family w:val="auto"/>
    <w:pitch w:val="default"/>
    <w:sig w:usb0="00000001" w:usb1="080E0000" w:usb2="00000000" w:usb3="00000000" w:csb0="00040000" w:csb1="00000000"/>
    <w:embedRegular r:id="rId3" w:fontKey="{7787EBA0-4BCF-4348-89B2-AD507F96F97D}"/>
  </w:font>
  <w:font w:name="仿宋_GB2312">
    <w:panose1 w:val="02010609030101010101"/>
    <w:charset w:val="86"/>
    <w:family w:val="auto"/>
    <w:pitch w:val="default"/>
    <w:sig w:usb0="00000001" w:usb1="080E0000" w:usb2="00000000" w:usb3="00000000" w:csb0="00040000" w:csb1="00000000"/>
    <w:embedRegular r:id="rId4" w:fontKey="{D19D7CE9-232E-4B11-8890-B04327E35821}"/>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F399D9">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B76E2AC">
                          <w:pPr>
                            <w:pStyle w:val="6"/>
                          </w:pPr>
                          <w:r>
                            <w:t xml:space="preserve">第 </w:t>
                          </w:r>
                          <w:r>
                            <w:fldChar w:fldCharType="begin"/>
                          </w:r>
                          <w:r>
                            <w:instrText xml:space="preserve"> PAGE  \* MERGEFORMAT </w:instrText>
                          </w:r>
                          <w:r>
                            <w:fldChar w:fldCharType="separate"/>
                          </w:r>
                          <w:r>
                            <w:t>- 1 -</w:t>
                          </w:r>
                          <w:r>
                            <w:fldChar w:fldCharType="end"/>
                          </w:r>
                          <w:r>
                            <w:t xml:space="preserve"> 页 共 </w:t>
                          </w:r>
                          <w:r>
                            <w:fldChar w:fldCharType="begin"/>
                          </w:r>
                          <w:r>
                            <w:instrText xml:space="preserve"> NUMPAGES  \* MERGEFORMAT </w:instrText>
                          </w:r>
                          <w:r>
                            <w:fldChar w:fldCharType="separate"/>
                          </w:r>
                          <w:r>
                            <w:t>5</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1B76E2AC">
                    <w:pPr>
                      <w:pStyle w:val="6"/>
                    </w:pPr>
                    <w:r>
                      <w:t xml:space="preserve">第 </w:t>
                    </w:r>
                    <w:r>
                      <w:fldChar w:fldCharType="begin"/>
                    </w:r>
                    <w:r>
                      <w:instrText xml:space="preserve"> PAGE  \* MERGEFORMAT </w:instrText>
                    </w:r>
                    <w:r>
                      <w:fldChar w:fldCharType="separate"/>
                    </w:r>
                    <w:r>
                      <w:t>- 1 -</w:t>
                    </w:r>
                    <w:r>
                      <w:fldChar w:fldCharType="end"/>
                    </w:r>
                    <w:r>
                      <w:t xml:space="preserve"> 页 共 </w:t>
                    </w:r>
                    <w:r>
                      <w:fldChar w:fldCharType="begin"/>
                    </w:r>
                    <w:r>
                      <w:instrText xml:space="preserve"> NUMPAGES  \* MERGEFORMAT </w:instrText>
                    </w:r>
                    <w:r>
                      <w:fldChar w:fldCharType="separate"/>
                    </w:r>
                    <w:r>
                      <w:t>5</w:t>
                    </w:r>
                    <w:r>
                      <w:fldChar w:fldCharType="end"/>
                    </w:r>
                    <w:r>
                      <w:t xml:space="preserve"> 页</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embedTrueTypeFonts/>
  <w:saveSubsetFonts/>
  <w:bordersDoNotSurroundHeader w:val="0"/>
  <w:bordersDoNotSurroundFooter w:val="0"/>
  <w:trackRevisions w:val="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liOTU1MDI0MDk4M2Q0Yjg3ZWFiMDRmOTJjODY1ZTUifQ=="/>
  </w:docVars>
  <w:rsids>
    <w:rsidRoot w:val="00000000"/>
    <w:rsid w:val="0026200C"/>
    <w:rsid w:val="00563274"/>
    <w:rsid w:val="007D6A53"/>
    <w:rsid w:val="008B07D0"/>
    <w:rsid w:val="018856AF"/>
    <w:rsid w:val="01E47D9F"/>
    <w:rsid w:val="021D229B"/>
    <w:rsid w:val="026659F0"/>
    <w:rsid w:val="02727579"/>
    <w:rsid w:val="02F53218"/>
    <w:rsid w:val="03082F4B"/>
    <w:rsid w:val="031D37A8"/>
    <w:rsid w:val="033243BE"/>
    <w:rsid w:val="033C5F42"/>
    <w:rsid w:val="03B929EB"/>
    <w:rsid w:val="03E47515"/>
    <w:rsid w:val="042042C5"/>
    <w:rsid w:val="04CF1463"/>
    <w:rsid w:val="04E24126"/>
    <w:rsid w:val="0635373E"/>
    <w:rsid w:val="0696086E"/>
    <w:rsid w:val="069971F2"/>
    <w:rsid w:val="06F27BFF"/>
    <w:rsid w:val="071C30C7"/>
    <w:rsid w:val="072F4F4B"/>
    <w:rsid w:val="07B06E9A"/>
    <w:rsid w:val="07EA05BE"/>
    <w:rsid w:val="08072C38"/>
    <w:rsid w:val="08C565F2"/>
    <w:rsid w:val="097E5D15"/>
    <w:rsid w:val="0AA85C42"/>
    <w:rsid w:val="0ABF6367"/>
    <w:rsid w:val="0AF9027D"/>
    <w:rsid w:val="0AFB510A"/>
    <w:rsid w:val="0C174E76"/>
    <w:rsid w:val="0C2055E2"/>
    <w:rsid w:val="0C4A7341"/>
    <w:rsid w:val="0CFC35D9"/>
    <w:rsid w:val="0D0C53E6"/>
    <w:rsid w:val="0D111DC1"/>
    <w:rsid w:val="0D314E4D"/>
    <w:rsid w:val="0D921E4A"/>
    <w:rsid w:val="0DC932D7"/>
    <w:rsid w:val="0DD203DE"/>
    <w:rsid w:val="0DD979BE"/>
    <w:rsid w:val="0DF76448"/>
    <w:rsid w:val="0DFE3439"/>
    <w:rsid w:val="0E6F02DE"/>
    <w:rsid w:val="0EB9334C"/>
    <w:rsid w:val="0F296723"/>
    <w:rsid w:val="0F3F64E6"/>
    <w:rsid w:val="0F69102D"/>
    <w:rsid w:val="0F8F7B04"/>
    <w:rsid w:val="0FBF4992"/>
    <w:rsid w:val="0FE91E54"/>
    <w:rsid w:val="10CC6C14"/>
    <w:rsid w:val="119200E9"/>
    <w:rsid w:val="119F4CA6"/>
    <w:rsid w:val="11D26BB9"/>
    <w:rsid w:val="12183D0A"/>
    <w:rsid w:val="123300B6"/>
    <w:rsid w:val="123A2EEC"/>
    <w:rsid w:val="137547B4"/>
    <w:rsid w:val="139705EA"/>
    <w:rsid w:val="14015F8F"/>
    <w:rsid w:val="14294AD0"/>
    <w:rsid w:val="1503047B"/>
    <w:rsid w:val="15372D93"/>
    <w:rsid w:val="15961DF8"/>
    <w:rsid w:val="15A91CD2"/>
    <w:rsid w:val="15CA7FB6"/>
    <w:rsid w:val="16115DF3"/>
    <w:rsid w:val="163677D4"/>
    <w:rsid w:val="16A003D8"/>
    <w:rsid w:val="16F07B27"/>
    <w:rsid w:val="17342109"/>
    <w:rsid w:val="17381E30"/>
    <w:rsid w:val="17AB2A4B"/>
    <w:rsid w:val="17AF6033"/>
    <w:rsid w:val="17B53C91"/>
    <w:rsid w:val="17B86896"/>
    <w:rsid w:val="18174D83"/>
    <w:rsid w:val="1821268E"/>
    <w:rsid w:val="184E71FB"/>
    <w:rsid w:val="18A454E3"/>
    <w:rsid w:val="18DD095C"/>
    <w:rsid w:val="193775A7"/>
    <w:rsid w:val="1A514669"/>
    <w:rsid w:val="1B2E0EB0"/>
    <w:rsid w:val="1B6956DE"/>
    <w:rsid w:val="1C116575"/>
    <w:rsid w:val="1CA302AE"/>
    <w:rsid w:val="1D305121"/>
    <w:rsid w:val="1D652E39"/>
    <w:rsid w:val="1DD76A33"/>
    <w:rsid w:val="1E0068A1"/>
    <w:rsid w:val="1E4E5A74"/>
    <w:rsid w:val="1E7C31ED"/>
    <w:rsid w:val="1ECA44D1"/>
    <w:rsid w:val="1F133336"/>
    <w:rsid w:val="1FF70178"/>
    <w:rsid w:val="1FFB37C4"/>
    <w:rsid w:val="200A3A07"/>
    <w:rsid w:val="20166850"/>
    <w:rsid w:val="207568F6"/>
    <w:rsid w:val="20B120D5"/>
    <w:rsid w:val="20DE51BB"/>
    <w:rsid w:val="20F0296F"/>
    <w:rsid w:val="21320E26"/>
    <w:rsid w:val="21CB5418"/>
    <w:rsid w:val="21E32E28"/>
    <w:rsid w:val="223F3975"/>
    <w:rsid w:val="22405E06"/>
    <w:rsid w:val="22C56C42"/>
    <w:rsid w:val="23065615"/>
    <w:rsid w:val="23427BCD"/>
    <w:rsid w:val="23963B5A"/>
    <w:rsid w:val="24044C11"/>
    <w:rsid w:val="241269CE"/>
    <w:rsid w:val="24466FD8"/>
    <w:rsid w:val="24515FA9"/>
    <w:rsid w:val="24621EC3"/>
    <w:rsid w:val="24633598"/>
    <w:rsid w:val="246A5B1A"/>
    <w:rsid w:val="247638DD"/>
    <w:rsid w:val="25EE6EE7"/>
    <w:rsid w:val="26103D41"/>
    <w:rsid w:val="264473DF"/>
    <w:rsid w:val="264E420B"/>
    <w:rsid w:val="267730E6"/>
    <w:rsid w:val="26A967F4"/>
    <w:rsid w:val="26B648E9"/>
    <w:rsid w:val="26D74B7C"/>
    <w:rsid w:val="271727F0"/>
    <w:rsid w:val="273238C1"/>
    <w:rsid w:val="275D2FB6"/>
    <w:rsid w:val="28263DB7"/>
    <w:rsid w:val="283755B5"/>
    <w:rsid w:val="285919D0"/>
    <w:rsid w:val="287E67A4"/>
    <w:rsid w:val="289924B2"/>
    <w:rsid w:val="28A16908"/>
    <w:rsid w:val="29F97884"/>
    <w:rsid w:val="2A98487A"/>
    <w:rsid w:val="2AC1385C"/>
    <w:rsid w:val="2AD03A86"/>
    <w:rsid w:val="2C855FFF"/>
    <w:rsid w:val="2C980689"/>
    <w:rsid w:val="2CB216AE"/>
    <w:rsid w:val="2CE455E0"/>
    <w:rsid w:val="2D287BC3"/>
    <w:rsid w:val="2D2F1D25"/>
    <w:rsid w:val="2D3B78F6"/>
    <w:rsid w:val="2D502C75"/>
    <w:rsid w:val="2DB333D9"/>
    <w:rsid w:val="2E6F7BEC"/>
    <w:rsid w:val="2E9A75BF"/>
    <w:rsid w:val="2E9B6172"/>
    <w:rsid w:val="2EA033DB"/>
    <w:rsid w:val="2F756F0F"/>
    <w:rsid w:val="2FC54288"/>
    <w:rsid w:val="300A35B0"/>
    <w:rsid w:val="307F7AFA"/>
    <w:rsid w:val="30EE2ED1"/>
    <w:rsid w:val="3104140A"/>
    <w:rsid w:val="31931EFA"/>
    <w:rsid w:val="31975317"/>
    <w:rsid w:val="31E724C8"/>
    <w:rsid w:val="331F543A"/>
    <w:rsid w:val="332D6510"/>
    <w:rsid w:val="33E02FA5"/>
    <w:rsid w:val="33F321F0"/>
    <w:rsid w:val="33F46A50"/>
    <w:rsid w:val="341669C7"/>
    <w:rsid w:val="341E7629"/>
    <w:rsid w:val="34270BD4"/>
    <w:rsid w:val="34986E89"/>
    <w:rsid w:val="353B7637"/>
    <w:rsid w:val="354D6CC5"/>
    <w:rsid w:val="35C12962"/>
    <w:rsid w:val="36C26992"/>
    <w:rsid w:val="36E7289C"/>
    <w:rsid w:val="36F87342"/>
    <w:rsid w:val="371219FC"/>
    <w:rsid w:val="37160A8C"/>
    <w:rsid w:val="377F50C7"/>
    <w:rsid w:val="37867A78"/>
    <w:rsid w:val="386677F1"/>
    <w:rsid w:val="38740160"/>
    <w:rsid w:val="38797D5B"/>
    <w:rsid w:val="389A4932"/>
    <w:rsid w:val="3A0A53E1"/>
    <w:rsid w:val="3A2331A5"/>
    <w:rsid w:val="3A2412E2"/>
    <w:rsid w:val="3A306308"/>
    <w:rsid w:val="3A3739A0"/>
    <w:rsid w:val="3A5C0EAC"/>
    <w:rsid w:val="3A825A8A"/>
    <w:rsid w:val="3BA32789"/>
    <w:rsid w:val="3C2022F0"/>
    <w:rsid w:val="3C9F3181"/>
    <w:rsid w:val="3CAA3E3C"/>
    <w:rsid w:val="3CD63197"/>
    <w:rsid w:val="3D297E6C"/>
    <w:rsid w:val="3D5D6C2A"/>
    <w:rsid w:val="3DB86AE1"/>
    <w:rsid w:val="3ED41958"/>
    <w:rsid w:val="3EFF0DE7"/>
    <w:rsid w:val="3F4D5E52"/>
    <w:rsid w:val="4004001B"/>
    <w:rsid w:val="40442B0E"/>
    <w:rsid w:val="40490124"/>
    <w:rsid w:val="40644985"/>
    <w:rsid w:val="409273D5"/>
    <w:rsid w:val="411402FB"/>
    <w:rsid w:val="417A32B8"/>
    <w:rsid w:val="41AA69A0"/>
    <w:rsid w:val="42116A20"/>
    <w:rsid w:val="425A1D8E"/>
    <w:rsid w:val="42F04887"/>
    <w:rsid w:val="430958F5"/>
    <w:rsid w:val="43100A85"/>
    <w:rsid w:val="43A55311"/>
    <w:rsid w:val="43B51FAD"/>
    <w:rsid w:val="43BD0C0D"/>
    <w:rsid w:val="43F324F6"/>
    <w:rsid w:val="44240C8C"/>
    <w:rsid w:val="44724CE8"/>
    <w:rsid w:val="44996E9A"/>
    <w:rsid w:val="44AD57DB"/>
    <w:rsid w:val="454866BE"/>
    <w:rsid w:val="45FE72BB"/>
    <w:rsid w:val="46207231"/>
    <w:rsid w:val="463275EF"/>
    <w:rsid w:val="46B94A6A"/>
    <w:rsid w:val="47531516"/>
    <w:rsid w:val="483D40CA"/>
    <w:rsid w:val="488240A7"/>
    <w:rsid w:val="48D65ABD"/>
    <w:rsid w:val="498040E0"/>
    <w:rsid w:val="49AB4468"/>
    <w:rsid w:val="49D05405"/>
    <w:rsid w:val="49EE54A2"/>
    <w:rsid w:val="4A0A26D2"/>
    <w:rsid w:val="4BA44460"/>
    <w:rsid w:val="4BE33909"/>
    <w:rsid w:val="4BE96317"/>
    <w:rsid w:val="4C336809"/>
    <w:rsid w:val="4C4F0870"/>
    <w:rsid w:val="4C847CEF"/>
    <w:rsid w:val="4CC31E59"/>
    <w:rsid w:val="4D6E4D26"/>
    <w:rsid w:val="4DFC0584"/>
    <w:rsid w:val="4E0C1F76"/>
    <w:rsid w:val="4E2D698F"/>
    <w:rsid w:val="4E2F6BAB"/>
    <w:rsid w:val="4E46460F"/>
    <w:rsid w:val="4E606D65"/>
    <w:rsid w:val="4EAC3D58"/>
    <w:rsid w:val="4EB470B0"/>
    <w:rsid w:val="4F0E4A13"/>
    <w:rsid w:val="4F4435EA"/>
    <w:rsid w:val="4F5B752C"/>
    <w:rsid w:val="4F656F4B"/>
    <w:rsid w:val="4F7B372A"/>
    <w:rsid w:val="4FD73056"/>
    <w:rsid w:val="4FFB12D0"/>
    <w:rsid w:val="50047BC4"/>
    <w:rsid w:val="500C118E"/>
    <w:rsid w:val="50374A6E"/>
    <w:rsid w:val="50A8054F"/>
    <w:rsid w:val="51581F75"/>
    <w:rsid w:val="518724FA"/>
    <w:rsid w:val="51AF747A"/>
    <w:rsid w:val="52A958E6"/>
    <w:rsid w:val="52AF74B4"/>
    <w:rsid w:val="53A772E4"/>
    <w:rsid w:val="54102FDB"/>
    <w:rsid w:val="542B1BC3"/>
    <w:rsid w:val="54ED3084"/>
    <w:rsid w:val="54F03B61"/>
    <w:rsid w:val="550146D2"/>
    <w:rsid w:val="552216A3"/>
    <w:rsid w:val="5593065D"/>
    <w:rsid w:val="5634689E"/>
    <w:rsid w:val="5644764C"/>
    <w:rsid w:val="56570A4D"/>
    <w:rsid w:val="568757C3"/>
    <w:rsid w:val="56CF7547"/>
    <w:rsid w:val="56D62125"/>
    <w:rsid w:val="5703723B"/>
    <w:rsid w:val="571A1A7B"/>
    <w:rsid w:val="573B6F89"/>
    <w:rsid w:val="57672E7F"/>
    <w:rsid w:val="577F3F4E"/>
    <w:rsid w:val="57CA2074"/>
    <w:rsid w:val="585119A0"/>
    <w:rsid w:val="58642C57"/>
    <w:rsid w:val="588418A2"/>
    <w:rsid w:val="58E340E1"/>
    <w:rsid w:val="5948795C"/>
    <w:rsid w:val="5949510A"/>
    <w:rsid w:val="597A4AD5"/>
    <w:rsid w:val="5B0330AF"/>
    <w:rsid w:val="5B21787C"/>
    <w:rsid w:val="5B437FD7"/>
    <w:rsid w:val="5BBE50CA"/>
    <w:rsid w:val="5C336EDF"/>
    <w:rsid w:val="5C3749E4"/>
    <w:rsid w:val="5C65135B"/>
    <w:rsid w:val="5D1E36CB"/>
    <w:rsid w:val="5D4E2CE0"/>
    <w:rsid w:val="5D5D2F18"/>
    <w:rsid w:val="5E017545"/>
    <w:rsid w:val="5E1823FF"/>
    <w:rsid w:val="5E1B6804"/>
    <w:rsid w:val="5E28675A"/>
    <w:rsid w:val="5EA1188A"/>
    <w:rsid w:val="5EEE2C1A"/>
    <w:rsid w:val="5F4B469E"/>
    <w:rsid w:val="5F942238"/>
    <w:rsid w:val="5F975D5B"/>
    <w:rsid w:val="600E75B8"/>
    <w:rsid w:val="601E438A"/>
    <w:rsid w:val="60A46F85"/>
    <w:rsid w:val="61017751"/>
    <w:rsid w:val="6131633F"/>
    <w:rsid w:val="617E096B"/>
    <w:rsid w:val="618217E8"/>
    <w:rsid w:val="620D79D8"/>
    <w:rsid w:val="621B7ACC"/>
    <w:rsid w:val="624A76B8"/>
    <w:rsid w:val="625A401C"/>
    <w:rsid w:val="63436880"/>
    <w:rsid w:val="637B1A15"/>
    <w:rsid w:val="63D71756"/>
    <w:rsid w:val="6490473E"/>
    <w:rsid w:val="64D6157E"/>
    <w:rsid w:val="652F0A6F"/>
    <w:rsid w:val="65764C68"/>
    <w:rsid w:val="659B0DE1"/>
    <w:rsid w:val="659D21F5"/>
    <w:rsid w:val="65AF139B"/>
    <w:rsid w:val="66212E26"/>
    <w:rsid w:val="663F191E"/>
    <w:rsid w:val="6776308D"/>
    <w:rsid w:val="67C63C85"/>
    <w:rsid w:val="68570D81"/>
    <w:rsid w:val="687E1571"/>
    <w:rsid w:val="68A35D74"/>
    <w:rsid w:val="68B00491"/>
    <w:rsid w:val="68FB5BB0"/>
    <w:rsid w:val="69470352"/>
    <w:rsid w:val="696E6097"/>
    <w:rsid w:val="69992CD3"/>
    <w:rsid w:val="6A220BEF"/>
    <w:rsid w:val="6A470981"/>
    <w:rsid w:val="6A885221"/>
    <w:rsid w:val="6AD118D2"/>
    <w:rsid w:val="6AF73BA2"/>
    <w:rsid w:val="6B160323"/>
    <w:rsid w:val="6B28657E"/>
    <w:rsid w:val="6B852724"/>
    <w:rsid w:val="6B9D00F6"/>
    <w:rsid w:val="6CBA18DE"/>
    <w:rsid w:val="6CC05DE2"/>
    <w:rsid w:val="6D063612"/>
    <w:rsid w:val="6D2B458A"/>
    <w:rsid w:val="6D4D2752"/>
    <w:rsid w:val="6D521434"/>
    <w:rsid w:val="6DBD1686"/>
    <w:rsid w:val="6E394F28"/>
    <w:rsid w:val="6E912274"/>
    <w:rsid w:val="6EBC36EB"/>
    <w:rsid w:val="6F0406E4"/>
    <w:rsid w:val="6FA06B69"/>
    <w:rsid w:val="6FAF175A"/>
    <w:rsid w:val="6FCF71CE"/>
    <w:rsid w:val="702838DC"/>
    <w:rsid w:val="705C33D8"/>
    <w:rsid w:val="70B36C63"/>
    <w:rsid w:val="70BA3C5B"/>
    <w:rsid w:val="710E6071"/>
    <w:rsid w:val="71210DBF"/>
    <w:rsid w:val="71883D59"/>
    <w:rsid w:val="719941B8"/>
    <w:rsid w:val="71C02BDC"/>
    <w:rsid w:val="71C85038"/>
    <w:rsid w:val="71E371E1"/>
    <w:rsid w:val="71E76E55"/>
    <w:rsid w:val="72062ED0"/>
    <w:rsid w:val="72B871E5"/>
    <w:rsid w:val="72F8564E"/>
    <w:rsid w:val="73740A39"/>
    <w:rsid w:val="73B6605B"/>
    <w:rsid w:val="73C34FAF"/>
    <w:rsid w:val="73F203B4"/>
    <w:rsid w:val="744A630C"/>
    <w:rsid w:val="74806F69"/>
    <w:rsid w:val="74D56C9E"/>
    <w:rsid w:val="752C4BC3"/>
    <w:rsid w:val="75CB5F87"/>
    <w:rsid w:val="763224E5"/>
    <w:rsid w:val="76D302F8"/>
    <w:rsid w:val="76E4220E"/>
    <w:rsid w:val="76F02A6D"/>
    <w:rsid w:val="76F435C1"/>
    <w:rsid w:val="77583E6C"/>
    <w:rsid w:val="77EB1BC2"/>
    <w:rsid w:val="78740CB9"/>
    <w:rsid w:val="79190DFE"/>
    <w:rsid w:val="79243B46"/>
    <w:rsid w:val="79951709"/>
    <w:rsid w:val="79D57D57"/>
    <w:rsid w:val="7A062E7B"/>
    <w:rsid w:val="7A7F48B0"/>
    <w:rsid w:val="7A911158"/>
    <w:rsid w:val="7B087CB8"/>
    <w:rsid w:val="7BB816DF"/>
    <w:rsid w:val="7BD75D40"/>
    <w:rsid w:val="7C4F3DF1"/>
    <w:rsid w:val="7C945CA8"/>
    <w:rsid w:val="7D4C6CF6"/>
    <w:rsid w:val="7D5E1E12"/>
    <w:rsid w:val="7D5F10AC"/>
    <w:rsid w:val="7D910439"/>
    <w:rsid w:val="7DA95783"/>
    <w:rsid w:val="7DDD542C"/>
    <w:rsid w:val="7DF60316"/>
    <w:rsid w:val="7E52028D"/>
    <w:rsid w:val="7E69510A"/>
    <w:rsid w:val="7F2A72D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99"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qFormat/>
    <w:uiPriority w:val="0"/>
    <w:pPr>
      <w:keepNext/>
      <w:keepLines/>
      <w:spacing w:before="260" w:after="260" w:line="280" w:lineRule="exact"/>
      <w:jc w:val="left"/>
      <w:outlineLvl w:val="1"/>
    </w:pPr>
    <w:rPr>
      <w:rFonts w:ascii="Arial" w:hAnsi="Arial"/>
      <w:b/>
      <w:bCs/>
      <w:kern w:val="0"/>
      <w:sz w:val="28"/>
      <w:szCs w:val="32"/>
    </w:rPr>
  </w:style>
  <w:style w:type="character" w:default="1" w:styleId="12">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3">
    <w:name w:val="annotation text"/>
    <w:basedOn w:val="1"/>
    <w:qFormat/>
    <w:uiPriority w:val="0"/>
    <w:pPr>
      <w:jc w:val="left"/>
    </w:pPr>
  </w:style>
  <w:style w:type="paragraph" w:styleId="4">
    <w:name w:val="Body Text"/>
    <w:basedOn w:val="1"/>
    <w:next w:val="1"/>
    <w:qFormat/>
    <w:uiPriority w:val="0"/>
    <w:pPr>
      <w:jc w:val="left"/>
    </w:pPr>
    <w:rPr>
      <w:rFonts w:ascii="宋体" w:hAnsi="宋体" w:eastAsia="宋体" w:cs="宋体"/>
      <w:lang w:eastAsia="en-US"/>
    </w:rPr>
  </w:style>
  <w:style w:type="paragraph" w:styleId="5">
    <w:name w:val="Body Text Indent"/>
    <w:basedOn w:val="1"/>
    <w:qFormat/>
    <w:uiPriority w:val="0"/>
    <w:pPr>
      <w:ind w:firstLine="632" w:firstLineChars="225"/>
    </w:pPr>
    <w:rPr>
      <w:sz w:val="28"/>
    </w:rPr>
  </w:style>
  <w:style w:type="paragraph" w:styleId="6">
    <w:name w:val="footer"/>
    <w:basedOn w:val="1"/>
    <w:qFormat/>
    <w:uiPriority w:val="0"/>
    <w:pPr>
      <w:tabs>
        <w:tab w:val="center" w:pos="4153"/>
        <w:tab w:val="right" w:pos="8306"/>
      </w:tabs>
      <w:snapToGrid w:val="0"/>
      <w:jc w:val="left"/>
    </w:pPr>
    <w:rPr>
      <w:sz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8">
    <w:name w:val="Body Text Indent 3"/>
    <w:basedOn w:val="1"/>
    <w:qFormat/>
    <w:uiPriority w:val="0"/>
    <w:pPr>
      <w:tabs>
        <w:tab w:val="left" w:pos="0"/>
      </w:tabs>
      <w:ind w:firstLine="539" w:firstLineChars="179"/>
    </w:pPr>
    <w:rPr>
      <w:sz w:val="30"/>
    </w:rPr>
  </w:style>
  <w:style w:type="paragraph" w:styleId="9">
    <w:name w:val="Body Text 2"/>
    <w:basedOn w:val="1"/>
    <w:qFormat/>
    <w:uiPriority w:val="99"/>
    <w:pPr>
      <w:spacing w:after="120" w:line="480" w:lineRule="auto"/>
      <w:ind w:firstLine="560" w:firstLineChars="200"/>
    </w:pPr>
    <w:rPr>
      <w:kern w:val="0"/>
    </w:rPr>
  </w:style>
  <w:style w:type="paragraph" w:styleId="10">
    <w:name w:val="Normal (Web)"/>
    <w:basedOn w:val="1"/>
    <w:qFormat/>
    <w:uiPriority w:val="0"/>
    <w:pPr>
      <w:widowControl/>
      <w:spacing w:before="100" w:beforeAutospacing="1" w:after="100" w:afterAutospacing="1"/>
      <w:jc w:val="left"/>
    </w:pPr>
    <w:rPr>
      <w:rFonts w:ascii="宋体" w:hAnsi="宋体"/>
      <w:kern w:val="0"/>
      <w:sz w:val="24"/>
    </w:rPr>
  </w:style>
  <w:style w:type="character" w:styleId="13">
    <w:name w:val="Strong"/>
    <w:basedOn w:val="12"/>
    <w:qFormat/>
    <w:uiPriority w:val="0"/>
    <w:rPr>
      <w:b/>
    </w:rPr>
  </w:style>
  <w:style w:type="character" w:styleId="14">
    <w:name w:val="Hyperlink"/>
    <w:basedOn w:val="12"/>
    <w:qFormat/>
    <w:uiPriority w:val="0"/>
    <w:rPr>
      <w:color w:val="0000FF"/>
      <w:u w:val="singl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Pages>
  <Words>1392</Words>
  <Characters>1566</Characters>
  <Lines>0</Lines>
  <Paragraphs>0</Paragraphs>
  <TotalTime>1</TotalTime>
  <ScaleCrop>false</ScaleCrop>
  <LinksUpToDate>false</LinksUpToDate>
  <CharactersWithSpaces>1619</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2023-02-21T05:42:00Z</dcterms:created>
  <dc:creator>yoga 14s</dc:creator>
  <cp:lastModifiedBy>阿妍</cp:lastModifiedBy>
  <cp:lastPrinted>2024-08-19T06:43:00Z</cp:lastPrinted>
  <dcterms:modified xsi:type="dcterms:W3CDTF">2026-03-16T06:36:37Z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269F4300DD1E4DCABA97FC4EF99277DA_13</vt:lpwstr>
  </property>
  <property fmtid="{D5CDD505-2E9C-101B-9397-08002B2CF9AE}" pid="4" name="KSOTemplateDocerSaveRecord">
    <vt:lpwstr>eyJoZGlkIjoiY2YxMWRiMmFjMzYzOTYzYmUyNGE1ZGExMzY3NzkxZDgiLCJ1c2VySWQiOiIzMTEyNzM4NzIifQ==</vt:lpwstr>
  </property>
</Properties>
</file>