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DC71D">
      <w:pPr>
        <w:jc w:val="center"/>
        <w:rPr>
          <w:rFonts w:hint="eastAsia" w:ascii="长城小标宋体" w:hAnsi="长城小标宋体" w:eastAsia="长城小标宋体" w:cs="长城小标宋体"/>
          <w:b/>
          <w:bCs/>
          <w:sz w:val="44"/>
          <w:szCs w:val="44"/>
          <w:lang w:val="en-US" w:eastAsia="zh-CN"/>
        </w:rPr>
      </w:pPr>
      <w:r>
        <w:rPr>
          <w:rFonts w:hint="eastAsia" w:ascii="长城小标宋体" w:hAnsi="长城小标宋体" w:eastAsia="长城小标宋体" w:cs="长城小标宋体"/>
          <w:b/>
          <w:bCs/>
          <w:sz w:val="44"/>
          <w:szCs w:val="44"/>
          <w:lang w:val="en-US" w:eastAsia="zh-CN"/>
        </w:rPr>
        <w:t>四川九洲投资控股集团有限公司增资扩股</w:t>
      </w:r>
    </w:p>
    <w:p w14:paraId="632086B5">
      <w:pPr>
        <w:jc w:val="center"/>
        <w:rPr>
          <w:rFonts w:hint="eastAsia" w:ascii="长城小标宋体" w:hAnsi="长城小标宋体" w:eastAsia="长城小标宋体" w:cs="长城小标宋体"/>
          <w:b/>
          <w:bCs/>
          <w:sz w:val="44"/>
          <w:szCs w:val="44"/>
        </w:rPr>
      </w:pPr>
      <w:r>
        <w:rPr>
          <w:rFonts w:hint="eastAsia" w:ascii="长城小标宋体" w:hAnsi="长城小标宋体" w:eastAsia="长城小标宋体" w:cs="长城小标宋体"/>
          <w:b/>
          <w:bCs/>
          <w:sz w:val="44"/>
          <w:szCs w:val="44"/>
        </w:rPr>
        <w:t>信息预披露</w:t>
      </w:r>
      <w:bookmarkStart w:id="0" w:name="_GoBack"/>
      <w:bookmarkEnd w:id="0"/>
    </w:p>
    <w:p w14:paraId="3A06AE66">
      <w:pPr>
        <w:jc w:val="center"/>
        <w:rPr>
          <w:rFonts w:hint="eastAsia" w:ascii="宋体" w:hAnsi="宋体"/>
          <w:sz w:val="32"/>
          <w:szCs w:val="32"/>
        </w:rPr>
      </w:pPr>
    </w:p>
    <w:tbl>
      <w:tblPr>
        <w:tblStyle w:val="7"/>
        <w:tblW w:w="99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9"/>
        <w:gridCol w:w="1143"/>
        <w:gridCol w:w="720"/>
        <w:gridCol w:w="142"/>
        <w:gridCol w:w="2690"/>
        <w:gridCol w:w="1844"/>
        <w:gridCol w:w="15"/>
        <w:gridCol w:w="2681"/>
      </w:tblGrid>
      <w:tr w14:paraId="2D87D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24" w:type="dxa"/>
            <w:gridSpan w:val="8"/>
            <w:noWrap w:val="0"/>
            <w:vAlign w:val="top"/>
          </w:tcPr>
          <w:p w14:paraId="46B2134A"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标的基本情况</w:t>
            </w:r>
          </w:p>
        </w:tc>
      </w:tr>
      <w:tr w14:paraId="3D768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552" w:type="dxa"/>
            <w:gridSpan w:val="3"/>
            <w:noWrap w:val="0"/>
            <w:vAlign w:val="center"/>
          </w:tcPr>
          <w:p w14:paraId="78B35E1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标的名称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2F2D48A1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四川九洲投资控股集团有限公司增资扩股</w:t>
            </w:r>
          </w:p>
        </w:tc>
      </w:tr>
      <w:tr w14:paraId="33D97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52" w:type="dxa"/>
            <w:gridSpan w:val="3"/>
            <w:noWrap w:val="0"/>
            <w:vAlign w:val="center"/>
          </w:tcPr>
          <w:p w14:paraId="372EFEA3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本次新增新股东股权占比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261215FB">
            <w:pPr>
              <w:jc w:val="left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不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高于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2</w:t>
            </w:r>
            <w:r>
              <w:rPr>
                <w:rFonts w:hint="default" w:ascii="宋体" w:hAnsi="宋体"/>
                <w:sz w:val="24"/>
                <w:lang w:val="en-US" w:eastAsia="zh-CN"/>
              </w:rPr>
              <w:t>%</w:t>
            </w:r>
          </w:p>
        </w:tc>
      </w:tr>
      <w:tr w14:paraId="075C6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10820D86">
            <w:pPr>
              <w:jc w:val="center"/>
              <w:rPr>
                <w:rFonts w:hint="eastAsia"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i w:val="0"/>
                <w:iCs w:val="0"/>
                <w:caps w:val="0"/>
                <w:color w:val="333333"/>
                <w:spacing w:val="0"/>
                <w:sz w:val="24"/>
                <w:szCs w:val="24"/>
                <w:highlight w:val="none"/>
                <w:shd w:val="clear" w:color="auto" w:fill="auto"/>
              </w:rPr>
              <w:t>拟</w:t>
            </w:r>
            <w:r>
              <w:rPr>
                <w:rFonts w:hint="eastAsia" w:ascii="宋体" w:hAnsi="宋体" w:eastAsia="宋体" w:cs="Times New Roman"/>
                <w:b/>
                <w:i w:val="0"/>
                <w:iCs w:val="0"/>
                <w:caps w:val="0"/>
                <w:color w:val="333333"/>
                <w:spacing w:val="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募集资金</w:t>
            </w:r>
            <w:r>
              <w:rPr>
                <w:rFonts w:hint="eastAsia" w:ascii="宋体" w:hAnsi="宋体" w:eastAsia="宋体" w:cs="Times New Roman"/>
                <w:b/>
                <w:i w:val="0"/>
                <w:iCs w:val="0"/>
                <w:caps w:val="0"/>
                <w:color w:val="333333"/>
                <w:spacing w:val="0"/>
                <w:sz w:val="24"/>
                <w:szCs w:val="24"/>
                <w:highlight w:val="none"/>
                <w:shd w:val="clear" w:color="auto" w:fill="auto"/>
              </w:rPr>
              <w:t>金额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1905EBEA">
            <w:pPr>
              <w:jc w:val="left"/>
              <w:rPr>
                <w:rFonts w:hint="eastAsia" w:ascii="宋体" w:hAnsi="宋体" w:eastAsia="宋体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Times New Roman"/>
                <w:b w:val="0"/>
                <w:sz w:val="24"/>
                <w:szCs w:val="24"/>
                <w:highlight w:val="none"/>
                <w:lang w:val="en-US" w:eastAsia="zh-CN"/>
              </w:rPr>
              <w:t>100,000万元（含）-</w:t>
            </w:r>
            <w:r>
              <w:rPr>
                <w:rFonts w:hint="eastAsia" w:ascii="宋体" w:hAnsi="宋体" w:eastAsia="宋体" w:cs="Times New Roman"/>
                <w:b w:val="0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eastAsia" w:ascii="宋体" w:hAnsi="宋体" w:cs="Times New Roman"/>
                <w:b w:val="0"/>
                <w:sz w:val="24"/>
                <w:szCs w:val="24"/>
                <w:highlight w:val="none"/>
                <w:lang w:val="en-US" w:eastAsia="zh-CN"/>
              </w:rPr>
              <w:t>0,000万元（含）</w:t>
            </w:r>
          </w:p>
        </w:tc>
      </w:tr>
      <w:tr w14:paraId="1F474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33EF207E">
            <w:pPr>
              <w:jc w:val="center"/>
              <w:rPr>
                <w:rFonts w:hint="eastAsia"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</w:rPr>
              <w:t>是否允许联合体投资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3644C4CD">
            <w:pPr>
              <w:rPr>
                <w:rFonts w:hint="eastAsia" w:ascii="宋体" w:hAnsi="宋体" w:eastAsia="宋体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否</w:t>
            </w:r>
          </w:p>
        </w:tc>
      </w:tr>
      <w:tr w14:paraId="2E0A3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3E499CAA">
            <w:pPr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项目</w:t>
            </w:r>
            <w:r>
              <w:rPr>
                <w:rFonts w:hint="eastAsia" w:ascii="宋体" w:hAnsi="宋体"/>
                <w:b/>
                <w:kern w:val="0"/>
                <w:sz w:val="24"/>
              </w:rPr>
              <w:t>隶属关系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38A8989D">
            <w:pPr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市属</w:t>
            </w:r>
          </w:p>
        </w:tc>
      </w:tr>
      <w:tr w14:paraId="553E2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9924" w:type="dxa"/>
            <w:gridSpan w:val="8"/>
            <w:noWrap w:val="0"/>
            <w:vAlign w:val="top"/>
          </w:tcPr>
          <w:p w14:paraId="4ED910A3"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增资企业基本情况</w:t>
            </w:r>
          </w:p>
        </w:tc>
      </w:tr>
      <w:tr w14:paraId="6A6BD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752B7B30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增资企业名称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26C6CED1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四川九洲投资控股集团有限公司</w:t>
            </w:r>
          </w:p>
        </w:tc>
      </w:tr>
      <w:tr w14:paraId="4C343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552" w:type="dxa"/>
            <w:gridSpan w:val="3"/>
            <w:noWrap w:val="0"/>
            <w:vAlign w:val="center"/>
          </w:tcPr>
          <w:p w14:paraId="3598C32D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所属行业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20F59552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计算机、通信和其他电子设备制造业</w:t>
            </w:r>
          </w:p>
        </w:tc>
      </w:tr>
      <w:tr w14:paraId="46BEB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7117E397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所在地区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234560F3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  <w:u w:val="none"/>
                <w:lang w:eastAsia="zh-CN"/>
              </w:rPr>
              <w:t>四川</w:t>
            </w:r>
            <w:r>
              <w:rPr>
                <w:rFonts w:hint="eastAsia" w:ascii="宋体" w:hAnsi="宋体" w:cs="宋体"/>
                <w:sz w:val="24"/>
                <w:u w:val="none"/>
              </w:rPr>
              <w:t>省</w:t>
            </w:r>
            <w:r>
              <w:rPr>
                <w:rFonts w:hint="eastAsia" w:ascii="宋体" w:hAnsi="宋体" w:cs="宋体"/>
                <w:sz w:val="24"/>
                <w:u w:val="none"/>
                <w:lang w:eastAsia="zh-CN"/>
              </w:rPr>
              <w:t>绵阳</w:t>
            </w:r>
            <w:r>
              <w:rPr>
                <w:rFonts w:hint="eastAsia" w:ascii="宋体" w:hAnsi="宋体" w:cs="宋体"/>
                <w:sz w:val="24"/>
                <w:u w:val="none"/>
              </w:rPr>
              <w:t>市</w:t>
            </w:r>
            <w:r>
              <w:rPr>
                <w:rFonts w:hint="eastAsia" w:ascii="宋体" w:hAnsi="宋体" w:cs="宋体"/>
                <w:sz w:val="24"/>
                <w:u w:val="none"/>
                <w:lang w:eastAsia="zh-CN"/>
              </w:rPr>
              <w:t>科创园</w:t>
            </w:r>
            <w:r>
              <w:rPr>
                <w:rFonts w:hint="eastAsia" w:ascii="宋体" w:hAnsi="宋体" w:cs="宋体"/>
                <w:sz w:val="24"/>
                <w:u w:val="none"/>
              </w:rPr>
              <w:t>区（县）</w:t>
            </w:r>
          </w:p>
        </w:tc>
      </w:tr>
      <w:tr w14:paraId="2E292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7DF7C317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增资企业统一社会信用代码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27CB5BE7">
            <w:pPr>
              <w:rPr>
                <w:rFonts w:hint="default" w:ascii="宋体" w:hAnsi="宋体" w:eastAsia="宋体" w:cs="宋体"/>
                <w:sz w:val="24"/>
                <w:u w:val="singl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u w:val="none"/>
                <w:lang w:val="en-US" w:eastAsia="zh-CN"/>
              </w:rPr>
              <w:t>91510700MA660969XB</w:t>
            </w:r>
          </w:p>
        </w:tc>
      </w:tr>
      <w:tr w14:paraId="647B6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3ADF4553">
            <w:pPr>
              <w:widowControl/>
              <w:spacing w:line="255" w:lineRule="atLeast"/>
              <w:jc w:val="center"/>
              <w:rPr>
                <w:rFonts w:hint="eastAsia" w:ascii="宋体" w:hAnsi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kern w:val="0"/>
                <w:sz w:val="24"/>
              </w:rPr>
              <w:t>企业产权隶属关系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144BFFB9">
            <w:pPr>
              <w:widowControl/>
              <w:spacing w:line="255" w:lineRule="atLeast"/>
              <w:rPr>
                <w:rFonts w:hint="eastAsia" w:ascii="宋体" w:hAnsi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/>
                <w:sz w:val="24"/>
              </w:rPr>
              <w:t>本地企业</w:t>
            </w:r>
          </w:p>
        </w:tc>
      </w:tr>
      <w:tr w14:paraId="66CDD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0B0FFC7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注册资本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4D343BBD">
            <w:pPr>
              <w:rPr>
                <w:rFonts w:hint="default" w:ascii="宋体" w:hAnsi="宋体"/>
                <w:sz w:val="24"/>
                <w:lang w:val="en-US"/>
              </w:rPr>
            </w:pPr>
            <w:r>
              <w:rPr>
                <w:rFonts w:hint="eastAsia" w:ascii="宋体" w:hAnsi="宋体"/>
                <w:sz w:val="24"/>
                <w:u w:val="none"/>
                <w:lang w:val="en-US" w:eastAsia="zh-CN"/>
              </w:rPr>
              <w:t>361,470.3712万元人民币</w:t>
            </w:r>
          </w:p>
        </w:tc>
      </w:tr>
      <w:tr w14:paraId="3754B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1A6D06B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法定代表人</w:t>
            </w:r>
            <w:r>
              <w:rPr>
                <w:rFonts w:hint="eastAsia" w:ascii="宋体" w:hAnsi="宋体"/>
                <w:b/>
                <w:sz w:val="24"/>
              </w:rPr>
              <w:t>/负责人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5CE85AC0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谷雨</w:t>
            </w:r>
          </w:p>
        </w:tc>
      </w:tr>
      <w:tr w14:paraId="1610EC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1E4D204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经营规模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49DD101B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大型</w:t>
            </w:r>
          </w:p>
        </w:tc>
      </w:tr>
      <w:tr w14:paraId="1BBAE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392C89F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企业类型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763EB26E">
            <w:pPr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有限责任公司</w:t>
            </w:r>
          </w:p>
        </w:tc>
      </w:tr>
      <w:tr w14:paraId="61054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6969DFE0">
            <w:pPr>
              <w:widowControl/>
              <w:spacing w:line="255" w:lineRule="atLeast"/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经济类型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1F3C4B65">
            <w:pPr>
              <w:widowControl/>
              <w:spacing w:line="255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国有控股企业</w:t>
            </w:r>
          </w:p>
        </w:tc>
      </w:tr>
      <w:tr w14:paraId="5EB31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6" w:hRule="atLeast"/>
        </w:trPr>
        <w:tc>
          <w:tcPr>
            <w:tcW w:w="2552" w:type="dxa"/>
            <w:gridSpan w:val="3"/>
            <w:noWrap w:val="0"/>
            <w:vAlign w:val="center"/>
          </w:tcPr>
          <w:p w14:paraId="59055E8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经营范围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6088D0F4">
            <w:pPr>
              <w:rPr>
                <w:rFonts w:ascii="宋体" w:hAnsi="宋体"/>
                <w:sz w:val="24"/>
              </w:rPr>
            </w:pPr>
            <w:r>
              <w:rPr>
                <w:rFonts w:hint="default" w:ascii="宋体" w:hAnsi="宋体" w:eastAsia="宋体"/>
                <w:color w:val="000000"/>
                <w:sz w:val="24"/>
              </w:rPr>
              <w:t>国家政策允许范围内的投资，股权经营管理，托管经营；雷达及配套设备、通信设备、物联网设备、广播电视设备、电线、电缆、光缆、电工器材、光电子器件及半导体照明软硬件制造和销售，智能建筑系统、安全防范系统、消防系统、城市照明系统、训练器材、训练模拟器材、通信工程、信息系统集成服务及相关设备器材的设计、制造、安装、销售，软件开发，智慧城市的规划、设计、咨询以及相关智能系统工程的施工、运营、维护，卫星导航系统及应用，新材料的技术研发和技术服务，普通机械及零部件加工，无人机研发、制造及服务，检测试验、软件测评、计量校准服务，设备仪器维修服务，电池的研发、制造及销售，物业管理，出口自产机电产品，进口批准的所需原辅材料、设备、仪器及零配件，承包境外电子行业工程及境内国际招标工程，汽车维修，汽车及汽车零配件的销售，车辆改装及集成。（依法须经批准的项目，经相关部门批准后方可开展经营活动）</w:t>
            </w:r>
          </w:p>
        </w:tc>
      </w:tr>
      <w:tr w14:paraId="60BBFD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552" w:type="dxa"/>
            <w:gridSpan w:val="3"/>
            <w:noWrap w:val="0"/>
            <w:vAlign w:val="center"/>
          </w:tcPr>
          <w:p w14:paraId="6560C78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增资企业简介</w:t>
            </w:r>
          </w:p>
        </w:tc>
        <w:tc>
          <w:tcPr>
            <w:tcW w:w="7372" w:type="dxa"/>
            <w:gridSpan w:val="5"/>
            <w:noWrap w:val="0"/>
            <w:vAlign w:val="center"/>
          </w:tcPr>
          <w:p w14:paraId="5AF34A77">
            <w:pPr>
              <w:pStyle w:val="5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jc w:val="both"/>
              <w:rPr>
                <w:rFonts w:ascii="宋体" w:hAnsi="宋体"/>
                <w:sz w:val="24"/>
              </w:rPr>
            </w:pPr>
            <w:r>
              <w:rPr>
                <w:rFonts w:ascii="宋体" w:hAnsi="宋体" w:cs="Times New Roman"/>
                <w:color w:val="000000"/>
                <w:kern w:val="2"/>
                <w:sz w:val="24"/>
                <w:lang w:val="en-US" w:eastAsia="zh-CN"/>
              </w:rPr>
              <w:t>九洲集团位于中国科技城四川省绵阳市，前身为国营涪江机器厂，始建于1958年，为国家“一五”期间156项重点工程之一，经过60余年发展，已发展成为电子系统装备、通信与智能终端、软件与数据智能、高端元器件、汽车电子与装备等多个产业板块协同发展的大型高科技企业集团。先后两次获得中共中央、国务院、中央军委颁发的“重大贡献奖”，是全国先进基层党组织和全国文明单位，是四川省首批认定的全能型总部企业，位列电子信息企业竞争力100强第31位、中国企业500强第489位、作为四川唯一地方国有企业入围国务院国资委“创建世界一流专业领军企业”。公司旗下拥有四川九洲（</w:t>
            </w:r>
            <w:r>
              <w:rPr>
                <w:rFonts w:ascii="宋体" w:hAnsi="宋体" w:cs="Times New Roman"/>
                <w:color w:val="000000"/>
                <w:kern w:val="2"/>
                <w:sz w:val="24"/>
                <w:lang w:val="en-US" w:eastAsia="zh-CN"/>
              </w:rPr>
              <w:fldChar w:fldCharType="begin"/>
            </w:r>
            <w:r>
              <w:rPr>
                <w:rFonts w:ascii="宋体" w:hAnsi="宋体" w:cs="Times New Roman"/>
                <w:color w:val="000000"/>
                <w:kern w:val="2"/>
                <w:sz w:val="24"/>
                <w:lang w:val="en-US" w:eastAsia="zh-CN"/>
              </w:rPr>
              <w:instrText xml:space="preserve"> HYPERLINK "http://000801.sz/" \t "_blank" </w:instrText>
            </w:r>
            <w:r>
              <w:rPr>
                <w:rFonts w:ascii="宋体" w:hAnsi="宋体" w:cs="Times New Roman"/>
                <w:color w:val="000000"/>
                <w:kern w:val="2"/>
                <w:sz w:val="24"/>
                <w:lang w:val="en-US" w:eastAsia="zh-CN"/>
              </w:rPr>
              <w:fldChar w:fldCharType="separate"/>
            </w:r>
            <w:r>
              <w:rPr>
                <w:rFonts w:ascii="宋体" w:hAnsi="宋体" w:cs="Times New Roman"/>
                <w:color w:val="000000"/>
                <w:kern w:val="2"/>
                <w:sz w:val="24"/>
              </w:rPr>
              <w:t>000801.SZ</w:t>
            </w:r>
            <w:r>
              <w:rPr>
                <w:rFonts w:ascii="宋体" w:hAnsi="宋体" w:cs="Times New Roman"/>
                <w:color w:val="000000"/>
                <w:kern w:val="2"/>
                <w:sz w:val="24"/>
                <w:lang w:val="en-US" w:eastAsia="zh-CN"/>
              </w:rPr>
              <w:fldChar w:fldCharType="end"/>
            </w:r>
            <w:r>
              <w:rPr>
                <w:rFonts w:ascii="宋体" w:hAnsi="宋体" w:cs="Times New Roman"/>
                <w:color w:val="000000"/>
                <w:kern w:val="2"/>
                <w:sz w:val="24"/>
                <w:lang w:val="en-US" w:eastAsia="zh-CN"/>
              </w:rPr>
              <w:t>）和依顿电子（603328.SH）2家上市公司，以及2家新三板挂牌公司、1家“双百”企业、14家国家专精特新“小巨人”企业、4家省级瞪羚企业、2家天府综改企业，形成了以绵阳为核心，辐射成都、北京、深圳、重庆、中山、上海、东台等地的发展布局。</w:t>
            </w:r>
          </w:p>
        </w:tc>
      </w:tr>
      <w:tr w14:paraId="0632F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9" w:type="dxa"/>
            <w:vMerge w:val="restart"/>
            <w:noWrap w:val="0"/>
            <w:vAlign w:val="center"/>
          </w:tcPr>
          <w:p w14:paraId="2B2F26B3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增</w:t>
            </w:r>
          </w:p>
          <w:p w14:paraId="12F9B507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资</w:t>
            </w:r>
          </w:p>
          <w:p w14:paraId="23133F32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企</w:t>
            </w:r>
          </w:p>
          <w:p w14:paraId="4ECA5B59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业</w:t>
            </w:r>
          </w:p>
          <w:p w14:paraId="7AC4D2FC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股</w:t>
            </w:r>
          </w:p>
          <w:p w14:paraId="4C061D0A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权</w:t>
            </w:r>
          </w:p>
          <w:p w14:paraId="6880A435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结</w:t>
            </w:r>
          </w:p>
          <w:p w14:paraId="7F81BF12"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</w:rPr>
              <w:t>构</w:t>
            </w:r>
          </w:p>
        </w:tc>
        <w:tc>
          <w:tcPr>
            <w:tcW w:w="1143" w:type="dxa"/>
            <w:noWrap w:val="0"/>
            <w:vAlign w:val="center"/>
          </w:tcPr>
          <w:p w14:paraId="7608E15C">
            <w:pPr>
              <w:jc w:val="center"/>
              <w:rPr>
                <w:rFonts w:ascii="宋体" w:hAnsi="宋体" w:cs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序号</w:t>
            </w:r>
          </w:p>
        </w:tc>
        <w:tc>
          <w:tcPr>
            <w:tcW w:w="5411" w:type="dxa"/>
            <w:gridSpan w:val="5"/>
            <w:noWrap w:val="0"/>
            <w:vAlign w:val="center"/>
          </w:tcPr>
          <w:p w14:paraId="533161C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前10位股东名称</w:t>
            </w:r>
          </w:p>
        </w:tc>
        <w:tc>
          <w:tcPr>
            <w:tcW w:w="2681" w:type="dxa"/>
            <w:noWrap w:val="0"/>
            <w:vAlign w:val="center"/>
          </w:tcPr>
          <w:p w14:paraId="13DD7CA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持股比例</w:t>
            </w:r>
          </w:p>
        </w:tc>
      </w:tr>
      <w:tr w14:paraId="29B45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89" w:type="dxa"/>
            <w:vMerge w:val="continue"/>
            <w:noWrap w:val="0"/>
            <w:vAlign w:val="top"/>
          </w:tcPr>
          <w:p w14:paraId="45719D53">
            <w:pPr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1143" w:type="dxa"/>
            <w:noWrap w:val="0"/>
            <w:vAlign w:val="center"/>
          </w:tcPr>
          <w:p w14:paraId="32453DFD">
            <w:pPr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1</w:t>
            </w:r>
          </w:p>
        </w:tc>
        <w:tc>
          <w:tcPr>
            <w:tcW w:w="5411" w:type="dxa"/>
            <w:gridSpan w:val="5"/>
            <w:noWrap w:val="0"/>
            <w:vAlign w:val="center"/>
          </w:tcPr>
          <w:p w14:paraId="6EB8891B">
            <w:pPr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lang w:val="en-US" w:eastAsia="zh-CN"/>
              </w:rPr>
              <w:t>绵阳市国有资产监督管理委员会</w:t>
            </w:r>
          </w:p>
        </w:tc>
        <w:tc>
          <w:tcPr>
            <w:tcW w:w="2681" w:type="dxa"/>
            <w:noWrap w:val="0"/>
            <w:vAlign w:val="center"/>
          </w:tcPr>
          <w:p w14:paraId="0684A32D">
            <w:pPr>
              <w:jc w:val="right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74.69%</w:t>
            </w:r>
          </w:p>
        </w:tc>
      </w:tr>
      <w:tr w14:paraId="3C136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89" w:type="dxa"/>
            <w:vMerge w:val="continue"/>
            <w:noWrap w:val="0"/>
            <w:vAlign w:val="top"/>
          </w:tcPr>
          <w:p w14:paraId="59F1E441">
            <w:pPr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1143" w:type="dxa"/>
            <w:noWrap w:val="0"/>
            <w:vAlign w:val="center"/>
          </w:tcPr>
          <w:p w14:paraId="47D6EF23">
            <w:pPr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2</w:t>
            </w:r>
          </w:p>
        </w:tc>
        <w:tc>
          <w:tcPr>
            <w:tcW w:w="5411" w:type="dxa"/>
            <w:gridSpan w:val="5"/>
            <w:noWrap w:val="0"/>
            <w:vAlign w:val="center"/>
          </w:tcPr>
          <w:p w14:paraId="61C89DDA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四川省财政厅</w:t>
            </w:r>
          </w:p>
        </w:tc>
        <w:tc>
          <w:tcPr>
            <w:tcW w:w="2681" w:type="dxa"/>
            <w:noWrap w:val="0"/>
            <w:vAlign w:val="center"/>
          </w:tcPr>
          <w:p w14:paraId="4305BB85">
            <w:pPr>
              <w:jc w:val="right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8.30%</w:t>
            </w:r>
          </w:p>
        </w:tc>
      </w:tr>
      <w:tr w14:paraId="6A078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689" w:type="dxa"/>
            <w:vMerge w:val="continue"/>
            <w:noWrap w:val="0"/>
            <w:vAlign w:val="top"/>
          </w:tcPr>
          <w:p w14:paraId="369DAD15">
            <w:pPr>
              <w:rPr>
                <w:rFonts w:ascii="宋体" w:hAnsi="宋体" w:cs="宋体"/>
                <w:b/>
                <w:color w:val="000000"/>
                <w:sz w:val="24"/>
              </w:rPr>
            </w:pPr>
          </w:p>
        </w:tc>
        <w:tc>
          <w:tcPr>
            <w:tcW w:w="1143" w:type="dxa"/>
            <w:noWrap w:val="0"/>
            <w:vAlign w:val="center"/>
          </w:tcPr>
          <w:p w14:paraId="1C224117">
            <w:pPr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3</w:t>
            </w:r>
          </w:p>
        </w:tc>
        <w:tc>
          <w:tcPr>
            <w:tcW w:w="5411" w:type="dxa"/>
            <w:gridSpan w:val="5"/>
            <w:noWrap w:val="0"/>
            <w:vAlign w:val="center"/>
          </w:tcPr>
          <w:p w14:paraId="01D5CF65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国开制造业转型升级基金（有限合伙）</w:t>
            </w:r>
          </w:p>
        </w:tc>
        <w:tc>
          <w:tcPr>
            <w:tcW w:w="2681" w:type="dxa"/>
            <w:noWrap w:val="0"/>
            <w:vAlign w:val="center"/>
          </w:tcPr>
          <w:p w14:paraId="0E93C723">
            <w:pPr>
              <w:jc w:val="right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17.01%</w:t>
            </w:r>
          </w:p>
        </w:tc>
      </w:tr>
      <w:tr w14:paraId="0C707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9924" w:type="dxa"/>
            <w:gridSpan w:val="8"/>
            <w:noWrap w:val="0"/>
            <w:vAlign w:val="top"/>
          </w:tcPr>
          <w:p w14:paraId="6E56D98C">
            <w:pPr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32"/>
                <w:szCs w:val="32"/>
                <w:highlight w:val="none"/>
              </w:rPr>
              <w:t>监管信息</w:t>
            </w:r>
          </w:p>
        </w:tc>
      </w:tr>
      <w:tr w14:paraId="14908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2694" w:type="dxa"/>
            <w:gridSpan w:val="4"/>
            <w:noWrap w:val="0"/>
            <w:vAlign w:val="center"/>
          </w:tcPr>
          <w:p w14:paraId="21DAA59A">
            <w:pPr>
              <w:widowControl/>
              <w:spacing w:line="255" w:lineRule="atLeast"/>
              <w:jc w:val="center"/>
              <w:rPr>
                <w:rFonts w:hint="eastAsia" w:ascii="宋体" w:hAnsi="宋体"/>
                <w:b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国资监管类型</w:t>
            </w:r>
          </w:p>
        </w:tc>
        <w:tc>
          <w:tcPr>
            <w:tcW w:w="7230" w:type="dxa"/>
            <w:gridSpan w:val="4"/>
            <w:noWrap w:val="0"/>
            <w:vAlign w:val="center"/>
          </w:tcPr>
          <w:p w14:paraId="39EAE748">
            <w:pPr>
              <w:widowControl/>
              <w:spacing w:line="255" w:lineRule="atLeast"/>
              <w:rPr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  <w:lang w:val="en-US" w:eastAsia="zh-CN"/>
              </w:rPr>
              <w:t>非中央企业</w:t>
            </w:r>
          </w:p>
        </w:tc>
      </w:tr>
      <w:tr w14:paraId="16FD9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694" w:type="dxa"/>
            <w:gridSpan w:val="4"/>
            <w:noWrap w:val="0"/>
            <w:vAlign w:val="center"/>
          </w:tcPr>
          <w:p w14:paraId="00F80EC9">
            <w:pPr>
              <w:wordWrap w:val="0"/>
              <w:jc w:val="center"/>
              <w:rPr>
                <w:rFonts w:hint="default" w:ascii="宋体" w:hAnsi="宋体" w:eastAsia="宋体"/>
                <w:b/>
                <w:kern w:val="0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  <w:lang w:val="en-US" w:eastAsia="zh-CN"/>
              </w:rPr>
              <w:t>国资监管机构</w:t>
            </w:r>
          </w:p>
        </w:tc>
        <w:tc>
          <w:tcPr>
            <w:tcW w:w="7230" w:type="dxa"/>
            <w:gridSpan w:val="4"/>
            <w:noWrap w:val="0"/>
            <w:vAlign w:val="center"/>
          </w:tcPr>
          <w:p w14:paraId="4F8A743F">
            <w:pPr>
              <w:widowControl/>
              <w:spacing w:line="255" w:lineRule="atLeast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市级国资委监管</w:t>
            </w:r>
          </w:p>
        </w:tc>
      </w:tr>
      <w:tr w14:paraId="7BB05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694" w:type="dxa"/>
            <w:gridSpan w:val="4"/>
            <w:noWrap w:val="0"/>
            <w:vAlign w:val="center"/>
          </w:tcPr>
          <w:p w14:paraId="34341F03">
            <w:pPr>
              <w:wordWrap w:val="0"/>
              <w:jc w:val="center"/>
              <w:rPr>
                <w:rFonts w:hint="eastAsia" w:ascii="宋体" w:hAnsi="宋体"/>
                <w:b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国家出资企业或主管部门名称</w:t>
            </w:r>
          </w:p>
        </w:tc>
        <w:tc>
          <w:tcPr>
            <w:tcW w:w="7230" w:type="dxa"/>
            <w:gridSpan w:val="4"/>
            <w:noWrap w:val="0"/>
            <w:vAlign w:val="center"/>
          </w:tcPr>
          <w:p w14:paraId="360C9173">
            <w:pPr>
              <w:widowControl/>
              <w:spacing w:line="255" w:lineRule="atLeas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 w:ascii="宋体" w:hAnsi="宋体" w:eastAsia="宋体"/>
                <w:sz w:val="24"/>
                <w:lang w:val="en-US" w:eastAsia="zh-CN"/>
              </w:rPr>
              <w:t>绵阳市国有资产监督管理委员会</w:t>
            </w:r>
          </w:p>
        </w:tc>
      </w:tr>
      <w:tr w14:paraId="683E2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694" w:type="dxa"/>
            <w:gridSpan w:val="4"/>
            <w:noWrap w:val="0"/>
            <w:vAlign w:val="center"/>
          </w:tcPr>
          <w:p w14:paraId="184236BA">
            <w:pPr>
              <w:wordWrap w:val="0"/>
              <w:jc w:val="center"/>
              <w:rPr>
                <w:rFonts w:hint="eastAsia" w:ascii="宋体" w:hAnsi="宋体"/>
                <w:b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highlight w:val="none"/>
              </w:rPr>
              <w:t>国家出资企业统一社会信用代码</w:t>
            </w:r>
          </w:p>
        </w:tc>
        <w:tc>
          <w:tcPr>
            <w:tcW w:w="7230" w:type="dxa"/>
            <w:gridSpan w:val="4"/>
            <w:noWrap w:val="0"/>
            <w:vAlign w:val="center"/>
          </w:tcPr>
          <w:p w14:paraId="26489F54">
            <w:pPr>
              <w:widowControl/>
              <w:spacing w:line="255" w:lineRule="atLeast"/>
              <w:rPr>
                <w:highlight w:val="none"/>
              </w:rPr>
            </w:pPr>
            <w:r>
              <w:rPr>
                <w:rFonts w:hint="eastAsia" w:ascii="宋体" w:hAnsi="宋体"/>
                <w:sz w:val="24"/>
              </w:rPr>
              <w:t>115106007798390609</w:t>
            </w:r>
          </w:p>
        </w:tc>
      </w:tr>
      <w:tr w14:paraId="142009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924" w:type="dxa"/>
            <w:gridSpan w:val="8"/>
            <w:noWrap w:val="0"/>
            <w:vAlign w:val="center"/>
          </w:tcPr>
          <w:p w14:paraId="4B540EAF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sz w:val="32"/>
                <w:szCs w:val="32"/>
              </w:rPr>
              <w:t>财务信息</w:t>
            </w:r>
          </w:p>
        </w:tc>
      </w:tr>
      <w:tr w14:paraId="5500E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9924" w:type="dxa"/>
            <w:gridSpan w:val="8"/>
            <w:noWrap w:val="0"/>
            <w:vAlign w:val="center"/>
          </w:tcPr>
          <w:p w14:paraId="1D3A6F5D">
            <w:pPr>
              <w:jc w:val="center"/>
              <w:rPr>
                <w:rFonts w:hint="eastAsia" w:ascii="宋体" w:hAnsi="宋体"/>
                <w:b/>
                <w:sz w:val="32"/>
                <w:szCs w:val="32"/>
              </w:rPr>
            </w:pPr>
            <w:r>
              <w:rPr>
                <w:rFonts w:ascii="宋体" w:hAnsi="宋体"/>
                <w:b/>
                <w:sz w:val="24"/>
              </w:rPr>
              <w:t>以下数据出自年度审计报告</w:t>
            </w:r>
            <w:r>
              <w:rPr>
                <w:rFonts w:hint="eastAsia" w:ascii="宋体" w:hAnsi="宋体"/>
                <w:b/>
                <w:sz w:val="24"/>
              </w:rPr>
              <w:t>（单位：万元）</w:t>
            </w:r>
          </w:p>
        </w:tc>
      </w:tr>
      <w:tr w14:paraId="55666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94" w:type="dxa"/>
            <w:gridSpan w:val="4"/>
            <w:noWrap w:val="0"/>
            <w:vAlign w:val="center"/>
          </w:tcPr>
          <w:p w14:paraId="1E71CA2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基准日期</w:t>
            </w:r>
          </w:p>
        </w:tc>
        <w:tc>
          <w:tcPr>
            <w:tcW w:w="7230" w:type="dxa"/>
            <w:gridSpan w:val="4"/>
            <w:noWrap w:val="0"/>
            <w:vAlign w:val="center"/>
          </w:tcPr>
          <w:p w14:paraId="0EAB6569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u w:val="none"/>
                <w:lang w:val="en-US" w:eastAsia="zh-CN"/>
              </w:rPr>
              <w:t>2024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hint="default" w:ascii="宋体" w:hAnsi="宋体"/>
                <w:sz w:val="24"/>
                <w:u w:val="none"/>
                <w:lang w:val="en-US"/>
              </w:rPr>
              <w:t>12</w:t>
            </w:r>
            <w:r>
              <w:rPr>
                <w:rFonts w:hint="eastAsia" w:ascii="宋体" w:hAnsi="宋体"/>
                <w:sz w:val="24"/>
              </w:rPr>
              <w:t>月</w:t>
            </w:r>
            <w:r>
              <w:rPr>
                <w:rFonts w:hint="eastAsia" w:ascii="宋体" w:hAnsi="宋体"/>
                <w:sz w:val="24"/>
                <w:u w:val="none"/>
                <w:lang w:val="en-US" w:eastAsia="zh-CN"/>
              </w:rPr>
              <w:t>31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 w14:paraId="353C4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694" w:type="dxa"/>
            <w:gridSpan w:val="4"/>
            <w:noWrap w:val="0"/>
            <w:vAlign w:val="center"/>
          </w:tcPr>
          <w:p w14:paraId="18896E1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营业收入</w:t>
            </w:r>
          </w:p>
        </w:tc>
        <w:tc>
          <w:tcPr>
            <w:tcW w:w="2690" w:type="dxa"/>
            <w:noWrap w:val="0"/>
            <w:vAlign w:val="center"/>
          </w:tcPr>
          <w:p w14:paraId="3D59D62D">
            <w:pPr>
              <w:jc w:val="right"/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54,906.24</w:t>
            </w:r>
          </w:p>
        </w:tc>
        <w:tc>
          <w:tcPr>
            <w:tcW w:w="1844" w:type="dxa"/>
            <w:noWrap w:val="0"/>
            <w:vAlign w:val="center"/>
          </w:tcPr>
          <w:p w14:paraId="00C3968A"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利润</w:t>
            </w:r>
            <w:r>
              <w:rPr>
                <w:rFonts w:ascii="宋体" w:hAnsi="宋体"/>
                <w:b/>
                <w:sz w:val="24"/>
                <w:highlight w:val="none"/>
              </w:rPr>
              <w:t>总额</w:t>
            </w:r>
          </w:p>
        </w:tc>
        <w:tc>
          <w:tcPr>
            <w:tcW w:w="2696" w:type="dxa"/>
            <w:gridSpan w:val="2"/>
            <w:noWrap w:val="0"/>
            <w:vAlign w:val="center"/>
          </w:tcPr>
          <w:p w14:paraId="675EF79A">
            <w:pPr>
              <w:jc w:val="right"/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41,127.59</w:t>
            </w:r>
          </w:p>
        </w:tc>
      </w:tr>
      <w:tr w14:paraId="53ECC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94" w:type="dxa"/>
            <w:gridSpan w:val="4"/>
            <w:noWrap w:val="0"/>
            <w:vAlign w:val="center"/>
          </w:tcPr>
          <w:p w14:paraId="7A37652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净利润</w:t>
            </w:r>
          </w:p>
        </w:tc>
        <w:tc>
          <w:tcPr>
            <w:tcW w:w="2690" w:type="dxa"/>
            <w:noWrap w:val="0"/>
            <w:vAlign w:val="center"/>
          </w:tcPr>
          <w:p w14:paraId="6A7FA1DC">
            <w:pPr>
              <w:jc w:val="right"/>
              <w:rPr>
                <w:rFonts w:hint="default" w:ascii="宋体" w:hAnsi="宋体"/>
                <w:sz w:val="24"/>
                <w:highlight w:val="none"/>
                <w:lang w:val="en-US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40,949.79</w:t>
            </w:r>
          </w:p>
        </w:tc>
        <w:tc>
          <w:tcPr>
            <w:tcW w:w="1844" w:type="dxa"/>
            <w:noWrap w:val="0"/>
            <w:vAlign w:val="center"/>
          </w:tcPr>
          <w:p w14:paraId="23B1D4C4">
            <w:pPr>
              <w:jc w:val="center"/>
              <w:rPr>
                <w:rFonts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资产</w:t>
            </w:r>
            <w:r>
              <w:rPr>
                <w:rFonts w:ascii="宋体" w:hAnsi="宋体"/>
                <w:b/>
                <w:sz w:val="24"/>
                <w:highlight w:val="none"/>
              </w:rPr>
              <w:t>总额</w:t>
            </w:r>
          </w:p>
        </w:tc>
        <w:tc>
          <w:tcPr>
            <w:tcW w:w="2696" w:type="dxa"/>
            <w:gridSpan w:val="2"/>
            <w:noWrap w:val="0"/>
            <w:vAlign w:val="center"/>
          </w:tcPr>
          <w:p w14:paraId="0268308B">
            <w:pPr>
              <w:jc w:val="right"/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2,485,366.60</w:t>
            </w:r>
          </w:p>
        </w:tc>
      </w:tr>
      <w:tr w14:paraId="4B56E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94" w:type="dxa"/>
            <w:gridSpan w:val="4"/>
            <w:noWrap w:val="0"/>
            <w:vAlign w:val="center"/>
          </w:tcPr>
          <w:p w14:paraId="5FE9DE4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负债</w:t>
            </w:r>
            <w:r>
              <w:rPr>
                <w:rFonts w:ascii="宋体" w:hAnsi="宋体"/>
                <w:b/>
                <w:sz w:val="24"/>
              </w:rPr>
              <w:t>总额</w:t>
            </w:r>
          </w:p>
        </w:tc>
        <w:tc>
          <w:tcPr>
            <w:tcW w:w="2690" w:type="dxa"/>
            <w:noWrap w:val="0"/>
            <w:vAlign w:val="center"/>
          </w:tcPr>
          <w:p w14:paraId="4F2FE987">
            <w:pPr>
              <w:jc w:val="right"/>
              <w:rPr>
                <w:rFonts w:hint="default" w:ascii="宋体" w:hAnsi="宋体" w:eastAsia="宋体"/>
                <w:b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1,759,134.91</w:t>
            </w:r>
          </w:p>
        </w:tc>
        <w:tc>
          <w:tcPr>
            <w:tcW w:w="1844" w:type="dxa"/>
            <w:noWrap w:val="0"/>
            <w:vAlign w:val="center"/>
          </w:tcPr>
          <w:p w14:paraId="49A67299">
            <w:pPr>
              <w:jc w:val="center"/>
              <w:rPr>
                <w:rFonts w:hint="eastAsia"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净资产</w:t>
            </w:r>
          </w:p>
          <w:p w14:paraId="1ABFA4F1">
            <w:pPr>
              <w:jc w:val="center"/>
              <w:rPr>
                <w:rFonts w:ascii="宋体" w:hAnsi="宋体"/>
                <w:b/>
                <w:sz w:val="24"/>
                <w:highlight w:val="none"/>
              </w:rPr>
            </w:pPr>
            <w:r>
              <w:rPr>
                <w:rFonts w:hint="eastAsia" w:ascii="宋体" w:hAnsi="宋体"/>
                <w:b/>
                <w:sz w:val="24"/>
                <w:highlight w:val="none"/>
              </w:rPr>
              <w:t>（</w:t>
            </w:r>
            <w:r>
              <w:rPr>
                <w:rFonts w:ascii="宋体" w:hAnsi="宋体"/>
                <w:b/>
                <w:sz w:val="24"/>
                <w:highlight w:val="none"/>
              </w:rPr>
              <w:t>所有者权益</w:t>
            </w:r>
            <w:r>
              <w:rPr>
                <w:rFonts w:hint="eastAsia" w:ascii="宋体" w:hAnsi="宋体"/>
                <w:b/>
                <w:sz w:val="24"/>
                <w:highlight w:val="none"/>
              </w:rPr>
              <w:t>）</w:t>
            </w:r>
          </w:p>
        </w:tc>
        <w:tc>
          <w:tcPr>
            <w:tcW w:w="2696" w:type="dxa"/>
            <w:gridSpan w:val="2"/>
            <w:noWrap w:val="0"/>
            <w:vAlign w:val="center"/>
          </w:tcPr>
          <w:p w14:paraId="65D4EDC8">
            <w:pPr>
              <w:jc w:val="right"/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726,231.69</w:t>
            </w:r>
          </w:p>
        </w:tc>
      </w:tr>
      <w:tr w14:paraId="63F36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94" w:type="dxa"/>
            <w:gridSpan w:val="4"/>
            <w:noWrap w:val="0"/>
            <w:vAlign w:val="center"/>
          </w:tcPr>
          <w:p w14:paraId="6F0E43A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审计机构名称</w:t>
            </w:r>
          </w:p>
        </w:tc>
        <w:tc>
          <w:tcPr>
            <w:tcW w:w="7230" w:type="dxa"/>
            <w:gridSpan w:val="4"/>
            <w:noWrap w:val="0"/>
            <w:vAlign w:val="center"/>
          </w:tcPr>
          <w:p w14:paraId="5934CD6E">
            <w:pPr>
              <w:jc w:val="left"/>
              <w:rPr>
                <w:rFonts w:hint="default" w:ascii="宋体" w:hAnsi="宋体" w:eastAsia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信永中和会计师事务所（特殊普通合伙）</w:t>
            </w:r>
          </w:p>
        </w:tc>
      </w:tr>
      <w:tr w14:paraId="4FB42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94" w:type="dxa"/>
            <w:gridSpan w:val="4"/>
            <w:noWrap w:val="0"/>
            <w:vAlign w:val="center"/>
          </w:tcPr>
          <w:p w14:paraId="3A34C6B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备    注</w:t>
            </w:r>
          </w:p>
        </w:tc>
        <w:tc>
          <w:tcPr>
            <w:tcW w:w="7230" w:type="dxa"/>
            <w:gridSpan w:val="4"/>
            <w:noWrap w:val="0"/>
            <w:vAlign w:val="center"/>
          </w:tcPr>
          <w:p w14:paraId="1C9F72B6">
            <w:pPr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1.上述数据为增资企业母公司报表数据；</w:t>
            </w:r>
          </w:p>
          <w:p w14:paraId="44747E54">
            <w:pPr>
              <w:jc w:val="left"/>
              <w:rPr>
                <w:rFonts w:hint="eastAsia" w:ascii="宋体" w:hAnsi="宋体" w:eastAsia="宋体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2.截至202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4</w:t>
            </w:r>
            <w:r>
              <w:rPr>
                <w:rFonts w:hint="eastAsia" w:ascii="宋体" w:hAnsi="宋体"/>
                <w:sz w:val="24"/>
              </w:rPr>
              <w:t>年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12</w:t>
            </w:r>
            <w:r>
              <w:rPr>
                <w:rFonts w:hint="eastAsia" w:ascii="宋体" w:hAnsi="宋体"/>
                <w:sz w:val="24"/>
              </w:rPr>
              <w:t>月31日，增资企业合并报表中，营业收入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4399770.75</w:t>
            </w:r>
            <w:r>
              <w:rPr>
                <w:rFonts w:hint="eastAsia" w:ascii="宋体" w:hAnsi="宋体"/>
                <w:sz w:val="24"/>
              </w:rPr>
              <w:t>万元、利润总额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80294.79</w:t>
            </w:r>
            <w:r>
              <w:rPr>
                <w:rFonts w:hint="eastAsia" w:ascii="宋体" w:hAnsi="宋体"/>
                <w:sz w:val="24"/>
              </w:rPr>
              <w:t>万元、净利润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62708.57</w:t>
            </w:r>
            <w:r>
              <w:rPr>
                <w:rFonts w:hint="eastAsia" w:ascii="宋体" w:hAnsi="宋体"/>
                <w:sz w:val="24"/>
              </w:rPr>
              <w:t>万元、资产总额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5216753.37</w:t>
            </w:r>
            <w:r>
              <w:rPr>
                <w:rFonts w:hint="eastAsia" w:ascii="宋体" w:hAnsi="宋体"/>
                <w:sz w:val="24"/>
              </w:rPr>
              <w:t>万元、负债总额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3602436.50</w:t>
            </w:r>
            <w:r>
              <w:rPr>
                <w:rFonts w:hint="eastAsia" w:ascii="宋体" w:hAnsi="宋体"/>
                <w:sz w:val="24"/>
                <w:lang w:eastAsia="zh-CN"/>
              </w:rPr>
              <w:t>万元</w:t>
            </w:r>
            <w:r>
              <w:rPr>
                <w:rFonts w:hint="eastAsia" w:ascii="宋体" w:hAnsi="宋体"/>
                <w:sz w:val="24"/>
              </w:rPr>
              <w:t>、净资产（所有者权益）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1614316.87</w:t>
            </w:r>
            <w:r>
              <w:rPr>
                <w:rFonts w:hint="eastAsia" w:ascii="宋体" w:hAnsi="宋体"/>
                <w:sz w:val="24"/>
              </w:rPr>
              <w:t>万元、归母净资产（归属于母公司所有者权益）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964424.24</w:t>
            </w:r>
            <w:r>
              <w:rPr>
                <w:rFonts w:hint="eastAsia" w:ascii="宋体" w:hAnsi="宋体"/>
                <w:sz w:val="24"/>
              </w:rPr>
              <w:t>万元。</w:t>
            </w:r>
          </w:p>
        </w:tc>
      </w:tr>
      <w:tr w14:paraId="50DD6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9924" w:type="dxa"/>
            <w:gridSpan w:val="8"/>
            <w:noWrap w:val="0"/>
            <w:vAlign w:val="center"/>
          </w:tcPr>
          <w:p w14:paraId="452BBBB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b/>
                <w:sz w:val="32"/>
                <w:szCs w:val="32"/>
              </w:rPr>
              <w:t>其他披露信息</w:t>
            </w:r>
          </w:p>
        </w:tc>
      </w:tr>
      <w:tr w14:paraId="78839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2694" w:type="dxa"/>
            <w:gridSpan w:val="4"/>
            <w:noWrap w:val="0"/>
            <w:vAlign w:val="center"/>
          </w:tcPr>
          <w:p w14:paraId="49A8D712">
            <w:pPr>
              <w:jc w:val="center"/>
              <w:rPr>
                <w:rFonts w:hint="eastAsia" w:ascii="宋体" w:hAnsi="宋体" w:eastAsia="宋体"/>
                <w:b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color w:val="333333"/>
                <w:sz w:val="24"/>
                <w:szCs w:val="24"/>
                <w:shd w:val="clear" w:color="auto" w:fill="auto"/>
                <w:lang w:eastAsia="zh-CN"/>
              </w:rPr>
              <w:t>重大事项及其披露内容</w:t>
            </w:r>
          </w:p>
        </w:tc>
        <w:tc>
          <w:tcPr>
            <w:tcW w:w="7230" w:type="dxa"/>
            <w:gridSpan w:val="4"/>
            <w:noWrap w:val="0"/>
            <w:vAlign w:val="center"/>
          </w:tcPr>
          <w:p w14:paraId="471359EE">
            <w:pPr>
              <w:jc w:val="both"/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本次增资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正式披露内容以</w:t>
            </w:r>
            <w:r>
              <w:rPr>
                <w:rFonts w:hint="eastAsia" w:ascii="宋体" w:hAnsi="宋体"/>
                <w:sz w:val="24"/>
              </w:rPr>
              <w:t>经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绵阳市国有资产监督管理委员会</w:t>
            </w:r>
            <w:r>
              <w:rPr>
                <w:rFonts w:hint="eastAsia" w:ascii="宋体" w:hAnsi="宋体"/>
                <w:sz w:val="24"/>
              </w:rPr>
              <w:t>批准后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的增资方案为准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</w:tc>
      </w:tr>
      <w:tr w14:paraId="4A5D6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94" w:type="dxa"/>
            <w:gridSpan w:val="4"/>
            <w:noWrap w:val="0"/>
            <w:vAlign w:val="center"/>
          </w:tcPr>
          <w:p w14:paraId="1170F16D">
            <w:pPr>
              <w:jc w:val="center"/>
              <w:rPr>
                <w:rFonts w:hint="eastAsia" w:ascii="宋体" w:hAnsi="宋体" w:eastAsia="宋体" w:cs="Times New Roman"/>
                <w:b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预披露公告期限</w:t>
            </w:r>
          </w:p>
        </w:tc>
        <w:tc>
          <w:tcPr>
            <w:tcW w:w="7230" w:type="dxa"/>
            <w:gridSpan w:val="4"/>
            <w:noWrap w:val="0"/>
            <w:vAlign w:val="center"/>
          </w:tcPr>
          <w:p w14:paraId="07B65D96">
            <w:pPr>
              <w:jc w:val="center"/>
              <w:rPr>
                <w:rFonts w:ascii="宋体" w:hAnsi="宋体"/>
                <w:b/>
                <w:sz w:val="32"/>
                <w:szCs w:val="32"/>
              </w:rPr>
            </w:pPr>
            <w:r>
              <w:rPr>
                <w:rFonts w:hint="eastAsia" w:ascii="宋体" w:hAnsi="宋体" w:eastAsia="宋体" w:cs="Times New Roman"/>
                <w:b w:val="0"/>
                <w:sz w:val="24"/>
                <w:szCs w:val="24"/>
                <w:u w:val="none"/>
                <w:lang w:val="en-US" w:eastAsia="zh-CN"/>
              </w:rPr>
              <w:t>20</w:t>
            </w:r>
            <w:r>
              <w:rPr>
                <w:rFonts w:hint="eastAsia" w:ascii="宋体" w:hAnsi="宋体" w:eastAsia="宋体" w:cs="Times New Roman"/>
                <w:b w:val="0"/>
                <w:sz w:val="24"/>
                <w:szCs w:val="24"/>
                <w:u w:val="none"/>
              </w:rPr>
              <w:t>个工作日</w:t>
            </w:r>
          </w:p>
        </w:tc>
      </w:tr>
    </w:tbl>
    <w:p w14:paraId="2ACC31A7">
      <w:pPr>
        <w:spacing w:line="520" w:lineRule="exact"/>
        <w:ind w:firstLine="0" w:firstLineChars="0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备注：详细信息请到西南联合产权交易所官网查询。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长城小标宋体">
    <w:altName w:val="宋体"/>
    <w:panose1 w:val="02010609010101010101"/>
    <w:charset w:val="00"/>
    <w:family w:val="auto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C07FF5"/>
    <w:rsid w:val="00501E59"/>
    <w:rsid w:val="006118DE"/>
    <w:rsid w:val="0085174C"/>
    <w:rsid w:val="00961BF6"/>
    <w:rsid w:val="00C07FF5"/>
    <w:rsid w:val="00C23FBC"/>
    <w:rsid w:val="01B85F94"/>
    <w:rsid w:val="02EB4148"/>
    <w:rsid w:val="05085485"/>
    <w:rsid w:val="089A2898"/>
    <w:rsid w:val="0A481E7F"/>
    <w:rsid w:val="0D742576"/>
    <w:rsid w:val="0DA64C44"/>
    <w:rsid w:val="0ECC5EA0"/>
    <w:rsid w:val="103435D2"/>
    <w:rsid w:val="12154D3D"/>
    <w:rsid w:val="12816876"/>
    <w:rsid w:val="143B41F3"/>
    <w:rsid w:val="148A7C64"/>
    <w:rsid w:val="179E5245"/>
    <w:rsid w:val="1F3031B6"/>
    <w:rsid w:val="21FB06C7"/>
    <w:rsid w:val="24A65CC9"/>
    <w:rsid w:val="255D282B"/>
    <w:rsid w:val="26224F8D"/>
    <w:rsid w:val="29D82DC8"/>
    <w:rsid w:val="2AE82E9B"/>
    <w:rsid w:val="2B612949"/>
    <w:rsid w:val="3011493E"/>
    <w:rsid w:val="319C46DB"/>
    <w:rsid w:val="32DB2BF8"/>
    <w:rsid w:val="3353526D"/>
    <w:rsid w:val="35C80195"/>
    <w:rsid w:val="37341C74"/>
    <w:rsid w:val="427D5E63"/>
    <w:rsid w:val="441647C1"/>
    <w:rsid w:val="45091C30"/>
    <w:rsid w:val="4A4A6538"/>
    <w:rsid w:val="4E3917D8"/>
    <w:rsid w:val="4F2B0A67"/>
    <w:rsid w:val="54E12EA3"/>
    <w:rsid w:val="55D51FAF"/>
    <w:rsid w:val="59A9397B"/>
    <w:rsid w:val="5D5E0913"/>
    <w:rsid w:val="5D944335"/>
    <w:rsid w:val="5F9E149B"/>
    <w:rsid w:val="606E5F9A"/>
    <w:rsid w:val="60A55E30"/>
    <w:rsid w:val="626A7DFE"/>
    <w:rsid w:val="626F711E"/>
    <w:rsid w:val="629C110E"/>
    <w:rsid w:val="67C044C4"/>
    <w:rsid w:val="6852376A"/>
    <w:rsid w:val="686E5EFD"/>
    <w:rsid w:val="6B540D15"/>
    <w:rsid w:val="6C0E0670"/>
    <w:rsid w:val="6D0B213A"/>
    <w:rsid w:val="6E901ECE"/>
    <w:rsid w:val="701F61A5"/>
    <w:rsid w:val="708514C2"/>
    <w:rsid w:val="755A1EB0"/>
    <w:rsid w:val="77AD62C7"/>
    <w:rsid w:val="78945C0F"/>
    <w:rsid w:val="79415E17"/>
    <w:rsid w:val="7AD52994"/>
    <w:rsid w:val="7B9F061D"/>
    <w:rsid w:val="7F9E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napToGrid w:val="0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widowControl w:val="0"/>
      <w:spacing w:after="0" w:line="240" w:lineRule="auto"/>
      <w:ind w:firstLine="600" w:firstLineChars="200"/>
      <w:jc w:val="both"/>
    </w:pPr>
    <w:rPr>
      <w:kern w:val="2"/>
      <w:sz w:val="30"/>
      <w:szCs w:val="24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2"/>
    <w:basedOn w:val="1"/>
    <w:qFormat/>
    <w:uiPriority w:val="0"/>
    <w:pPr>
      <w:spacing w:after="120" w:line="480" w:lineRule="auto"/>
    </w:pPr>
    <w:rPr>
      <w:rFonts w:ascii="Calibri" w:hAnsi="Calibri"/>
      <w:szCs w:val="22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">
    <w:name w:val="Body Text First Indent 2"/>
    <w:basedOn w:val="2"/>
    <w:qFormat/>
    <w:uiPriority w:val="0"/>
    <w:pPr>
      <w:ind w:firstLine="420" w:firstLineChars="200"/>
    </w:p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1498</Words>
  <Characters>1731</Characters>
  <Lines>9</Lines>
  <Paragraphs>2</Paragraphs>
  <TotalTime>14</TotalTime>
  <ScaleCrop>false</ScaleCrop>
  <LinksUpToDate>false</LinksUpToDate>
  <CharactersWithSpaces>1735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2022-06-28T02:33:00Z</dcterms:created>
  <dc:creator>qh36</dc:creator>
  <cp:lastModifiedBy>quan</cp:lastModifiedBy>
  <dcterms:modified xsi:type="dcterms:W3CDTF">2025-09-23T07:33:30Z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AEA288BD0F644DDAA1297154F01D896E_13</vt:lpwstr>
  </property>
  <property fmtid="{D5CDD505-2E9C-101B-9397-08002B2CF9AE}" pid="4" name="KSOTemplateDocerSaveRecord">
    <vt:lpwstr>eyJoZGlkIjoiZTkxMGQxMWE2OTQxYWQwOGNmZDgxMzNiNmQxOWQzOTYiLCJ1c2VySWQiOiI0MzI2MDQ3OTQifQ==</vt:lpwstr>
  </property>
</Properties>
</file>