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jc w:val="center"/>
        <w:textAlignment w:val="baseline"/>
        <w:outlineLvl w:val="0"/>
        <w:rPr>
          <w:rFonts w:hint="eastAsia" w:ascii="方正公文小标宋" w:hAnsi="方正公文小标宋" w:eastAsia="方正公文小标宋" w:cs="方正公文小标宋"/>
          <w:spacing w:val="16"/>
          <w:sz w:val="44"/>
          <w:szCs w:val="44"/>
          <w:lang w:eastAsia="zh-CN"/>
        </w:rPr>
      </w:pPr>
      <w:r>
        <w:rPr>
          <w:rFonts w:hint="eastAsia" w:ascii="方正公文小标宋" w:hAnsi="方正公文小标宋" w:eastAsia="方正公文小标宋" w:cs="方正公文小标宋"/>
          <w:spacing w:val="16"/>
          <w:sz w:val="44"/>
          <w:szCs w:val="44"/>
        </w:rPr>
        <w:t>雷达目标分类识别处理软件</w:t>
      </w:r>
      <w:r>
        <w:rPr>
          <w:rFonts w:hint="eastAsia" w:ascii="方正公文小标宋" w:hAnsi="方正公文小标宋" w:eastAsia="方正公文小标宋" w:cs="方正公文小标宋"/>
          <w:spacing w:val="16"/>
          <w:sz w:val="44"/>
          <w:szCs w:val="44"/>
          <w:lang w:eastAsia="zh-CN"/>
        </w:rPr>
        <w:t>的</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jc w:val="center"/>
        <w:textAlignment w:val="baseline"/>
        <w:outlineLvl w:val="0"/>
        <w:rPr>
          <w:rFonts w:hint="eastAsia" w:ascii="方正公文小标宋" w:hAnsi="方正公文小标宋" w:eastAsia="方正公文小标宋" w:cs="方正公文小标宋"/>
          <w:sz w:val="44"/>
          <w:szCs w:val="44"/>
          <w:lang w:eastAsia="zh-CN"/>
        </w:rPr>
      </w:pPr>
      <w:r>
        <w:rPr>
          <w:rFonts w:hint="eastAsia" w:ascii="方正公文小标宋" w:hAnsi="方正公文小标宋" w:eastAsia="方正公文小标宋" w:cs="方正公文小标宋"/>
          <w:spacing w:val="16"/>
          <w:sz w:val="44"/>
          <w:szCs w:val="44"/>
        </w:rPr>
        <w:t>需求发布</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textAlignment w:val="baseline"/>
        <w:rPr>
          <w:rFonts w:ascii="Arial"/>
          <w:sz w:val="21"/>
        </w:rPr>
      </w:pP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500" w:firstLineChars="0"/>
        <w:textAlignment w:val="baseline"/>
      </w:pPr>
      <w:r>
        <w:rPr>
          <w:rFonts w:hint="eastAsia" w:ascii="仿宋" w:hAnsi="仿宋" w:eastAsia="仿宋" w:cs="仿宋"/>
          <w:sz w:val="30"/>
          <w:szCs w:val="30"/>
          <w:lang w:val="en-US" w:eastAsia="zh-CN"/>
        </w:rPr>
        <w:t>为加快解决雷达目标分类识别技术问题，现面向集团内外部单位开展技术需求发布活动：</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4" w:firstLineChars="200"/>
        <w:textAlignment w:val="baseline"/>
        <w:rPr>
          <w:rFonts w:ascii="黑体" w:hAnsi="黑体" w:eastAsia="黑体" w:cs="黑体"/>
          <w:sz w:val="30"/>
          <w:szCs w:val="30"/>
        </w:rPr>
      </w:pPr>
      <w:r>
        <w:rPr>
          <w:rFonts w:ascii="黑体" w:hAnsi="黑体" w:eastAsia="黑体" w:cs="黑体"/>
          <w:spacing w:val="11"/>
          <w:sz w:val="30"/>
          <w:szCs w:val="30"/>
          <w14:textOutline w14:w="5629" w14:cap="flat" w14:cmpd="sng">
            <w14:solidFill>
              <w14:srgbClr w14:val="000000"/>
            </w14:solidFill>
            <w14:prstDash w14:val="solid"/>
            <w14:miter w14:val="0"/>
          </w14:textOutline>
        </w:rPr>
        <w:t>一、发布对象</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4" w:firstLineChars="200"/>
        <w:textAlignment w:val="baseline"/>
      </w:pPr>
      <w:r>
        <w:rPr>
          <w:spacing w:val="11"/>
        </w:rPr>
        <w:t>1.集团各产业公司</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60" w:firstLineChars="200"/>
        <w:textAlignment w:val="baseline"/>
      </w:pPr>
      <w:r>
        <w:rPr>
          <w:spacing w:val="15"/>
        </w:rPr>
        <w:t>2.全国范围内的高校、研究机构、企业</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4" w:firstLineChars="200"/>
        <w:textAlignment w:val="baseline"/>
        <w:rPr>
          <w:rFonts w:ascii="黑体" w:hAnsi="黑体" w:eastAsia="黑体" w:cs="黑体"/>
          <w:sz w:val="30"/>
          <w:szCs w:val="30"/>
        </w:rPr>
      </w:pPr>
      <w:r>
        <w:rPr>
          <w:rFonts w:ascii="黑体" w:hAnsi="黑体" w:eastAsia="黑体" w:cs="黑体"/>
          <w:spacing w:val="11"/>
          <w:sz w:val="30"/>
          <w:szCs w:val="30"/>
          <w14:textOutline w14:w="5629" w14:cap="flat" w14:cmpd="sng">
            <w14:solidFill>
              <w14:srgbClr w14:val="000000"/>
            </w14:solidFill>
            <w14:prstDash w14:val="solid"/>
            <w14:miter w14:val="0"/>
          </w14:textOutline>
        </w:rPr>
        <w:t>二、技术名称</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52" w:firstLineChars="200"/>
        <w:textAlignment w:val="baseline"/>
      </w:pPr>
      <w:r>
        <w:rPr>
          <w:rFonts w:hint="eastAsia"/>
          <w:spacing w:val="13"/>
        </w:rPr>
        <w:t>雷达目标分类识别处理软件</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4" w:firstLineChars="200"/>
        <w:textAlignment w:val="baseline"/>
        <w:rPr>
          <w:rFonts w:ascii="黑体" w:hAnsi="黑体" w:eastAsia="黑体" w:cs="黑体"/>
          <w:sz w:val="30"/>
          <w:szCs w:val="30"/>
        </w:rPr>
      </w:pPr>
      <w:r>
        <w:rPr>
          <w:rFonts w:ascii="黑体" w:hAnsi="黑体" w:eastAsia="黑体" w:cs="黑体"/>
          <w:spacing w:val="11"/>
          <w:sz w:val="30"/>
          <w:szCs w:val="30"/>
          <w14:textOutline w14:w="5629" w14:cap="flat" w14:cmpd="sng">
            <w14:solidFill>
              <w14:srgbClr w14:val="000000"/>
            </w14:solidFill>
            <w14:prstDash w14:val="solid"/>
            <w14:miter w14:val="0"/>
          </w14:textOutline>
        </w:rPr>
        <w:t>三、功能要求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rPr>
        <w:t>具备自主环境匹配能力，可适用于山地、岸海、城市等复杂环境；</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bookmarkStart w:id="0" w:name="_Hlk192854108"/>
      <w:r>
        <w:rPr>
          <w:rFonts w:hint="eastAsia" w:ascii="仿宋" w:hAnsi="仿宋" w:eastAsia="仿宋" w:cs="仿宋"/>
          <w:color w:val="000000"/>
          <w:sz w:val="30"/>
          <w:szCs w:val="30"/>
          <w:lang w:val="en-US" w:eastAsia="zh-CN"/>
        </w:rPr>
        <w:t>1.</w:t>
      </w:r>
      <w:r>
        <w:rPr>
          <w:rFonts w:hint="eastAsia" w:ascii="仿宋" w:hAnsi="仿宋" w:eastAsia="仿宋" w:cs="仿宋"/>
          <w:color w:val="000000"/>
          <w:sz w:val="30"/>
          <w:szCs w:val="30"/>
        </w:rPr>
        <w:t>具备一定的普适性，分类识别模块可适配于机械扫描雷达和二维扫描雷达体制，分类识别模块具备通讯协议自主配置的能力，能够快速、有效接入到当前选择的雷达设备中，模型和架构设计应不受限于上表所列雷达运行模式、数据率和时序设计的变化；</w:t>
      </w:r>
    </w:p>
    <w:bookmarkEnd w:id="0"/>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bookmarkStart w:id="1" w:name="_Hlk192854170"/>
      <w:r>
        <w:rPr>
          <w:rFonts w:hint="eastAsia" w:ascii="仿宋" w:hAnsi="仿宋" w:eastAsia="仿宋" w:cs="仿宋"/>
          <w:color w:val="000000"/>
          <w:sz w:val="30"/>
          <w:szCs w:val="30"/>
          <w:lang w:val="en-US" w:eastAsia="zh-CN"/>
        </w:rPr>
        <w:t>2.</w:t>
      </w:r>
      <w:r>
        <w:rPr>
          <w:rFonts w:hint="eastAsia" w:ascii="仿宋" w:hAnsi="仿宋" w:eastAsia="仿宋" w:cs="仿宋"/>
          <w:color w:val="000000"/>
          <w:sz w:val="30"/>
          <w:szCs w:val="30"/>
        </w:rPr>
        <w:t>支持参数可配置功能，具备分类识别模块根据当前适配体制、当前使用环境进行参数配置能力，能够完成不同时序下处理模型的实时切换及处理；</w:t>
      </w:r>
    </w:p>
    <w:bookmarkEnd w:id="1"/>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3.</w:t>
      </w:r>
      <w:r>
        <w:rPr>
          <w:rFonts w:hint="eastAsia" w:ascii="仿宋" w:hAnsi="仿宋" w:eastAsia="仿宋" w:cs="仿宋"/>
          <w:color w:val="000000"/>
          <w:sz w:val="30"/>
          <w:szCs w:val="30"/>
        </w:rPr>
        <w:t>平台兼容性,支持主流操作系统（Windows/Linux/嵌入式系统/麒麟银河）兼容多种硬件加速器（GPU/CPU）;</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4.</w:t>
      </w:r>
      <w:r>
        <w:rPr>
          <w:rFonts w:hint="eastAsia" w:ascii="仿宋" w:hAnsi="仿宋" w:eastAsia="仿宋" w:cs="仿宋"/>
          <w:color w:val="000000"/>
          <w:sz w:val="30"/>
          <w:szCs w:val="30"/>
        </w:rPr>
        <w:t xml:space="preserve"> 具备实时接收原始I/Q信号、点迹、航迹等信息并输出目标类型的能力,兼容常见数据格式（JPEG/txt/dat）及软件协议；</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5.</w:t>
      </w:r>
      <w:r>
        <w:rPr>
          <w:rFonts w:hint="eastAsia" w:ascii="仿宋" w:hAnsi="仿宋" w:eastAsia="仿宋" w:cs="仿宋"/>
          <w:color w:val="000000"/>
          <w:sz w:val="30"/>
          <w:szCs w:val="30"/>
        </w:rPr>
        <w:t>具备置信度和分类结果显示功能；</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6.</w:t>
      </w:r>
      <w:r>
        <w:rPr>
          <w:rFonts w:hint="eastAsia" w:ascii="仿宋" w:hAnsi="仿宋" w:eastAsia="仿宋" w:cs="仿宋"/>
          <w:color w:val="000000"/>
          <w:sz w:val="30"/>
          <w:szCs w:val="30"/>
        </w:rPr>
        <w:t>具备目标分类类型稳定显示能力；</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7.</w:t>
      </w:r>
      <w:r>
        <w:rPr>
          <w:rFonts w:hint="eastAsia" w:ascii="仿宋" w:hAnsi="仿宋" w:eastAsia="仿宋" w:cs="仿宋"/>
          <w:color w:val="000000"/>
          <w:sz w:val="30"/>
          <w:szCs w:val="30"/>
        </w:rPr>
        <w:t>具备样本的清洗和处理功能，能够根据目标位置、标签、时间等参数实现目标样本的筛选、提取、删除等功能，能够实现对小样本数据集的模型搭建、标注、修改、存储等功能；</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8.</w:t>
      </w:r>
      <w:r>
        <w:rPr>
          <w:rFonts w:hint="eastAsia" w:ascii="仿宋" w:hAnsi="仿宋" w:eastAsia="仿宋" w:cs="仿宋"/>
          <w:color w:val="000000"/>
          <w:sz w:val="30"/>
          <w:szCs w:val="30"/>
        </w:rPr>
        <w:t>支持小样本学习或零样本学习，算法模型具备可持续升级和训练功能，能够通过加入新的类型标签数据快速进行重新训练并完成自动更新与加载。</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9.</w:t>
      </w:r>
      <w:r>
        <w:rPr>
          <w:rFonts w:hint="eastAsia" w:ascii="仿宋" w:hAnsi="仿宋" w:eastAsia="仿宋" w:cs="仿宋"/>
          <w:color w:val="000000"/>
          <w:sz w:val="30"/>
          <w:szCs w:val="30"/>
        </w:rPr>
        <w:t xml:space="preserve">具备模块化设计，解耦数据加载、特征提取、模型推理、结果输出等模块，支持独立替换或优化。  </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10.</w:t>
      </w:r>
      <w:r>
        <w:rPr>
          <w:rFonts w:hint="eastAsia" w:ascii="仿宋" w:hAnsi="仿宋" w:eastAsia="仿宋" w:cs="仿宋"/>
          <w:color w:val="000000"/>
          <w:sz w:val="30"/>
          <w:szCs w:val="30"/>
        </w:rPr>
        <w:t xml:space="preserve"> 具备二次开发能力，供用户二次开发，实现自定义雷达参数扩展与算法优化，支持插件化架构，允许用户扩展数据预处理、后处理，提供可视化模块模型训练工具链（如迁移学习接口、超参数调优配置）。</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0" w:firstLineChars="200"/>
        <w:textAlignment w:val="baseline"/>
        <w:rPr>
          <w:rFonts w:hint="eastAsia" w:ascii="仿宋" w:hAnsi="仿宋" w:eastAsia="仿宋" w:cs="仿宋"/>
          <w:sz w:val="30"/>
          <w:szCs w:val="30"/>
        </w:rPr>
      </w:pPr>
      <w:r>
        <w:rPr>
          <w:rFonts w:hint="eastAsia" w:ascii="仿宋" w:hAnsi="仿宋" w:eastAsia="仿宋" w:cs="仿宋"/>
          <w:color w:val="000000"/>
          <w:sz w:val="30"/>
          <w:szCs w:val="30"/>
        </w:rPr>
        <w:t xml:space="preserve">支持主流深度学习框架模型（TensorFlow/PyTorch/ONNX/Keras）。提供模型转换工具，支持用户自定义模型的导入与部署（如YOLO、ResNet变体、LSTM等）。 </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28" w:firstLineChars="200"/>
        <w:textAlignment w:val="baseline"/>
        <w:rPr>
          <w:rFonts w:ascii="黑体" w:hAnsi="黑体" w:eastAsia="黑体" w:cs="黑体"/>
          <w:sz w:val="30"/>
          <w:szCs w:val="30"/>
        </w:rPr>
      </w:pPr>
      <w:r>
        <w:rPr>
          <w:rFonts w:ascii="黑体" w:hAnsi="黑体" w:eastAsia="黑体" w:cs="黑体"/>
          <w:spacing w:val="7"/>
          <w:sz w:val="30"/>
          <w:szCs w:val="30"/>
          <w14:textOutline w14:w="5629" w14:cap="flat" w14:cmpd="sng">
            <w14:solidFill>
              <w14:srgbClr w14:val="000000"/>
            </w14:solidFill>
            <w14:prstDash w14:val="solid"/>
            <w14:miter w14:val="0"/>
          </w14:textOutline>
        </w:rPr>
        <w:t>四、性能要求</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rPr>
        <w:t>指标要求、约束条件、考核要求如下：</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1.</w:t>
      </w:r>
      <w:r>
        <w:rPr>
          <w:rFonts w:hint="eastAsia" w:ascii="仿宋" w:hAnsi="仿宋" w:eastAsia="仿宋" w:cs="仿宋"/>
          <w:color w:val="000000"/>
          <w:sz w:val="30"/>
          <w:szCs w:val="30"/>
        </w:rPr>
        <w:t>目标分类识别处理软件可适配环境≥3类（包括：山地、岸海、城市等,需选取三个典型场景开展72小时连续运行测试）</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2.</w:t>
      </w:r>
      <w:r>
        <w:rPr>
          <w:rFonts w:hint="eastAsia" w:ascii="仿宋" w:hAnsi="仿宋" w:eastAsia="仿宋" w:cs="仿宋"/>
          <w:color w:val="000000"/>
          <w:sz w:val="30"/>
          <w:szCs w:val="30"/>
        </w:rPr>
        <w:t xml:space="preserve">山地分类识别目标类型：旋翼无人机、群目标（不少于3架次）、飞鸟、地面车辆、固定翼无人机、直升机、地杂波； </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3.</w:t>
      </w:r>
      <w:r>
        <w:rPr>
          <w:rFonts w:hint="eastAsia" w:ascii="仿宋" w:hAnsi="仿宋" w:eastAsia="仿宋" w:cs="仿宋"/>
          <w:color w:val="000000"/>
          <w:sz w:val="30"/>
          <w:szCs w:val="30"/>
        </w:rPr>
        <w:t xml:space="preserve">城市环境下分类识别目标类型：旋翼无人机、群目标（不少于3架次）、飞鸟、人、地面车辆、固定翼无人机、直升机、地杂波； </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4.</w:t>
      </w:r>
      <w:r>
        <w:rPr>
          <w:rFonts w:hint="eastAsia" w:ascii="仿宋" w:hAnsi="仿宋" w:eastAsia="仿宋" w:cs="仿宋"/>
          <w:color w:val="000000"/>
          <w:sz w:val="30"/>
          <w:szCs w:val="30"/>
        </w:rPr>
        <w:t>岸海环境下分类识别目标类型：旋翼无人机、海鸟、船、海杂波；</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5.</w:t>
      </w:r>
      <w:r>
        <w:rPr>
          <w:rFonts w:hint="eastAsia" w:ascii="仿宋" w:hAnsi="仿宋" w:eastAsia="仿宋" w:cs="仿宋"/>
          <w:color w:val="000000"/>
          <w:sz w:val="30"/>
          <w:szCs w:val="30"/>
        </w:rPr>
        <w:t>目标分类识别处理时间≤50ms（从接收到雷达上报信息到输出目标类型信息，测试不少于10次）；</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6.</w:t>
      </w:r>
      <w:r>
        <w:rPr>
          <w:rFonts w:hint="eastAsia" w:ascii="仿宋" w:hAnsi="仿宋" w:eastAsia="仿宋" w:cs="仿宋"/>
          <w:color w:val="000000"/>
          <w:sz w:val="30"/>
          <w:szCs w:val="30"/>
        </w:rPr>
        <w:t>目标分类识别正确率≥95%（置信度阈值0.8,不少于100架次，正确识别目标指正确识别航迹点数占比＞90%且首次正确判别时间≤6s，例如目标为旋翼无人机，识别结果为无人机，或目标为非无人机，识别结果为非无人机，都判为正确识别）;</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7.</w:t>
      </w:r>
      <w:r>
        <w:rPr>
          <w:rFonts w:hint="eastAsia" w:ascii="仿宋" w:hAnsi="仿宋" w:eastAsia="仿宋" w:cs="仿宋"/>
          <w:color w:val="000000"/>
          <w:sz w:val="30"/>
          <w:szCs w:val="30"/>
        </w:rPr>
        <w:t>每小时无人机虚假航迹数≤2批；（测试时长不少于12小时）;</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8.</w:t>
      </w:r>
      <w:r>
        <w:rPr>
          <w:rFonts w:hint="eastAsia" w:ascii="仿宋" w:hAnsi="仿宋" w:eastAsia="仿宋" w:cs="仿宋"/>
          <w:color w:val="000000"/>
          <w:sz w:val="30"/>
          <w:szCs w:val="30"/>
        </w:rPr>
        <w:t>无人机起批漏检率≤5%，指正确无人机航迹数与无人机航迹总数的比值。（不少于50架次）;</w:t>
      </w:r>
      <w:r>
        <w:rPr>
          <w:rFonts w:hint="eastAsia" w:ascii="仿宋" w:hAnsi="仿宋" w:eastAsia="仿宋" w:cs="仿宋"/>
          <w:sz w:val="30"/>
          <w:szCs w:val="30"/>
        </w:rPr>
        <w:t xml:space="preserve"> </w:t>
      </w:r>
    </w:p>
    <w:p>
      <w:pPr>
        <w:pStyle w:val="6"/>
        <w:keepNext w:val="0"/>
        <w:keepLines w:val="0"/>
        <w:pageBreakBefore w:val="0"/>
        <w:widowControl/>
        <w:numPr>
          <w:numId w:val="0"/>
        </w:numPr>
        <w:kinsoku w:val="0"/>
        <w:wordWrap/>
        <w:overflowPunct/>
        <w:topLinePunct w:val="0"/>
        <w:autoSpaceDE w:val="0"/>
        <w:autoSpaceDN w:val="0"/>
        <w:bidi w:val="0"/>
        <w:adjustRightInd w:val="0"/>
        <w:snapToGrid w:val="0"/>
        <w:spacing w:after="0" w:line="560" w:lineRule="exact"/>
        <w:ind w:left="0" w:leftChars="0" w:right="0" w:firstLine="600" w:firstLineChars="200"/>
        <w:textAlignment w:val="baseline"/>
        <w:rPr>
          <w:rFonts w:hint="eastAsia" w:ascii="仿宋" w:hAnsi="仿宋" w:eastAsia="仿宋" w:cs="仿宋"/>
          <w:color w:val="000000"/>
          <w:sz w:val="30"/>
          <w:szCs w:val="30"/>
        </w:rPr>
      </w:pPr>
      <w:r>
        <w:rPr>
          <w:rFonts w:hint="eastAsia" w:ascii="仿宋" w:hAnsi="仿宋" w:eastAsia="仿宋" w:cs="仿宋"/>
          <w:color w:val="000000"/>
          <w:sz w:val="30"/>
          <w:szCs w:val="30"/>
          <w:lang w:val="en-US" w:eastAsia="zh-CN"/>
        </w:rPr>
        <w:t>9.</w:t>
      </w:r>
      <w:r>
        <w:rPr>
          <w:rFonts w:hint="eastAsia" w:ascii="仿宋" w:hAnsi="仿宋" w:eastAsia="仿宋" w:cs="仿宋"/>
          <w:color w:val="000000"/>
          <w:sz w:val="30"/>
          <w:szCs w:val="30"/>
        </w:rPr>
        <w:t>训练软件线下训练更新时间≤1h。</w:t>
      </w:r>
    </w:p>
    <w:p>
      <w:pPr>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40" w:firstLineChars="200"/>
        <w:textAlignment w:val="baseline"/>
        <w:rPr>
          <w:rFonts w:ascii="黑体" w:hAnsi="黑体" w:eastAsia="黑体" w:cs="黑体"/>
          <w:sz w:val="30"/>
          <w:szCs w:val="30"/>
        </w:rPr>
      </w:pPr>
      <w:r>
        <w:rPr>
          <w:rFonts w:ascii="黑体" w:hAnsi="黑体" w:eastAsia="黑体" w:cs="黑体"/>
          <w:spacing w:val="10"/>
          <w:sz w:val="30"/>
          <w:szCs w:val="30"/>
          <w14:textOutline w14:w="5629" w14:cap="flat" w14:cmpd="sng">
            <w14:solidFill>
              <w14:srgbClr w14:val="000000"/>
            </w14:solidFill>
            <w14:prstDash w14:val="solid"/>
            <w14:miter w14:val="0"/>
          </w14:textOutline>
        </w:rPr>
        <w:t>五、合作方式</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jc w:val="right"/>
        <w:textAlignment w:val="baseline"/>
      </w:pPr>
      <w:r>
        <w:rPr>
          <w:spacing w:val="16"/>
        </w:rPr>
        <w:t>合作方式灵活不设限制，具体费用根据合作方式面议。</w:t>
      </w: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2" w:firstLineChars="200"/>
        <w:textAlignment w:val="baseline"/>
        <w:rPr>
          <w:spacing w:val="8"/>
        </w:rPr>
      </w:pPr>
    </w:p>
    <w:p>
      <w:pPr>
        <w:pStyle w:val="2"/>
        <w:keepNext w:val="0"/>
        <w:keepLines w:val="0"/>
        <w:pageBreakBefore w:val="0"/>
        <w:widowControl/>
        <w:kinsoku w:val="0"/>
        <w:wordWrap/>
        <w:overflowPunct/>
        <w:topLinePunct w:val="0"/>
        <w:autoSpaceDE w:val="0"/>
        <w:autoSpaceDN w:val="0"/>
        <w:bidi w:val="0"/>
        <w:adjustRightInd w:val="0"/>
        <w:snapToGrid w:val="0"/>
        <w:spacing w:line="560" w:lineRule="exact"/>
        <w:ind w:left="0" w:leftChars="0" w:right="0" w:firstLine="632" w:firstLineChars="200"/>
        <w:textAlignment w:val="baseline"/>
        <w:rPr>
          <w:rFonts w:hint="default" w:eastAsia="仿宋"/>
          <w:lang w:val="en-US" w:eastAsia="zh-CN"/>
        </w:rPr>
      </w:pPr>
      <w:bookmarkStart w:id="2" w:name="_GoBack"/>
      <w:bookmarkEnd w:id="2"/>
      <w:r>
        <w:rPr>
          <w:spacing w:val="8"/>
        </w:rPr>
        <w:t>联系人：</w:t>
      </w:r>
      <w:r>
        <w:rPr>
          <w:rFonts w:hint="eastAsia"/>
          <w:spacing w:val="-64"/>
          <w:lang w:val="en-US" w:eastAsia="zh-CN"/>
        </w:rPr>
        <w:t>郭光荣</w:t>
      </w:r>
      <w:r>
        <w:rPr>
          <w:spacing w:val="13"/>
        </w:rPr>
        <w:t xml:space="preserve">        </w:t>
      </w:r>
      <w:r>
        <w:rPr>
          <w:spacing w:val="8"/>
        </w:rPr>
        <w:t>联系电话：15328221</w:t>
      </w:r>
      <w:r>
        <w:rPr>
          <w:rFonts w:hint="eastAsia"/>
          <w:spacing w:val="8"/>
          <w:lang w:val="en-US" w:eastAsia="zh-CN"/>
        </w:rPr>
        <w:t>312</w:t>
      </w:r>
    </w:p>
    <w:sectPr>
      <w:footerReference r:id="rId5" w:type="default"/>
      <w:pgSz w:w="11906" w:h="16840"/>
      <w:pgMar w:top="1431" w:right="1785" w:bottom="1121" w:left="1785" w:header="0" w:footer="905"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1330802E-0D24-41CF-808D-7B48D79419F0}"/>
  </w:font>
  <w:font w:name="黑体">
    <w:panose1 w:val="02010609060101010101"/>
    <w:charset w:val="86"/>
    <w:family w:val="auto"/>
    <w:pitch w:val="default"/>
    <w:sig w:usb0="800002BF" w:usb1="38CF7CFA" w:usb2="00000016" w:usb3="00000000" w:csb0="00040001" w:csb1="00000000"/>
    <w:embedRegular r:id="rId2" w:fontKey="{C23A75A7-5051-4422-8B21-27DD0792C061}"/>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embedRegular r:id="rId3" w:fontKey="{E6B0C789-37E0-4B98-8904-70936E4C0B56}"/>
  </w:font>
  <w:font w:name="等线">
    <w:panose1 w:val="02010600030101010101"/>
    <w:charset w:val="86"/>
    <w:family w:val="auto"/>
    <w:pitch w:val="default"/>
    <w:sig w:usb0="A00002BF" w:usb1="38CF7CFA" w:usb2="00000016" w:usb3="00000000" w:csb0="0004000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panose1 w:val="02010609030101010101"/>
    <w:charset w:val="86"/>
    <w:family w:val="auto"/>
    <w:pitch w:val="default"/>
    <w:sig w:usb0="00000001" w:usb1="080E0000" w:usb2="00000000" w:usb3="00000000" w:csb0="00040000" w:csb1="00000000"/>
  </w:font>
  <w:font w:name="方正公文小标宋">
    <w:panose1 w:val="02000500000000000000"/>
    <w:charset w:val="86"/>
    <w:family w:val="auto"/>
    <w:pitch w:val="default"/>
    <w:sig w:usb0="A00002BF" w:usb1="38CF7CFA" w:usb2="00000016" w:usb3="00000000" w:csb0="00040001" w:csb1="00000000"/>
    <w:embedRegular r:id="rId4" w:fontKey="{42B4FF19-D1B1-464B-AED6-6D486F3E4B53}"/>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179" w:lineRule="auto"/>
      <w:ind w:left="3801"/>
      <w:rPr>
        <w:rFonts w:ascii="Times New Roman" w:hAnsi="Times New Roman" w:eastAsia="Times New Roman" w:cs="Times New Roman"/>
        <w:sz w:val="24"/>
        <w:szCs w:val="24"/>
      </w:rPr>
    </w:pPr>
    <w:r>
      <w:rPr>
        <w:rFonts w:ascii="Times New Roman" w:hAnsi="Times New Roman" w:eastAsia="Times New Roman" w:cs="Times New Roman"/>
        <w:spacing w:val="-2"/>
        <w:sz w:val="24"/>
        <w:szCs w:val="24"/>
      </w:rPr>
      <w:t>—</w:t>
    </w:r>
    <w:r>
      <w:rPr>
        <w:rFonts w:ascii="Times New Roman" w:hAnsi="Times New Roman" w:eastAsia="Times New Roman" w:cs="Times New Roman"/>
        <w:spacing w:val="15"/>
        <w:w w:val="101"/>
        <w:sz w:val="24"/>
        <w:szCs w:val="24"/>
      </w:rPr>
      <w:t xml:space="preserve"> </w:t>
    </w:r>
    <w:r>
      <w:rPr>
        <w:rFonts w:ascii="Times New Roman" w:hAnsi="Times New Roman" w:eastAsia="Times New Roman" w:cs="Times New Roman"/>
        <w:spacing w:val="-2"/>
        <w:sz w:val="24"/>
        <w:szCs w:val="24"/>
      </w:rPr>
      <w:t>6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isplayBackgroundShape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docVars>
    <w:docVar w:name="commondata" w:val="eyJoZGlkIjoiOTZkMjVlMjU0ZjI1NzMxNWM5OTllZDZhNzIwOGZjOTcifQ=="/>
  </w:docVars>
  <w:rsids>
    <w:rsidRoot w:val="00000000"/>
    <w:rsid w:val="380B5F9F"/>
    <w:rsid w:val="3F27757E"/>
    <w:rsid w:val="4E9B1E39"/>
    <w:rsid w:val="50317B25"/>
    <w:rsid w:val="586C70E2"/>
    <w:rsid w:val="5DE770F1"/>
    <w:rsid w:val="5EFD71C0"/>
    <w:rsid w:val="7A4A347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4">
    <w:name w:val="Default Paragraph Font"/>
    <w:autoRedefine/>
    <w:semiHidden/>
    <w:qFormat/>
    <w:uiPriority w:val="0"/>
  </w:style>
  <w:style w:type="table" w:default="1" w:styleId="3">
    <w:name w:val="Normal Table"/>
    <w:autoRedefine/>
    <w:semiHidden/>
    <w:uiPriority w:val="0"/>
    <w:tblPr>
      <w:tblCellMar>
        <w:top w:w="0" w:type="dxa"/>
        <w:left w:w="108" w:type="dxa"/>
        <w:bottom w:w="0" w:type="dxa"/>
        <w:right w:w="108" w:type="dxa"/>
      </w:tblCellMar>
    </w:tblPr>
  </w:style>
  <w:style w:type="paragraph" w:styleId="2">
    <w:name w:val="Body Text"/>
    <w:basedOn w:val="1"/>
    <w:autoRedefine/>
    <w:semiHidden/>
    <w:qFormat/>
    <w:uiPriority w:val="0"/>
    <w:rPr>
      <w:rFonts w:ascii="仿宋" w:hAnsi="仿宋" w:eastAsia="仿宋" w:cs="仿宋"/>
      <w:sz w:val="30"/>
      <w:szCs w:val="30"/>
      <w:lang w:val="en-US" w:eastAsia="en-US" w:bidi="ar-SA"/>
    </w:rPr>
  </w:style>
  <w:style w:type="table" w:customStyle="1" w:styleId="5">
    <w:name w:val="Table Normal"/>
    <w:autoRedefine/>
    <w:semiHidden/>
    <w:unhideWhenUsed/>
    <w:qFormat/>
    <w:uiPriority w:val="0"/>
    <w:tblPr>
      <w:tblCellMar>
        <w:top w:w="0" w:type="dxa"/>
        <w:left w:w="0" w:type="dxa"/>
        <w:bottom w:w="0" w:type="dxa"/>
        <w:right w:w="0" w:type="dxa"/>
      </w:tblCellMar>
    </w:tblPr>
  </w:style>
  <w:style w:type="paragraph" w:customStyle="1" w:styleId="6">
    <w:name w:val="列表段落1"/>
    <w:basedOn w:val="1"/>
    <w:autoRedefine/>
    <w:qFormat/>
    <w:uiPriority w:val="34"/>
    <w:pPr>
      <w:spacing w:after="160" w:line="278" w:lineRule="auto"/>
      <w:ind w:left="720"/>
      <w:contextualSpacing/>
    </w:pPr>
    <w:rPr>
      <w:rFonts w:ascii="等线" w:hAnsi="等线" w:eastAsia="等线" w:cs="Times New Roman"/>
      <w:szCs w:val="2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4</Pages>
  <Words>1242</Words>
  <Characters>1344</Characters>
  <TotalTime>0</TotalTime>
  <ScaleCrop>false</ScaleCrop>
  <LinksUpToDate>false</LinksUpToDate>
  <CharactersWithSpaces>1363</CharactersWithSpaces>
  <Application>WPS Office_12.1.0.16120_F1E327BC-269C-435d-A152-05C5408002CA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2025-03-17T19:52:00Z</dcterms:created>
  <dc:creator>Administrator</dc:creator>
  <cp:lastModifiedBy>小钞票</cp:lastModifiedBy>
  <dcterms:modified xsi:type="dcterms:W3CDTF">2025-04-18T03:03:04Z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wqlLaW5nc29mdCBQREYgdG8gV1BTIDkw</vt:lpwstr>
  </property>
  <property fmtid="{D5CDD505-2E9C-101B-9397-08002B2CF9AE}" pid="3" name="Created">
    <vt:filetime>2025-03-18T13:53:44Z</vt:filetime>
  </property>
  <property fmtid="{D5CDD505-2E9C-101B-9397-08002B2CF9AE}" pid="4" name="KSOTemplateDocerSaveRecord">
    <vt:lpwstr>eyJoZGlkIjoiNTg1MTU2OTU4NGYyODhlYzJiNmFhYTE3ZDFkN2E1N2EiLCJ1c2VySWQiOiIzNDA2NDQyMzgifQ==</vt:lpwstr>
  </property>
  <property fmtid="{D5CDD505-2E9C-101B-9397-08002B2CF9AE}" pid="5" name="KSOProductBuildVer">
    <vt:lpwstr>2052-12.1.0.16120</vt:lpwstr>
  </property>
  <property fmtid="{D5CDD505-2E9C-101B-9397-08002B2CF9AE}" pid="6" name="ICV">
    <vt:lpwstr>40745389E12F4DE1B035200477DDDEA8_12</vt:lpwstr>
  </property>
</Properties>
</file>