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A1C8A8">
      <w:pPr>
        <w:spacing w:line="360" w:lineRule="auto"/>
        <w:jc w:val="center"/>
        <w:rPr>
          <w:rFonts w:hint="eastAsia" w:ascii="宋体" w:hAnsi="宋体" w:cs="宋体"/>
          <w:b/>
          <w:sz w:val="72"/>
          <w:szCs w:val="72"/>
        </w:rPr>
      </w:pPr>
    </w:p>
    <w:p w14:paraId="28E85725">
      <w:pPr>
        <w:spacing w:line="360" w:lineRule="auto"/>
        <w:jc w:val="center"/>
        <w:rPr>
          <w:rFonts w:hint="eastAsia" w:ascii="宋体" w:hAnsi="宋体" w:cs="宋体"/>
          <w:b/>
          <w:sz w:val="72"/>
          <w:szCs w:val="72"/>
        </w:rPr>
      </w:pPr>
      <w:r>
        <w:rPr>
          <w:rFonts w:hint="eastAsia" w:ascii="宋体" w:hAnsi="宋体" w:cs="宋体"/>
          <w:b/>
          <w:sz w:val="72"/>
          <w:szCs w:val="72"/>
          <w:highlight w:val="white"/>
        </w:rPr>
        <w:t>绵阳市房屋建筑和市政工程标准设计施工总承包</w:t>
      </w:r>
    </w:p>
    <w:p w14:paraId="5CCE739F">
      <w:pPr>
        <w:spacing w:line="360" w:lineRule="auto"/>
        <w:jc w:val="center"/>
        <w:rPr>
          <w:rFonts w:hint="eastAsia" w:ascii="宋体" w:hAnsi="宋体" w:cs="宋体"/>
          <w:b/>
          <w:sz w:val="72"/>
          <w:szCs w:val="72"/>
        </w:rPr>
      </w:pPr>
      <w:r>
        <w:rPr>
          <w:rFonts w:hint="eastAsia" w:ascii="宋体" w:hAnsi="宋体" w:cs="宋体"/>
          <w:b/>
          <w:sz w:val="72"/>
          <w:szCs w:val="72"/>
          <w:highlight w:val="white"/>
        </w:rPr>
        <w:t>招标文件</w:t>
      </w:r>
    </w:p>
    <w:p w14:paraId="4C7A052C">
      <w:pPr>
        <w:spacing w:line="360" w:lineRule="auto"/>
        <w:rPr>
          <w:rFonts w:hint="eastAsia" w:ascii="宋体" w:hAnsi="宋体" w:cs="宋体"/>
          <w:b/>
          <w:sz w:val="72"/>
          <w:szCs w:val="72"/>
        </w:rPr>
      </w:pPr>
    </w:p>
    <w:p w14:paraId="49B6F40C">
      <w:r>
        <w:rPr>
          <w:rFonts w:hint="eastAsia"/>
          <w:highlight w:val="white"/>
        </w:rPr>
        <w:t>（2026年修订版）</w:t>
      </w:r>
      <w:r>
        <w:rPr>
          <w:highlight w:val="white"/>
        </w:rPr>
        <w:br w:type="page"/>
      </w:r>
    </w:p>
    <w:p w14:paraId="642CA854">
      <w:pPr>
        <w:spacing w:line="360" w:lineRule="auto"/>
        <w:jc w:val="center"/>
        <w:rPr>
          <w:rFonts w:hint="eastAsia" w:ascii="宋体" w:hAnsi="宋体" w:cs="宋体"/>
          <w:b/>
          <w:bCs/>
          <w:sz w:val="28"/>
          <w:szCs w:val="28"/>
        </w:rPr>
      </w:pPr>
      <w:r>
        <w:rPr>
          <w:rFonts w:hint="eastAsia" w:ascii="宋体" w:hAnsi="宋体" w:cs="宋体"/>
          <w:b/>
          <w:bCs/>
          <w:sz w:val="28"/>
          <w:szCs w:val="28"/>
          <w:highlight w:val="white"/>
        </w:rPr>
        <w:t>使用说明</w:t>
      </w:r>
    </w:p>
    <w:p w14:paraId="732AFE67">
      <w:pPr>
        <w:spacing w:line="360" w:lineRule="auto"/>
        <w:ind w:firstLine="480" w:firstLineChars="200"/>
        <w:rPr>
          <w:rFonts w:hint="eastAsia" w:ascii="宋体" w:hAnsi="宋体" w:cs="宋体"/>
          <w:sz w:val="24"/>
        </w:rPr>
      </w:pPr>
      <w:r>
        <w:rPr>
          <w:rFonts w:hint="eastAsia" w:ascii="宋体" w:hAnsi="宋体" w:cs="宋体"/>
          <w:sz w:val="24"/>
          <w:highlight w:val="white"/>
        </w:rPr>
        <w:t>一、《绵阳市房屋建筑和市政工程标准设计施工总承包招标文件》适用于绵阳市行政区域内依法必须招标的房屋建筑和市政工程设计施工总承包和设计采购施工总承包电子招标。根据《住房和城乡建设部 国家发展改革委关于印发房屋建筑和市政基础设施项目工程总承包管理办法的通知》（建市规〔2019〕12号）第三条和第九条第（五）项的规定，招标人应在完成勘察工作后进行工程总承包项目发包，不得将勘察纳入工程总承包招标范围一并发包。</w:t>
      </w:r>
    </w:p>
    <w:p w14:paraId="10AA6CB4">
      <w:pPr>
        <w:spacing w:line="360" w:lineRule="auto"/>
        <w:ind w:firstLine="480" w:firstLineChars="200"/>
        <w:rPr>
          <w:rFonts w:hint="eastAsia" w:ascii="宋体" w:hAnsi="宋体" w:cs="宋体"/>
          <w:sz w:val="24"/>
        </w:rPr>
      </w:pPr>
      <w:r>
        <w:rPr>
          <w:rFonts w:hint="eastAsia" w:ascii="宋体" w:hAnsi="宋体" w:cs="宋体"/>
          <w:sz w:val="24"/>
          <w:highlight w:val="white"/>
        </w:rPr>
        <w:t>二、《绵阳市房屋建筑和市政工程标准设计施工总承包招标文件》用相同序号标示的章、节、条、款、项、目，供招标人选择使用；以空格标示的由招标人填写内容，招标人应根据招标项目具体特点和实际需要具体细化，确实没有需要填写的，在空格中用“/”标示。</w:t>
      </w:r>
    </w:p>
    <w:p w14:paraId="340E1B89">
      <w:pPr>
        <w:spacing w:line="360" w:lineRule="auto"/>
        <w:ind w:firstLine="480" w:firstLineChars="200"/>
        <w:rPr>
          <w:rFonts w:hint="eastAsia" w:ascii="宋体" w:hAnsi="宋体" w:cs="宋体"/>
          <w:sz w:val="24"/>
        </w:rPr>
      </w:pPr>
      <w:r>
        <w:rPr>
          <w:rFonts w:hint="eastAsia" w:ascii="宋体" w:hAnsi="宋体" w:cs="宋体"/>
          <w:sz w:val="24"/>
          <w:highlight w:val="white"/>
        </w:rPr>
        <w:t>三、招标人按照《绵阳市房屋建筑和市政工程标准设计施工总承包招标文件》第一章的格式发布招标公告或发出投标邀请书后，将实际发布的招标公告或实际发出的投标邀请书编入发出的招标文件中。其中，招标公告应同时注明发布所在的所有媒介名称。</w:t>
      </w:r>
    </w:p>
    <w:p w14:paraId="45962594">
      <w:pPr>
        <w:spacing w:line="360" w:lineRule="auto"/>
        <w:ind w:firstLine="480" w:firstLineChars="200"/>
        <w:rPr>
          <w:rFonts w:ascii="宋体" w:hAnsi="宋体" w:cs="宋体"/>
          <w:sz w:val="24"/>
        </w:rPr>
      </w:pPr>
      <w:r>
        <w:rPr>
          <w:rFonts w:hint="eastAsia" w:ascii="宋体" w:hAnsi="宋体" w:cs="宋体"/>
          <w:sz w:val="24"/>
          <w:highlight w:val="white"/>
        </w:rPr>
        <w:t>四、《绵阳市房屋建筑和市政工程标准设计施工总承包招标文件》第三章“评标办法”采用综合评估法，各评审因素的分值由招标人在规定区间内自主确定。</w:t>
      </w:r>
    </w:p>
    <w:p w14:paraId="50166B1C">
      <w:pPr>
        <w:spacing w:line="360" w:lineRule="auto"/>
        <w:ind w:firstLine="480" w:firstLineChars="200"/>
        <w:rPr>
          <w:rFonts w:hint="eastAsia" w:ascii="宋体" w:hAnsi="宋体" w:cs="宋体"/>
          <w:sz w:val="24"/>
        </w:rPr>
      </w:pPr>
      <w:r>
        <w:rPr>
          <w:rFonts w:hint="eastAsia" w:ascii="宋体" w:hAnsi="宋体" w:cs="宋体"/>
          <w:sz w:val="24"/>
          <w:highlight w:val="white"/>
        </w:rPr>
        <w:t>第三章“评标办法”前附表应列明全部评审因素和评审标准，并在本章前附表标明投标人不满足要求即否决其投标的全部条款。</w:t>
      </w:r>
    </w:p>
    <w:p w14:paraId="3122D34D">
      <w:pPr>
        <w:spacing w:line="360" w:lineRule="auto"/>
        <w:ind w:firstLine="480" w:firstLineChars="200"/>
        <w:rPr>
          <w:rFonts w:hint="eastAsia" w:ascii="宋体" w:hAnsi="宋体" w:cs="宋体"/>
          <w:sz w:val="24"/>
        </w:rPr>
      </w:pPr>
      <w:r>
        <w:rPr>
          <w:rFonts w:hint="eastAsia" w:ascii="宋体" w:hAnsi="宋体" w:cs="宋体"/>
          <w:sz w:val="24"/>
          <w:highlight w:val="white"/>
        </w:rPr>
        <w:t>五、《绵阳市房屋建筑和市政工程标准设计施工总承包招标文件》第五章“发包人要求”由招标人根据招标项目具体特点和实际需要编制，并与“投标人须知”、“通用合同条款”、“专用合同条款”相衔接。</w:t>
      </w:r>
    </w:p>
    <w:p w14:paraId="243A97DB">
      <w:pPr>
        <w:spacing w:line="360" w:lineRule="auto"/>
        <w:ind w:firstLine="480" w:firstLineChars="200"/>
        <w:rPr>
          <w:rFonts w:hint="eastAsia" w:ascii="宋体" w:hAnsi="宋体" w:cs="宋体"/>
          <w:sz w:val="24"/>
        </w:rPr>
      </w:pPr>
      <w:r>
        <w:rPr>
          <w:rFonts w:hint="eastAsia" w:ascii="宋体" w:hAnsi="宋体" w:cs="宋体"/>
          <w:sz w:val="24"/>
          <w:highlight w:val="white"/>
        </w:rPr>
        <w:t>六、《绵阳市房屋建筑和市政工程标准设计施工总承包招标文件》中，“□”表示可选择项，除注明为多项选择外，其余均为单项选择。多项选择招标人可以选，也可以都不选。勾选的内容为招标文件组成部分（如：</w:t>
      </w:r>
      <w:r>
        <w:rPr>
          <w:rFonts w:ascii="Wingdings 2" w:hAnsi="Wingdings 2" w:cs="宋体"/>
          <w:sz w:val="24"/>
          <w:highlight w:val="white"/>
        </w:rPr>
        <w:sym w:font="Wingdings 2" w:char="F052"/>
      </w:r>
      <w:r>
        <w:rPr>
          <w:rFonts w:hint="eastAsia" w:ascii="宋体" w:hAnsi="宋体" w:cs="宋体"/>
          <w:sz w:val="24"/>
          <w:highlight w:val="white"/>
        </w:rPr>
        <w:t>），未勾选的内容不作为招标文件组成部分（如：□）。</w:t>
      </w:r>
    </w:p>
    <w:p w14:paraId="1D608874">
      <w:pPr>
        <w:spacing w:line="360" w:lineRule="auto"/>
        <w:rPr>
          <w:rFonts w:hint="eastAsia" w:ascii="宋体" w:hAnsi="宋体" w:cs="宋体"/>
          <w:sz w:val="24"/>
        </w:rPr>
        <w:sectPr>
          <w:pgSz w:w="11906" w:h="16838"/>
          <w:pgMar w:top="1417" w:right="1417" w:bottom="1417" w:left="1417" w:header="851" w:footer="850" w:gutter="0"/>
          <w:cols w:space="720" w:num="1"/>
          <w:docGrid w:type="lines" w:linePitch="312" w:charSpace="0"/>
        </w:sectPr>
      </w:pPr>
    </w:p>
    <w:p w14:paraId="48D0AD51">
      <w:pPr>
        <w:rPr>
          <w:rFonts w:hint="eastAsia"/>
          <w:highlight w:val="yellow"/>
        </w:rPr>
      </w:pPr>
      <w:r>
        <w:rPr>
          <w:highlight w:val="white"/>
        </w:rPr>
        <w:t xml:space="preserve"> </w:t>
      </w:r>
      <w:bookmarkStart w:id="0" w:name="EBca1b137139074c17926bab651e907eb9"/>
      <w:r>
        <w:rPr>
          <w:rFonts w:hint="eastAsia"/>
          <w:color w:val="000080"/>
          <w:sz w:val="20"/>
          <w:highlight w:val="white"/>
        </w:rPr>
        <w:t xml:space="preserve"> </w:t>
      </w:r>
      <w:bookmarkEnd w:id="0"/>
      <w:bookmarkStart w:id="1" w:name="EB8b9906394a2e412c855546f48abff138"/>
      <w:r>
        <w:rPr>
          <w:rFonts w:hint="eastAsia"/>
          <w:color w:val="000080"/>
          <w:sz w:val="20"/>
          <w:highlight w:val="white"/>
        </w:rPr>
        <w:t xml:space="preserve"> </w:t>
      </w:r>
      <w:bookmarkEnd w:id="1"/>
    </w:p>
    <w:p w14:paraId="31CB5E51">
      <w:pPr>
        <w:spacing w:line="360" w:lineRule="auto"/>
        <w:jc w:val="center"/>
        <w:rPr>
          <w:rFonts w:hint="eastAsia" w:ascii="宋体" w:hAnsi="宋体"/>
          <w:b/>
          <w:sz w:val="28"/>
          <w:szCs w:val="28"/>
        </w:rPr>
      </w:pPr>
      <w:r>
        <w:rPr>
          <w:rFonts w:hint="eastAsia" w:ascii="宋体" w:hAnsi="宋体"/>
          <w:b/>
          <w:color w:val="0000FF"/>
          <w:sz w:val="28"/>
          <w:szCs w:val="28"/>
          <w:highlight w:val="white"/>
          <w:lang w:eastAsia="zh-CN"/>
        </w:rPr>
        <w:t>国产自主可控超高速光模块研发与产业化项目</w:t>
      </w:r>
      <w:r>
        <w:rPr>
          <w:rFonts w:hint="eastAsia" w:ascii="宋体" w:hAnsi="宋体"/>
          <w:b/>
          <w:sz w:val="28"/>
          <w:szCs w:val="28"/>
          <w:highlight w:val="white"/>
        </w:rPr>
        <w:t>（项目名称）设计施工总承包</w:t>
      </w:r>
      <w:bookmarkStart w:id="2" w:name="EB141cc257e1044ee7b47fe04b927cae98"/>
      <w:r>
        <w:rPr>
          <w:rFonts w:hint="eastAsia" w:ascii="宋体" w:hAnsi="宋体"/>
          <w:b/>
          <w:color w:val="0000FF"/>
          <w:sz w:val="28"/>
          <w:szCs w:val="28"/>
          <w:highlight w:val="white"/>
          <w:lang w:eastAsia="zh-CN"/>
        </w:rPr>
        <w:t>国产自主可控超高速光模块研发与产业化项目</w:t>
      </w:r>
      <w:r>
        <w:rPr>
          <w:rFonts w:hint="eastAsia" w:ascii="宋体" w:hAnsi="宋体"/>
          <w:b/>
          <w:color w:val="0000FF"/>
          <w:sz w:val="28"/>
          <w:szCs w:val="28"/>
          <w:highlight w:val="white"/>
        </w:rPr>
        <w:t>-</w:t>
      </w:r>
      <w:r>
        <w:rPr>
          <w:rFonts w:hint="eastAsia" w:ascii="宋体" w:hAnsi="宋体"/>
          <w:b/>
          <w:color w:val="0000FF"/>
          <w:sz w:val="28"/>
          <w:szCs w:val="28"/>
          <w:highlight w:val="white"/>
          <w:lang w:val="en-US" w:eastAsia="zh-CN"/>
        </w:rPr>
        <w:t>净化</w:t>
      </w:r>
      <w:r>
        <w:rPr>
          <w:rFonts w:hint="eastAsia" w:ascii="宋体" w:hAnsi="宋体"/>
          <w:b/>
          <w:color w:val="0000FF"/>
          <w:sz w:val="28"/>
          <w:szCs w:val="28"/>
          <w:highlight w:val="white"/>
          <w:lang w:val="en-US" w:eastAsia="zh-CN"/>
        </w:rPr>
        <w:t>厂房装修</w:t>
      </w:r>
      <w:r>
        <w:rPr>
          <w:rFonts w:hint="eastAsia" w:ascii="宋体" w:hAnsi="宋体"/>
          <w:b/>
          <w:color w:val="0000FF"/>
          <w:sz w:val="28"/>
          <w:szCs w:val="28"/>
          <w:highlight w:val="white"/>
        </w:rPr>
        <w:t>设计施工总承包</w:t>
      </w:r>
      <w:bookmarkEnd w:id="2"/>
      <w:r>
        <w:rPr>
          <w:rFonts w:hint="eastAsia" w:ascii="宋体" w:hAnsi="宋体"/>
          <w:b/>
          <w:sz w:val="28"/>
          <w:szCs w:val="28"/>
          <w:highlight w:val="white"/>
        </w:rPr>
        <w:t>标段</w:t>
      </w:r>
    </w:p>
    <w:p w14:paraId="5566BD70">
      <w:pPr>
        <w:spacing w:line="360" w:lineRule="auto"/>
        <w:jc w:val="center"/>
        <w:rPr>
          <w:rFonts w:hint="eastAsia" w:ascii="宋体" w:hAnsi="宋体"/>
          <w:b/>
          <w:sz w:val="28"/>
          <w:szCs w:val="28"/>
        </w:rPr>
      </w:pPr>
      <w:r>
        <w:rPr>
          <w:rFonts w:hint="eastAsia" w:ascii="宋体" w:hAnsi="宋体"/>
          <w:b/>
          <w:sz w:val="28"/>
          <w:szCs w:val="28"/>
          <w:highlight w:val="white"/>
        </w:rPr>
        <w:t>（招标编码：</w:t>
      </w:r>
      <w:bookmarkStart w:id="3" w:name="EB629d235983414919b19375fd2b6ebb49"/>
      <w:r>
        <w:rPr>
          <w:rFonts w:hint="eastAsia" w:ascii="宋体" w:hAnsi="宋体"/>
          <w:b/>
          <w:color w:val="0000FF"/>
          <w:sz w:val="28"/>
          <w:szCs w:val="28"/>
          <w:highlight w:val="white"/>
        </w:rPr>
        <w:t>MYGC(2026)</w:t>
      </w:r>
      <w:bookmarkEnd w:id="3"/>
      <w:r>
        <w:rPr>
          <w:rFonts w:hint="eastAsia" w:ascii="宋体" w:hAnsi="宋体"/>
          <w:b/>
          <w:color w:val="0000FF"/>
          <w:sz w:val="28"/>
          <w:szCs w:val="28"/>
          <w:highlight w:val="white"/>
          <w:lang w:val="en-US" w:eastAsia="zh-CN"/>
        </w:rPr>
        <w:t xml:space="preserve"> </w:t>
      </w:r>
      <w:r>
        <w:rPr>
          <w:rFonts w:hint="eastAsia" w:ascii="宋体" w:hAnsi="宋体"/>
          <w:b/>
          <w:color w:val="0000FF"/>
          <w:sz w:val="28"/>
          <w:szCs w:val="28"/>
          <w:highlight w:val="white"/>
          <w:lang w:val="en-US" w:eastAsia="zh-CN"/>
        </w:rPr>
        <w:t xml:space="preserve">  </w:t>
      </w:r>
      <w:r>
        <w:rPr>
          <w:rFonts w:hint="eastAsia" w:ascii="宋体" w:hAnsi="宋体"/>
          <w:b/>
          <w:sz w:val="28"/>
          <w:szCs w:val="28"/>
          <w:highlight w:val="white"/>
        </w:rPr>
        <w:t>）</w:t>
      </w:r>
    </w:p>
    <w:p w14:paraId="5389488C">
      <w:pPr>
        <w:spacing w:line="360" w:lineRule="auto"/>
        <w:rPr>
          <w:rFonts w:hint="eastAsia" w:ascii="宋体" w:hAnsi="宋体"/>
          <w:sz w:val="28"/>
          <w:szCs w:val="28"/>
        </w:rPr>
      </w:pPr>
    </w:p>
    <w:p w14:paraId="2A50062C">
      <w:pPr>
        <w:spacing w:line="360" w:lineRule="auto"/>
        <w:jc w:val="center"/>
        <w:rPr>
          <w:rFonts w:hint="eastAsia" w:ascii="宋体" w:hAnsi="宋体"/>
          <w:b/>
          <w:sz w:val="52"/>
        </w:rPr>
      </w:pPr>
      <w:r>
        <w:rPr>
          <w:rFonts w:hint="eastAsia" w:ascii="宋体" w:hAnsi="宋体"/>
          <w:b/>
          <w:sz w:val="52"/>
          <w:highlight w:val="white"/>
        </w:rPr>
        <w:t>招标文件</w:t>
      </w:r>
    </w:p>
    <w:p w14:paraId="5D1B0680">
      <w:pPr>
        <w:spacing w:line="360" w:lineRule="auto"/>
        <w:rPr>
          <w:rFonts w:hint="eastAsia" w:ascii="宋体" w:hAnsi="宋体"/>
          <w:sz w:val="28"/>
          <w:szCs w:val="28"/>
        </w:rPr>
      </w:pPr>
    </w:p>
    <w:p w14:paraId="058368C2">
      <w:pPr>
        <w:spacing w:line="360" w:lineRule="auto"/>
        <w:ind w:firstLine="280" w:firstLineChars="100"/>
        <w:rPr>
          <w:rFonts w:hint="eastAsia" w:ascii="宋体" w:hAnsi="宋体"/>
          <w:b/>
          <w:sz w:val="28"/>
          <w:szCs w:val="28"/>
        </w:rPr>
      </w:pPr>
      <w:r>
        <w:rPr>
          <w:rFonts w:hint="eastAsia" w:ascii="宋体" w:hAnsi="宋体"/>
          <w:sz w:val="28"/>
          <w:szCs w:val="28"/>
          <w:highlight w:val="white"/>
        </w:rPr>
        <w:t>招标人：</w:t>
      </w:r>
      <w:r>
        <w:rPr>
          <w:rFonts w:hint="eastAsia" w:ascii="宋体" w:hAnsi="宋体"/>
          <w:color w:val="0000FF"/>
          <w:sz w:val="28"/>
          <w:szCs w:val="28"/>
          <w:highlight w:val="white"/>
          <w:lang w:eastAsia="zh-CN"/>
        </w:rPr>
        <w:t>四川九华光子通信技术有限公司</w:t>
      </w:r>
      <w:r>
        <w:rPr>
          <w:rFonts w:hint="eastAsia" w:ascii="宋体" w:hAnsi="宋体"/>
          <w:b/>
          <w:sz w:val="28"/>
          <w:szCs w:val="28"/>
          <w:highlight w:val="white"/>
        </w:rPr>
        <w:t>（盖单位章）</w:t>
      </w:r>
    </w:p>
    <w:p w14:paraId="7EDBF0D7">
      <w:pPr>
        <w:rPr>
          <w:rFonts w:hint="eastAsia"/>
          <w:highlight w:val="magenta"/>
        </w:rPr>
      </w:pPr>
      <w:bookmarkStart w:id="4" w:name="EB06c8ff00cc364ad1ae21933595fe8742"/>
      <w:r>
        <w:rPr>
          <w:rFonts w:hint="eastAsia"/>
          <w:color w:val="000080"/>
          <w:sz w:val="20"/>
          <w:highlight w:val="white"/>
        </w:rPr>
        <w:t xml:space="preserve"> </w:t>
      </w:r>
      <w:bookmarkEnd w:id="4"/>
    </w:p>
    <w:p w14:paraId="2ABA149D">
      <w:pPr>
        <w:spacing w:line="360" w:lineRule="auto"/>
        <w:rPr>
          <w:rFonts w:hint="eastAsia" w:ascii="宋体" w:hAnsi="宋体"/>
          <w:b/>
          <w:sz w:val="28"/>
          <w:szCs w:val="28"/>
        </w:rPr>
      </w:pPr>
      <w:bookmarkStart w:id="5" w:name="EB444b3f15c94e4c0fb8b74a7db6dd8669"/>
      <w:r>
        <w:rPr>
          <w:rFonts w:hint="eastAsia" w:ascii="宋体" w:hAnsi="宋体"/>
          <w:color w:val="0000FF"/>
          <w:sz w:val="27"/>
          <w:highlight w:val="white"/>
        </w:rPr>
        <w:t>□</w:t>
      </w:r>
      <w:bookmarkEnd w:id="5"/>
      <w:r>
        <w:rPr>
          <w:rFonts w:hint="eastAsia" w:ascii="宋体" w:hAnsi="宋体"/>
          <w:sz w:val="28"/>
          <w:szCs w:val="28"/>
          <w:highlight w:val="white"/>
        </w:rPr>
        <w:t>招标代理机构：</w:t>
      </w:r>
      <w:bookmarkStart w:id="6" w:name="EBc8b19c364661402dba4c09570aa4d5a2"/>
      <w:r>
        <w:rPr>
          <w:rFonts w:hint="eastAsia" w:ascii="宋体" w:hAnsi="宋体"/>
          <w:color w:val="0000FF"/>
          <w:sz w:val="28"/>
          <w:szCs w:val="28"/>
          <w:highlight w:val="white"/>
        </w:rPr>
        <w:t>/</w:t>
      </w:r>
      <w:bookmarkEnd w:id="6"/>
    </w:p>
    <w:p w14:paraId="425D7085">
      <w:pPr>
        <w:rPr>
          <w:rFonts w:hint="eastAsia"/>
          <w:color w:val="000080"/>
          <w:sz w:val="20"/>
          <w:highlight w:val="magenta"/>
        </w:rPr>
      </w:pPr>
      <w:bookmarkStart w:id="7" w:name="EBf83ddd98b45c4795ad0150c440a3fb5b"/>
      <w:r>
        <w:rPr>
          <w:rFonts w:hint="eastAsia"/>
          <w:color w:val="000080"/>
          <w:sz w:val="20"/>
          <w:highlight w:val="white"/>
        </w:rPr>
        <w:t xml:space="preserve"> </w:t>
      </w:r>
      <w:bookmarkEnd w:id="7"/>
    </w:p>
    <w:p w14:paraId="612CD636">
      <w:pPr>
        <w:rPr>
          <w:highlight w:val="magenta"/>
        </w:rPr>
      </w:pPr>
      <w:bookmarkStart w:id="8" w:name="EB41a3370f144b4cd7be05e94f9f679a02"/>
      <w:r>
        <w:rPr>
          <w:rFonts w:hint="eastAsia"/>
          <w:color w:val="000080"/>
          <w:sz w:val="20"/>
          <w:highlight w:val="white"/>
        </w:rPr>
        <w:t xml:space="preserve"> </w:t>
      </w:r>
      <w:bookmarkEnd w:id="8"/>
    </w:p>
    <w:p w14:paraId="69FD6EC6">
      <w:pPr>
        <w:spacing w:line="360" w:lineRule="auto"/>
        <w:rPr>
          <w:rFonts w:hint="eastAsia" w:ascii="宋体" w:hAnsi="宋体"/>
          <w:b/>
          <w:sz w:val="28"/>
          <w:szCs w:val="28"/>
        </w:rPr>
      </w:pPr>
      <w:bookmarkStart w:id="9" w:name="EB0a0541200252485b988ff69583528649"/>
      <w:r>
        <w:rPr>
          <w:rFonts w:hint="eastAsia" w:ascii="宋体" w:hAnsi="宋体"/>
          <w:color w:val="0000FF"/>
          <w:sz w:val="27"/>
          <w:highlight w:val="white"/>
        </w:rPr>
        <w:t>☑</w:t>
      </w:r>
      <w:bookmarkEnd w:id="9"/>
      <w:r>
        <w:rPr>
          <w:rFonts w:hint="eastAsia" w:ascii="宋体" w:hAnsi="宋体"/>
          <w:sz w:val="28"/>
          <w:szCs w:val="28"/>
          <w:highlight w:val="white"/>
        </w:rPr>
        <w:t>招标代理机构：</w:t>
      </w:r>
      <w:bookmarkStart w:id="10" w:name="EBec38abe99db24096baa7b42d27e3ef49"/>
      <w:r>
        <w:rPr>
          <w:rFonts w:hint="eastAsia" w:ascii="宋体" w:hAnsi="宋体"/>
          <w:color w:val="0000FF"/>
          <w:sz w:val="28"/>
          <w:szCs w:val="28"/>
          <w:highlight w:val="white"/>
        </w:rPr>
        <w:t>四川国宇康科技有限责任公司</w:t>
      </w:r>
      <w:bookmarkEnd w:id="10"/>
      <w:r>
        <w:rPr>
          <w:rFonts w:hint="eastAsia" w:ascii="宋体" w:hAnsi="宋体"/>
          <w:b/>
          <w:sz w:val="28"/>
          <w:szCs w:val="28"/>
          <w:highlight w:val="white"/>
        </w:rPr>
        <w:t>（盖单位章）</w:t>
      </w:r>
    </w:p>
    <w:p w14:paraId="48479B54">
      <w:pPr>
        <w:rPr>
          <w:rFonts w:hint="eastAsia"/>
          <w:highlight w:val="magenta"/>
        </w:rPr>
      </w:pPr>
      <w:bookmarkStart w:id="11" w:name="EB205c80302b344e078a18004a4d59d422"/>
      <w:r>
        <w:rPr>
          <w:rFonts w:hint="eastAsia"/>
          <w:color w:val="000080"/>
          <w:sz w:val="20"/>
          <w:highlight w:val="white"/>
        </w:rPr>
        <w:t xml:space="preserve"> </w:t>
      </w:r>
      <w:bookmarkEnd w:id="11"/>
    </w:p>
    <w:p w14:paraId="000A498E">
      <w:pPr>
        <w:spacing w:line="360" w:lineRule="auto"/>
        <w:ind w:firstLine="280" w:firstLineChars="100"/>
        <w:rPr>
          <w:rFonts w:hint="eastAsia" w:ascii="宋体" w:hAnsi="宋体" w:eastAsia="宋体"/>
          <w:b/>
          <w:sz w:val="28"/>
          <w:szCs w:val="28"/>
          <w:lang w:eastAsia="zh-CN"/>
        </w:rPr>
      </w:pPr>
      <w:r>
        <w:rPr>
          <w:rFonts w:hint="eastAsia" w:ascii="宋体" w:hAnsi="宋体"/>
          <w:sz w:val="28"/>
          <w:szCs w:val="28"/>
          <w:highlight w:val="white"/>
        </w:rPr>
        <w:t>招标代理机构项目负责人：</w:t>
      </w:r>
      <w:r>
        <w:rPr>
          <w:rFonts w:hint="eastAsia" w:ascii="宋体" w:hAnsi="宋体"/>
          <w:color w:val="0000FF"/>
          <w:sz w:val="28"/>
          <w:szCs w:val="28"/>
          <w:highlight w:val="white"/>
          <w:lang w:val="en-US" w:eastAsia="zh-CN"/>
        </w:rPr>
        <w:t>陈飞</w:t>
      </w:r>
    </w:p>
    <w:p w14:paraId="449903D4">
      <w:pPr>
        <w:rPr>
          <w:rFonts w:hint="eastAsia"/>
        </w:rPr>
      </w:pPr>
    </w:p>
    <w:p w14:paraId="4733B025">
      <w:pPr>
        <w:spacing w:line="360" w:lineRule="auto"/>
        <w:ind w:firstLine="280" w:firstLineChars="100"/>
        <w:rPr>
          <w:rFonts w:hint="eastAsia" w:ascii="宋体" w:hAnsi="宋体"/>
          <w:sz w:val="28"/>
          <w:szCs w:val="28"/>
        </w:rPr>
      </w:pPr>
      <w:r>
        <w:rPr>
          <w:rFonts w:hint="eastAsia" w:ascii="宋体" w:hAnsi="宋体"/>
          <w:sz w:val="28"/>
          <w:szCs w:val="28"/>
          <w:highlight w:val="white"/>
        </w:rPr>
        <w:t>招标文件编制人员：</w:t>
      </w:r>
      <w:bookmarkStart w:id="12" w:name="EB2623435fc9fc41aeaccc4fb8f920152c"/>
      <w:r>
        <w:rPr>
          <w:rFonts w:hint="eastAsia" w:ascii="宋体" w:hAnsi="宋体"/>
          <w:color w:val="0000FF"/>
          <w:sz w:val="28"/>
          <w:szCs w:val="28"/>
          <w:highlight w:val="white"/>
          <w:lang w:val="en-US" w:eastAsia="zh-CN"/>
        </w:rPr>
        <w:t>胡嘉欣</w:t>
      </w:r>
      <w:r>
        <w:rPr>
          <w:rFonts w:hint="eastAsia" w:ascii="宋体" w:hAnsi="宋体"/>
          <w:color w:val="0000FF"/>
          <w:sz w:val="28"/>
          <w:szCs w:val="28"/>
          <w:highlight w:val="white"/>
        </w:rPr>
        <w:t>、王开晴</w:t>
      </w:r>
      <w:bookmarkEnd w:id="12"/>
    </w:p>
    <w:p w14:paraId="05CDBA83">
      <w:pPr>
        <w:rPr>
          <w:rFonts w:hint="eastAsia"/>
        </w:rPr>
      </w:pPr>
    </w:p>
    <w:p w14:paraId="1102FCA5">
      <w:pPr>
        <w:spacing w:line="360" w:lineRule="auto"/>
        <w:ind w:firstLine="280" w:firstLineChars="100"/>
        <w:rPr>
          <w:rFonts w:hint="eastAsia" w:ascii="宋体" w:hAnsi="宋体"/>
          <w:sz w:val="28"/>
          <w:szCs w:val="28"/>
        </w:rPr>
      </w:pPr>
      <w:r>
        <w:rPr>
          <w:rFonts w:hint="eastAsia" w:ascii="宋体" w:hAnsi="宋体"/>
          <w:sz w:val="28"/>
          <w:szCs w:val="28"/>
          <w:highlight w:val="white"/>
        </w:rPr>
        <w:t>附件:</w:t>
      </w:r>
      <w:r>
        <w:rPr>
          <w:sz w:val="28"/>
          <w:szCs w:val="28"/>
        </w:rPr>
        <w:drawing>
          <wp:inline distT="0" distB="0" distL="114300" distR="114300">
            <wp:extent cx="155575" cy="155575"/>
            <wp:effectExtent l="0" t="0" r="12065" b="12065"/>
            <wp:docPr id="1" name="图片 1" descr="Rf78e0900fee047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Rf78e0900fee047b3"/>
                    <pic:cNvPicPr>
                      <a:picLocks noChangeAspect="1"/>
                    </pic:cNvPicPr>
                  </pic:nvPicPr>
                  <pic:blipFill>
                    <a:blip r:embed="rId9"/>
                    <a:stretch>
                      <a:fillRect/>
                    </a:stretch>
                  </pic:blipFill>
                  <pic:spPr>
                    <a:xfrm>
                      <a:off x="0" y="0"/>
                      <a:ext cx="155575" cy="155575"/>
                    </a:xfrm>
                    <a:prstGeom prst="rect">
                      <a:avLst/>
                    </a:prstGeom>
                    <a:noFill/>
                    <a:ln>
                      <a:noFill/>
                    </a:ln>
                  </pic:spPr>
                </pic:pic>
              </a:graphicData>
            </a:graphic>
          </wp:inline>
        </w:drawing>
      </w:r>
    </w:p>
    <w:p w14:paraId="20DE0841">
      <w:pPr>
        <w:spacing w:line="360" w:lineRule="auto"/>
        <w:jc w:val="center"/>
        <w:rPr>
          <w:rFonts w:hint="default" w:ascii="宋体" w:hAnsi="宋体" w:eastAsia="宋体"/>
          <w:sz w:val="28"/>
          <w:szCs w:val="28"/>
          <w:highlight w:val="green"/>
          <w:lang w:val="en-US" w:eastAsia="zh-CN"/>
        </w:rPr>
      </w:pPr>
      <w:bookmarkStart w:id="13" w:name="EB711f6a5c49534692bcc991e1dff00c2f"/>
      <w:r>
        <w:rPr>
          <w:rFonts w:hint="eastAsia" w:ascii="宋体" w:hAnsi="宋体"/>
          <w:color w:val="0000FF"/>
          <w:sz w:val="28"/>
          <w:szCs w:val="28"/>
          <w:highlight w:val="white"/>
        </w:rPr>
        <w:t>2026-</w:t>
      </w:r>
      <w:r>
        <w:rPr>
          <w:rFonts w:hint="eastAsia" w:ascii="宋体" w:hAnsi="宋体"/>
          <w:color w:val="0000FF"/>
          <w:sz w:val="28"/>
          <w:szCs w:val="28"/>
          <w:highlight w:val="white"/>
          <w:lang w:val="en-US" w:eastAsia="zh-CN"/>
        </w:rPr>
        <w:t>10</w:t>
      </w:r>
      <w:r>
        <w:rPr>
          <w:rFonts w:hint="eastAsia" w:ascii="宋体" w:hAnsi="宋体"/>
          <w:color w:val="0000FF"/>
          <w:sz w:val="28"/>
          <w:szCs w:val="28"/>
          <w:highlight w:val="white"/>
        </w:rPr>
        <w:t>-</w:t>
      </w:r>
      <w:bookmarkEnd w:id="13"/>
      <w:r>
        <w:rPr>
          <w:rFonts w:hint="eastAsia" w:ascii="宋体" w:hAnsi="宋体"/>
          <w:color w:val="0000FF"/>
          <w:sz w:val="28"/>
          <w:szCs w:val="28"/>
          <w:highlight w:val="white"/>
          <w:lang w:val="en-US" w:eastAsia="zh-CN"/>
        </w:rPr>
        <w:t>15</w:t>
      </w:r>
    </w:p>
    <w:p w14:paraId="3647630C">
      <w:pPr>
        <w:spacing w:line="360" w:lineRule="auto"/>
        <w:rPr>
          <w:rFonts w:hint="eastAsia" w:ascii="宋体" w:hAnsi="宋体" w:cs="宋体"/>
          <w:sz w:val="24"/>
        </w:rPr>
      </w:pPr>
      <w:r>
        <w:rPr>
          <w:rFonts w:hint="eastAsia" w:ascii="宋体" w:hAnsi="宋体" w:cs="宋体"/>
          <w:sz w:val="24"/>
          <w:highlight w:val="white"/>
        </w:rPr>
        <w:t xml:space="preserve"> 注：实行委托招标组织形式的，招标代理机构项目负责人和招标文件编制人员应是招标人和招标代理机构双方签订的委托招标代理合同载明的项目负责人和主要专职技术人员。</w:t>
      </w:r>
    </w:p>
    <w:p w14:paraId="4EF71FFC">
      <w:pPr>
        <w:rPr>
          <w:rFonts w:hint="eastAsia"/>
          <w:highlight w:val="cyan"/>
        </w:rPr>
      </w:pPr>
      <w:bookmarkStart w:id="14" w:name="EB50b622775caa424e80c6097431ab4449"/>
      <w:r>
        <w:rPr>
          <w:rFonts w:hint="eastAsia"/>
          <w:color w:val="000080"/>
          <w:sz w:val="20"/>
          <w:highlight w:val="white"/>
        </w:rPr>
        <w:t xml:space="preserve"> </w:t>
      </w:r>
      <w:bookmarkEnd w:id="14"/>
    </w:p>
    <w:p w14:paraId="5890F6E7">
      <w:pPr>
        <w:rPr>
          <w:rFonts w:hint="eastAsia"/>
        </w:rPr>
        <w:sectPr>
          <w:pgSz w:w="11906" w:h="16838"/>
          <w:pgMar w:top="1417" w:right="1417" w:bottom="1417" w:left="1417" w:header="851" w:footer="850" w:gutter="0"/>
          <w:cols w:space="720" w:num="1"/>
          <w:docGrid w:type="lines" w:linePitch="312" w:charSpace="0"/>
        </w:sectPr>
      </w:pPr>
    </w:p>
    <w:p w14:paraId="76A42BF8">
      <w:pPr>
        <w:pStyle w:val="2"/>
        <w:jc w:val="center"/>
        <w:rPr>
          <w:rFonts w:hint="eastAsia" w:ascii="宋体" w:hAnsi="宋体" w:cs="宋体"/>
          <w:sz w:val="32"/>
          <w:szCs w:val="32"/>
        </w:rPr>
      </w:pPr>
      <w:bookmarkStart w:id="15" w:name="_Toc256000000"/>
      <w:r>
        <w:rPr>
          <w:rFonts w:hint="eastAsia" w:ascii="宋体" w:hAnsi="宋体" w:cs="宋体"/>
          <w:sz w:val="32"/>
          <w:szCs w:val="32"/>
          <w:highlight w:val="white"/>
        </w:rPr>
        <w:t>目  录</w:t>
      </w:r>
      <w:bookmarkEnd w:id="15"/>
    </w:p>
    <w:p w14:paraId="2CE192B4">
      <w:pPr>
        <w:rPr>
          <w:rFonts w:hint="eastAsia"/>
        </w:rPr>
      </w:pPr>
    </w:p>
    <w:p w14:paraId="4A3D3C27">
      <w:pPr>
        <w:pStyle w:val="71"/>
        <w:tabs>
          <w:tab w:val="right" w:leader="dot" w:pos="9072"/>
        </w:tabs>
        <w:spacing w:line="48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highlight w:val="white"/>
        </w:rPr>
        <w:instrText xml:space="preserve"> HYPERLINK \l _Toc29583_WPSOffice_Level1 </w:instrText>
      </w:r>
      <w:r>
        <w:rPr>
          <w:rFonts w:hint="eastAsia" w:ascii="宋体" w:hAnsi="宋体" w:cs="宋体"/>
          <w:sz w:val="24"/>
          <w:szCs w:val="24"/>
        </w:rPr>
        <w:fldChar w:fldCharType="separate"/>
      </w:r>
      <w:r>
        <w:rPr>
          <w:rFonts w:hint="eastAsia" w:ascii="宋体" w:hAnsi="宋体"/>
          <w:sz w:val="27"/>
          <w:szCs w:val="22"/>
          <w:highlight w:val="white"/>
        </w:rPr>
        <w:t>□</w:t>
      </w:r>
      <w:r>
        <w:rPr>
          <w:rFonts w:hint="eastAsia" w:ascii="宋体" w:hAnsi="宋体" w:cs="宋体"/>
          <w:sz w:val="24"/>
          <w:szCs w:val="24"/>
          <w:highlight w:val="white"/>
        </w:rPr>
        <w:t>第一章 招标公告（适用于公开招标）</w:t>
      </w:r>
      <w:r>
        <w:rPr>
          <w:rFonts w:hint="eastAsia" w:ascii="宋体" w:hAnsi="宋体" w:cs="宋体"/>
          <w:sz w:val="24"/>
          <w:szCs w:val="24"/>
        </w:rPr>
        <w:fldChar w:fldCharType="end"/>
      </w:r>
    </w:p>
    <w:p w14:paraId="4786CF3A">
      <w:pPr>
        <w:pStyle w:val="71"/>
        <w:tabs>
          <w:tab w:val="right" w:leader="dot" w:pos="9072"/>
        </w:tabs>
        <w:spacing w:line="480" w:lineRule="auto"/>
        <w:rPr>
          <w:rFonts w:hint="eastAsia" w:ascii="宋体" w:hAnsi="宋体" w:cs="宋体"/>
          <w:sz w:val="24"/>
          <w:szCs w:val="24"/>
        </w:rPr>
      </w:pPr>
      <w:r>
        <w:fldChar w:fldCharType="begin"/>
      </w:r>
      <w:r>
        <w:rPr>
          <w:highlight w:val="white"/>
        </w:rPr>
        <w:instrText xml:space="preserve"> HYPERLINK \l "_Toc5226_WPSOffice_Level1" </w:instrText>
      </w:r>
      <w:r>
        <w:fldChar w:fldCharType="separate"/>
      </w:r>
      <w:r>
        <w:rPr>
          <w:rFonts w:hint="eastAsia" w:ascii="宋体" w:hAnsi="宋体"/>
          <w:sz w:val="27"/>
          <w:szCs w:val="22"/>
          <w:highlight w:val="white"/>
        </w:rPr>
        <w:t>□</w:t>
      </w:r>
      <w:r>
        <w:rPr>
          <w:rFonts w:hint="eastAsia" w:ascii="宋体" w:hAnsi="宋体" w:cs="宋体"/>
          <w:sz w:val="24"/>
          <w:szCs w:val="24"/>
          <w:highlight w:val="white"/>
        </w:rPr>
        <w:t>第一章 投标邀请书（适用于邀请招标）</w:t>
      </w:r>
      <w:r>
        <w:rPr>
          <w:rFonts w:hint="eastAsia" w:ascii="宋体" w:hAnsi="宋体" w:cs="宋体"/>
          <w:sz w:val="24"/>
          <w:szCs w:val="24"/>
        </w:rPr>
        <w:fldChar w:fldCharType="end"/>
      </w:r>
    </w:p>
    <w:p w14:paraId="565A8061">
      <w:pPr>
        <w:pStyle w:val="71"/>
        <w:tabs>
          <w:tab w:val="right" w:leader="dot" w:pos="9072"/>
        </w:tabs>
        <w:spacing w:line="480" w:lineRule="auto"/>
        <w:ind w:firstLine="240" w:firstLineChars="100"/>
        <w:rPr>
          <w:rFonts w:ascii="宋体" w:hAnsi="宋体" w:cs="宋体"/>
          <w:sz w:val="24"/>
          <w:szCs w:val="24"/>
        </w:rPr>
      </w:pPr>
      <w:r>
        <w:rPr>
          <w:rFonts w:hint="eastAsia" w:ascii="宋体" w:hAnsi="宋体" w:cs="宋体"/>
          <w:sz w:val="24"/>
          <w:szCs w:val="24"/>
          <w:highlight w:val="white"/>
        </w:rPr>
        <w:t>第二章 投标人须知</w:t>
      </w:r>
    </w:p>
    <w:p w14:paraId="153CDD0F">
      <w:pPr>
        <w:pStyle w:val="71"/>
        <w:tabs>
          <w:tab w:val="right" w:leader="dot" w:pos="9072"/>
        </w:tabs>
        <w:spacing w:line="480" w:lineRule="auto"/>
        <w:ind w:firstLine="200" w:firstLineChars="100"/>
        <w:rPr>
          <w:rFonts w:hint="eastAsia" w:ascii="宋体" w:hAnsi="宋体" w:cs="宋体"/>
          <w:sz w:val="24"/>
          <w:szCs w:val="24"/>
        </w:rPr>
      </w:pPr>
      <w:r>
        <w:fldChar w:fldCharType="begin"/>
      </w:r>
      <w:r>
        <w:rPr>
          <w:highlight w:val="white"/>
        </w:rPr>
        <w:instrText xml:space="preserve"> HYPERLINK \l "_Toc1561_WPSOffice_Level1" </w:instrText>
      </w:r>
      <w:r>
        <w:fldChar w:fldCharType="separate"/>
      </w:r>
      <w:r>
        <w:rPr>
          <w:rFonts w:hint="eastAsia" w:ascii="宋体" w:hAnsi="宋体" w:cs="宋体"/>
          <w:sz w:val="24"/>
          <w:szCs w:val="24"/>
          <w:highlight w:val="white"/>
        </w:rPr>
        <w:t>第三章 评标办法（综合评估法）</w:t>
      </w:r>
      <w:r>
        <w:rPr>
          <w:rFonts w:hint="eastAsia" w:ascii="宋体" w:hAnsi="宋体" w:cs="宋体"/>
          <w:sz w:val="24"/>
          <w:szCs w:val="24"/>
        </w:rPr>
        <w:fldChar w:fldCharType="end"/>
      </w:r>
    </w:p>
    <w:p w14:paraId="037940F1">
      <w:pPr>
        <w:pStyle w:val="71"/>
        <w:tabs>
          <w:tab w:val="right" w:leader="dot" w:pos="9072"/>
        </w:tabs>
        <w:spacing w:line="480" w:lineRule="auto"/>
        <w:ind w:firstLine="240" w:firstLineChars="100"/>
        <w:rPr>
          <w:rFonts w:hint="eastAsia" w:ascii="宋体" w:hAnsi="宋体" w:cs="宋体"/>
          <w:sz w:val="24"/>
          <w:szCs w:val="24"/>
        </w:rPr>
      </w:pPr>
      <w:r>
        <w:rPr>
          <w:rFonts w:hint="eastAsia" w:ascii="宋体" w:hAnsi="宋体" w:cs="宋体"/>
          <w:sz w:val="24"/>
          <w:szCs w:val="24"/>
          <w:highlight w:val="white"/>
        </w:rPr>
        <w:t>第四章 合同条款及格式</w:t>
      </w:r>
    </w:p>
    <w:p w14:paraId="584C71FA">
      <w:pPr>
        <w:pStyle w:val="71"/>
        <w:tabs>
          <w:tab w:val="right" w:leader="dot" w:pos="9072"/>
        </w:tabs>
        <w:spacing w:line="480" w:lineRule="auto"/>
        <w:ind w:firstLine="240" w:firstLineChars="100"/>
        <w:rPr>
          <w:rFonts w:hint="eastAsia" w:ascii="宋体" w:hAnsi="宋体" w:cs="宋体"/>
          <w:sz w:val="24"/>
          <w:szCs w:val="24"/>
        </w:rPr>
      </w:pPr>
      <w:r>
        <w:rPr>
          <w:rFonts w:hint="eastAsia" w:ascii="宋体" w:hAnsi="宋体" w:cs="宋体"/>
          <w:sz w:val="24"/>
          <w:szCs w:val="24"/>
          <w:highlight w:val="white"/>
        </w:rPr>
        <w:t>第五章 发包人要求</w:t>
      </w:r>
    </w:p>
    <w:p w14:paraId="6E1C5AC9">
      <w:pPr>
        <w:pStyle w:val="71"/>
        <w:tabs>
          <w:tab w:val="right" w:leader="dot" w:pos="9072"/>
        </w:tabs>
        <w:spacing w:line="480" w:lineRule="auto"/>
        <w:ind w:firstLine="240" w:firstLineChars="100"/>
        <w:rPr>
          <w:rFonts w:hint="eastAsia" w:ascii="宋体" w:hAnsi="宋体" w:cs="宋体"/>
          <w:sz w:val="24"/>
          <w:szCs w:val="24"/>
        </w:rPr>
      </w:pPr>
      <w:r>
        <w:rPr>
          <w:rFonts w:hint="eastAsia" w:ascii="宋体" w:hAnsi="宋体" w:cs="宋体"/>
          <w:sz w:val="24"/>
          <w:szCs w:val="24"/>
          <w:highlight w:val="white"/>
        </w:rPr>
        <w:t>第六章 发包人提供的资料</w:t>
      </w:r>
    </w:p>
    <w:p w14:paraId="0B7CFE57">
      <w:pPr>
        <w:pStyle w:val="71"/>
        <w:tabs>
          <w:tab w:val="right" w:leader="dot" w:pos="9072"/>
        </w:tabs>
        <w:spacing w:line="480" w:lineRule="auto"/>
        <w:ind w:firstLine="240" w:firstLineChars="100"/>
        <w:rPr>
          <w:rFonts w:hint="eastAsia" w:ascii="宋体" w:hAnsi="宋体" w:cs="宋体"/>
          <w:sz w:val="24"/>
          <w:szCs w:val="24"/>
        </w:rPr>
      </w:pPr>
      <w:r>
        <w:rPr>
          <w:rFonts w:hint="eastAsia" w:ascii="宋体" w:hAnsi="宋体" w:cs="宋体"/>
          <w:sz w:val="24"/>
          <w:szCs w:val="24"/>
          <w:highlight w:val="white"/>
        </w:rPr>
        <w:t>第七章 投标文件格式</w:t>
      </w:r>
    </w:p>
    <w:p w14:paraId="4B7CE013">
      <w:pPr>
        <w:pStyle w:val="71"/>
        <w:tabs>
          <w:tab w:val="right" w:leader="dot" w:pos="9072"/>
        </w:tabs>
        <w:spacing w:line="480" w:lineRule="auto"/>
        <w:ind w:firstLine="240" w:firstLineChars="100"/>
        <w:rPr>
          <w:rFonts w:hint="eastAsia" w:ascii="宋体" w:hAnsi="宋体" w:cs="宋体"/>
          <w:sz w:val="24"/>
          <w:szCs w:val="24"/>
        </w:rPr>
      </w:pPr>
      <w:r>
        <w:rPr>
          <w:rFonts w:hint="eastAsia" w:ascii="宋体" w:hAnsi="宋体" w:cs="宋体"/>
          <w:sz w:val="24"/>
          <w:szCs w:val="24"/>
          <w:highlight w:val="white"/>
        </w:rPr>
        <w:t>第八章 定标方案</w:t>
      </w:r>
    </w:p>
    <w:p w14:paraId="2F5D38E2">
      <w:pPr>
        <w:pStyle w:val="71"/>
        <w:tabs>
          <w:tab w:val="right" w:leader="dot" w:pos="9072"/>
        </w:tabs>
        <w:spacing w:line="480" w:lineRule="auto"/>
        <w:ind w:firstLine="240" w:firstLineChars="100"/>
        <w:rPr>
          <w:rFonts w:hint="eastAsia" w:ascii="宋体" w:hAnsi="宋体" w:cs="宋体"/>
          <w:sz w:val="24"/>
          <w:szCs w:val="24"/>
        </w:rPr>
        <w:sectPr>
          <w:footerReference r:id="rId5" w:type="default"/>
          <w:pgSz w:w="11906" w:h="16838"/>
          <w:pgMar w:top="1417" w:right="1417" w:bottom="1417" w:left="1417" w:header="851" w:footer="850" w:gutter="0"/>
          <w:pgNumType w:start="1"/>
          <w:cols w:space="720" w:num="1"/>
          <w:docGrid w:type="lines" w:linePitch="312" w:charSpace="0"/>
        </w:sectPr>
      </w:pPr>
    </w:p>
    <w:p w14:paraId="193CB185">
      <w:pPr>
        <w:pStyle w:val="2"/>
        <w:widowControl/>
        <w:jc w:val="center"/>
        <w:rPr>
          <w:rFonts w:hint="eastAsia" w:ascii="宋体" w:hAnsi="宋体" w:cs="宋体"/>
          <w:bCs w:val="0"/>
          <w:sz w:val="32"/>
          <w:szCs w:val="32"/>
        </w:rPr>
      </w:pPr>
      <w:bookmarkStart w:id="16" w:name="_Toc256000001"/>
      <w:r>
        <w:rPr>
          <w:rFonts w:hint="eastAsia" w:ascii="宋体" w:hAnsi="宋体" w:cs="宋体"/>
          <w:bCs w:val="0"/>
          <w:sz w:val="32"/>
          <w:szCs w:val="32"/>
          <w:highlight w:val="white"/>
        </w:rPr>
        <w:t>第一卷</w:t>
      </w:r>
      <w:bookmarkEnd w:id="16"/>
    </w:p>
    <w:p w14:paraId="1BD4DFE6">
      <w:pPr>
        <w:rPr>
          <w:rFonts w:hint="eastAsia"/>
          <w:highlight w:val="red"/>
        </w:rPr>
      </w:pPr>
      <w:r>
        <w:rPr>
          <w:highlight w:val="white"/>
        </w:rPr>
        <w:br w:type="page"/>
      </w:r>
      <w:bookmarkStart w:id="17" w:name="EBce453756ae1a4188a22f7e0780d40783"/>
    </w:p>
    <w:p w14:paraId="1E785372">
      <w:pPr>
        <w:keepNext/>
        <w:keepLines/>
        <w:spacing w:before="340" w:after="330" w:line="576" w:lineRule="auto"/>
        <w:jc w:val="center"/>
        <w:outlineLvl w:val="0"/>
        <w:rPr>
          <w:rFonts w:ascii="宋体" w:hAnsi="宋体" w:cs="宋体"/>
          <w:b/>
          <w:kern w:val="44"/>
          <w:sz w:val="32"/>
          <w:szCs w:val="32"/>
        </w:rPr>
      </w:pPr>
      <w:bookmarkStart w:id="18" w:name="_Toc256000002"/>
      <w:bookmarkStart w:id="19" w:name="_Toc256000011"/>
      <w:r>
        <w:rPr>
          <w:rFonts w:hint="eastAsia" w:ascii="宋体" w:hAnsi="宋体" w:cs="宋体"/>
          <w:b/>
          <w:kern w:val="44"/>
          <w:sz w:val="32"/>
          <w:szCs w:val="32"/>
        </w:rPr>
        <w:t>第一章 招标公告（未进行资格预审，适用于公开招标）</w:t>
      </w:r>
      <w:bookmarkEnd w:id="18"/>
      <w:bookmarkEnd w:id="19"/>
    </w:p>
    <w:p w14:paraId="378251FD">
      <w:pPr>
        <w:adjustRightInd w:val="0"/>
        <w:snapToGrid w:val="0"/>
        <w:spacing w:line="360" w:lineRule="auto"/>
        <w:jc w:val="center"/>
        <w:rPr>
          <w:rFonts w:ascii="宋体" w:hAnsi="宋体"/>
          <w:b/>
          <w:sz w:val="28"/>
          <w:szCs w:val="28"/>
        </w:rPr>
      </w:pPr>
      <w:r>
        <w:rPr>
          <w:rFonts w:hint="eastAsia" w:ascii="宋体" w:hAnsi="宋体"/>
          <w:b/>
          <w:sz w:val="28"/>
          <w:szCs w:val="28"/>
          <w:u w:val="single"/>
          <w:lang w:eastAsia="zh-CN"/>
        </w:rPr>
        <w:t>国产自主可控超高速光模块研发与产业化项目</w:t>
      </w:r>
      <w:r>
        <w:rPr>
          <w:rFonts w:hint="eastAsia" w:ascii="宋体" w:hAnsi="宋体"/>
          <w:b/>
          <w:sz w:val="28"/>
          <w:szCs w:val="28"/>
        </w:rPr>
        <w:t>(项目名称)设计施工总承包</w:t>
      </w:r>
      <w:r>
        <w:rPr>
          <w:rFonts w:hint="eastAsia" w:ascii="宋体" w:hAnsi="宋体"/>
          <w:b/>
          <w:sz w:val="28"/>
          <w:szCs w:val="28"/>
          <w:u w:val="single"/>
          <w:lang w:eastAsia="zh-CN"/>
        </w:rPr>
        <w:t>国产自主可控超高速光模块研发与产业化项目</w:t>
      </w:r>
      <w:r>
        <w:rPr>
          <w:rFonts w:hint="eastAsia" w:ascii="宋体" w:hAnsi="宋体"/>
          <w:b/>
          <w:sz w:val="28"/>
          <w:szCs w:val="28"/>
          <w:u w:val="single"/>
        </w:rPr>
        <w:t>-</w:t>
      </w:r>
      <w:r>
        <w:rPr>
          <w:rFonts w:hint="eastAsia" w:ascii="宋体" w:hAnsi="宋体"/>
          <w:b/>
          <w:sz w:val="28"/>
          <w:szCs w:val="28"/>
          <w:u w:val="single"/>
          <w:lang w:eastAsia="zh-CN"/>
        </w:rPr>
        <w:t>净化厂房装修</w:t>
      </w:r>
      <w:r>
        <w:rPr>
          <w:rFonts w:hint="eastAsia" w:ascii="宋体" w:hAnsi="宋体"/>
          <w:b/>
          <w:sz w:val="28"/>
          <w:szCs w:val="28"/>
          <w:u w:val="single"/>
        </w:rPr>
        <w:t>设计施工总承包</w:t>
      </w:r>
      <w:r>
        <w:rPr>
          <w:rFonts w:hint="eastAsia" w:ascii="宋体" w:hAnsi="宋体"/>
          <w:b/>
          <w:sz w:val="28"/>
          <w:szCs w:val="28"/>
        </w:rPr>
        <w:t>标段</w:t>
      </w:r>
    </w:p>
    <w:p w14:paraId="21424420">
      <w:pPr>
        <w:keepNext/>
        <w:keepLines/>
        <w:spacing w:before="260" w:after="260" w:line="415" w:lineRule="auto"/>
        <w:outlineLvl w:val="1"/>
        <w:rPr>
          <w:rFonts w:ascii="宋体" w:hAnsi="宋体"/>
          <w:b/>
          <w:kern w:val="0"/>
          <w:sz w:val="24"/>
          <w:szCs w:val="24"/>
        </w:rPr>
      </w:pPr>
      <w:bookmarkStart w:id="20" w:name="_Toc256000012"/>
      <w:bookmarkStart w:id="21" w:name="_Toc256000003"/>
      <w:r>
        <w:rPr>
          <w:rFonts w:hint="eastAsia" w:ascii="宋体" w:hAnsi="宋体"/>
          <w:b/>
          <w:kern w:val="0"/>
          <w:sz w:val="24"/>
          <w:szCs w:val="24"/>
        </w:rPr>
        <w:t>1. 招标条件</w:t>
      </w:r>
      <w:bookmarkEnd w:id="20"/>
      <w:bookmarkEnd w:id="21"/>
    </w:p>
    <w:p w14:paraId="5F446EF4">
      <w:pPr>
        <w:adjustRightInd w:val="0"/>
        <w:snapToGrid w:val="0"/>
        <w:spacing w:line="360" w:lineRule="auto"/>
        <w:rPr>
          <w:rFonts w:ascii="宋体" w:hAnsi="宋体"/>
          <w:sz w:val="24"/>
          <w:szCs w:val="24"/>
        </w:rPr>
      </w:pPr>
      <w:r>
        <w:rPr>
          <w:rFonts w:ascii="Times New Roman" w:hAnsi="Times New Roman"/>
          <w:szCs w:val="21"/>
        </w:rPr>
        <w:t>　　</w:t>
      </w:r>
      <w:r>
        <w:rPr>
          <w:rFonts w:hint="eastAsia" w:ascii="宋体" w:hAnsi="宋体"/>
          <w:sz w:val="24"/>
          <w:szCs w:val="24"/>
        </w:rPr>
        <w:t>1.1本招标项目</w:t>
      </w:r>
      <w:r>
        <w:rPr>
          <w:rFonts w:hint="eastAsia" w:ascii="宋体" w:hAnsi="宋体"/>
          <w:bCs/>
          <w:sz w:val="24"/>
          <w:szCs w:val="24"/>
          <w:u w:val="single"/>
          <w:lang w:eastAsia="zh-CN"/>
        </w:rPr>
        <w:t>国产自主可控超高速光模块研发与产业化项目</w:t>
      </w:r>
      <w:r>
        <w:rPr>
          <w:rFonts w:hint="eastAsia" w:ascii="宋体" w:hAnsi="宋体"/>
          <w:sz w:val="24"/>
          <w:szCs w:val="24"/>
        </w:rPr>
        <w:t>(项目名称)已由</w:t>
      </w:r>
      <w:r>
        <w:rPr>
          <w:rFonts w:hint="eastAsia" w:ascii="宋体" w:hAnsi="宋体"/>
          <w:sz w:val="24"/>
          <w:szCs w:val="24"/>
          <w:u w:val="single"/>
        </w:rPr>
        <w:t>绵阳市涪城区工业和信息化局</w:t>
      </w:r>
      <w:r>
        <w:rPr>
          <w:rFonts w:hint="eastAsia" w:ascii="宋体" w:hAnsi="宋体"/>
          <w:sz w:val="24"/>
          <w:szCs w:val="24"/>
        </w:rPr>
        <w:t>(项目审批、核准或备案机关名称)以</w:t>
      </w:r>
      <w:r>
        <w:rPr>
          <w:rFonts w:hint="eastAsia" w:ascii="宋体" w:hAnsi="宋体"/>
          <w:sz w:val="24"/>
          <w:szCs w:val="24"/>
          <w:u w:val="single"/>
          <w:lang w:val="en-US" w:eastAsia="zh-CN"/>
        </w:rPr>
        <w:t xml:space="preserve"> 川投资备【2601-510703-07-02-449999】JXQB-0035号</w:t>
      </w:r>
      <w:r>
        <w:rPr>
          <w:rFonts w:hint="eastAsia" w:ascii="宋体" w:hAnsi="宋体"/>
          <w:sz w:val="24"/>
          <w:szCs w:val="24"/>
        </w:rPr>
        <w:t>（批文名称及编号）批准建设，项目业主为</w:t>
      </w:r>
      <w:r>
        <w:rPr>
          <w:rFonts w:hint="eastAsia" w:ascii="宋体" w:hAnsi="宋体"/>
          <w:sz w:val="24"/>
          <w:szCs w:val="24"/>
          <w:u w:val="single"/>
          <w:lang w:eastAsia="zh-CN"/>
        </w:rPr>
        <w:t>四川九华光子通信技术有限公司</w:t>
      </w:r>
      <w:r>
        <w:rPr>
          <w:rFonts w:hint="eastAsia" w:ascii="宋体" w:hAnsi="宋体"/>
          <w:sz w:val="24"/>
          <w:szCs w:val="24"/>
        </w:rPr>
        <w:t>，建设资金来自</w:t>
      </w:r>
      <w:r>
        <w:rPr>
          <w:rFonts w:hint="eastAsia" w:ascii="宋体" w:hAnsi="宋体"/>
          <w:sz w:val="24"/>
          <w:szCs w:val="24"/>
          <w:u w:val="single"/>
          <w:lang w:val="en-US" w:eastAsia="zh-CN"/>
        </w:rPr>
        <w:t>企业自筹</w:t>
      </w:r>
      <w:r>
        <w:rPr>
          <w:rFonts w:hint="eastAsia" w:ascii="宋体" w:hAnsi="宋体"/>
          <w:sz w:val="24"/>
          <w:szCs w:val="24"/>
        </w:rPr>
        <w:t>（资金来源），项目出资比例为</w:t>
      </w:r>
      <w:r>
        <w:rPr>
          <w:rFonts w:hint="eastAsia" w:ascii="宋体" w:hAnsi="宋体"/>
          <w:sz w:val="24"/>
          <w:szCs w:val="24"/>
          <w:u w:val="single"/>
        </w:rPr>
        <w:t>100%</w:t>
      </w:r>
      <w:r>
        <w:rPr>
          <w:rFonts w:hint="eastAsia" w:ascii="宋体" w:hAnsi="宋体"/>
          <w:sz w:val="24"/>
          <w:szCs w:val="24"/>
        </w:rPr>
        <w:t>，招标人为</w:t>
      </w:r>
      <w:r>
        <w:rPr>
          <w:rFonts w:hint="eastAsia" w:ascii="宋体" w:hAnsi="宋体"/>
          <w:sz w:val="24"/>
          <w:szCs w:val="24"/>
          <w:u w:val="single"/>
          <w:lang w:eastAsia="zh-CN"/>
        </w:rPr>
        <w:t>四川九华光子通信技术有限公司</w:t>
      </w:r>
      <w:r>
        <w:rPr>
          <w:rFonts w:hint="eastAsia" w:ascii="宋体" w:hAnsi="宋体"/>
          <w:sz w:val="24"/>
          <w:szCs w:val="24"/>
        </w:rPr>
        <w:t>。项目已具备招标条件，现对该项目的设计施工总承包进行公开招标。</w:t>
      </w:r>
    </w:p>
    <w:p w14:paraId="0C667A2A">
      <w:pPr>
        <w:adjustRightInd w:val="0"/>
        <w:snapToGrid w:val="0"/>
        <w:spacing w:line="360" w:lineRule="auto"/>
        <w:rPr>
          <w:rFonts w:ascii="Times New Roman" w:hAnsi="Times New Roman"/>
          <w:szCs w:val="21"/>
        </w:rPr>
      </w:pPr>
      <w:r>
        <w:rPr>
          <w:rFonts w:hint="eastAsia" w:ascii="宋体" w:hAnsi="宋体"/>
          <w:sz w:val="24"/>
          <w:szCs w:val="24"/>
        </w:rPr>
        <w:t>1.2本招标项目由</w:t>
      </w:r>
      <w:r>
        <w:rPr>
          <w:rFonts w:hint="eastAsia" w:ascii="宋体" w:hAnsi="宋体"/>
          <w:sz w:val="24"/>
          <w:szCs w:val="24"/>
          <w:u w:val="single"/>
        </w:rPr>
        <w:t>绵阳市涪城区工业和信息化局</w:t>
      </w:r>
      <w:r>
        <w:rPr>
          <w:rFonts w:hint="eastAsia" w:ascii="宋体" w:hAnsi="宋体"/>
          <w:sz w:val="24"/>
          <w:szCs w:val="24"/>
        </w:rPr>
        <w:t>（核准机关名称）核准（招标事项核准文号为</w:t>
      </w:r>
      <w:r>
        <w:rPr>
          <w:rFonts w:hint="eastAsia" w:ascii="宋体" w:hAnsi="宋体"/>
          <w:sz w:val="24"/>
          <w:szCs w:val="24"/>
          <w:u w:val="single"/>
          <w:lang w:val="en-US" w:eastAsia="zh-CN"/>
        </w:rPr>
        <w:t>川投资备【2601-510703-07-02-449999】JXQB-0035号</w:t>
      </w:r>
      <w:r>
        <w:rPr>
          <w:rFonts w:hint="eastAsia" w:ascii="宋体" w:hAnsi="宋体"/>
          <w:sz w:val="24"/>
          <w:szCs w:val="24"/>
        </w:rPr>
        <w:t>）的招标组织形式为</w:t>
      </w:r>
      <w:r>
        <w:rPr>
          <w:rFonts w:hint="eastAsia" w:ascii="宋体" w:hAnsi="宋体"/>
          <w:sz w:val="24"/>
          <w:szCs w:val="24"/>
          <w:u w:val="single"/>
        </w:rPr>
        <w:t>委托招标</w:t>
      </w:r>
      <w:r>
        <w:rPr>
          <w:rFonts w:hint="eastAsia" w:ascii="宋体" w:hAnsi="宋体"/>
          <w:bCs/>
          <w:sz w:val="24"/>
          <w:szCs w:val="24"/>
        </w:rPr>
        <w:t>（□</w:t>
      </w:r>
      <w:r>
        <w:rPr>
          <w:rFonts w:hint="eastAsia" w:ascii="宋体" w:hAnsi="宋体"/>
          <w:sz w:val="24"/>
          <w:szCs w:val="24"/>
        </w:rPr>
        <w:t>自行招标 ☑委托招标</w:t>
      </w:r>
      <w:r>
        <w:rPr>
          <w:rFonts w:hint="eastAsia" w:ascii="宋体" w:hAnsi="宋体"/>
          <w:bCs/>
          <w:sz w:val="24"/>
          <w:szCs w:val="24"/>
        </w:rPr>
        <w:t>）</w:t>
      </w:r>
      <w:r>
        <w:rPr>
          <w:rFonts w:hint="eastAsia" w:ascii="宋体" w:hAnsi="宋体"/>
          <w:sz w:val="24"/>
          <w:szCs w:val="24"/>
        </w:rPr>
        <w:t>。招标人选择的招标代理机构是</w:t>
      </w:r>
      <w:r>
        <w:rPr>
          <w:rFonts w:hint="eastAsia" w:ascii="宋体" w:hAnsi="宋体"/>
          <w:sz w:val="24"/>
          <w:szCs w:val="24"/>
          <w:u w:val="single"/>
        </w:rPr>
        <w:t>四川国宇康科技有限责任公司</w:t>
      </w:r>
      <w:r>
        <w:rPr>
          <w:rFonts w:hint="eastAsia" w:ascii="宋体" w:hAnsi="宋体"/>
          <w:sz w:val="24"/>
          <w:szCs w:val="24"/>
        </w:rPr>
        <w:t>。</w:t>
      </w:r>
    </w:p>
    <w:p w14:paraId="1CA1508E">
      <w:pPr>
        <w:keepNext/>
        <w:keepLines/>
        <w:spacing w:before="260" w:after="260" w:line="415" w:lineRule="auto"/>
        <w:outlineLvl w:val="1"/>
        <w:rPr>
          <w:rFonts w:ascii="宋体" w:hAnsi="宋体"/>
          <w:b/>
          <w:kern w:val="0"/>
          <w:sz w:val="24"/>
          <w:szCs w:val="24"/>
        </w:rPr>
      </w:pPr>
      <w:bookmarkStart w:id="22" w:name="_Toc256000013"/>
      <w:bookmarkStart w:id="23" w:name="_Toc256000004"/>
      <w:r>
        <w:rPr>
          <w:rFonts w:hint="eastAsia" w:ascii="宋体" w:hAnsi="宋体"/>
          <w:b/>
          <w:kern w:val="0"/>
          <w:sz w:val="24"/>
          <w:szCs w:val="24"/>
        </w:rPr>
        <w:t>2. 项目概况与招标范围</w:t>
      </w:r>
      <w:bookmarkEnd w:id="22"/>
      <w:bookmarkEnd w:id="23"/>
    </w:p>
    <w:p w14:paraId="1C519C0F">
      <w:pPr>
        <w:adjustRightInd w:val="0"/>
        <w:snapToGrid w:val="0"/>
        <w:spacing w:line="360" w:lineRule="auto"/>
        <w:rPr>
          <w:rFonts w:ascii="宋体" w:hAnsi="宋体"/>
          <w:sz w:val="24"/>
          <w:szCs w:val="24"/>
          <w:u w:val="single"/>
        </w:rPr>
      </w:pPr>
      <w:r>
        <w:rPr>
          <w:rFonts w:hint="eastAsia" w:ascii="宋体" w:hAnsi="宋体"/>
          <w:sz w:val="24"/>
          <w:szCs w:val="24"/>
          <w:u w:val="single"/>
        </w:rPr>
        <w:t>2.1 建设地点：绵阳市涪城区智能制造产业园。</w:t>
      </w:r>
    </w:p>
    <w:p w14:paraId="3E11B902">
      <w:pPr>
        <w:adjustRightInd w:val="0"/>
        <w:snapToGrid w:val="0"/>
        <w:spacing w:line="360" w:lineRule="auto"/>
        <w:rPr>
          <w:rFonts w:ascii="宋体" w:hAnsi="宋体"/>
          <w:sz w:val="24"/>
          <w:szCs w:val="24"/>
          <w:u w:val="single"/>
        </w:rPr>
      </w:pPr>
      <w:r>
        <w:rPr>
          <w:rFonts w:hint="eastAsia" w:ascii="宋体" w:hAnsi="宋体"/>
          <w:sz w:val="24"/>
          <w:szCs w:val="24"/>
          <w:u w:val="single"/>
        </w:rPr>
        <w:t>2.2 规模及投资额：国产自主可控超高速光模块研发与产业化项目改造厂房约1</w:t>
      </w:r>
      <w:r>
        <w:rPr>
          <w:rFonts w:hint="eastAsia" w:ascii="宋体" w:hAnsi="宋体"/>
          <w:sz w:val="24"/>
          <w:szCs w:val="24"/>
          <w:u w:val="single"/>
          <w:lang w:val="en-US" w:eastAsia="zh-CN"/>
        </w:rPr>
        <w:t>2</w:t>
      </w:r>
      <w:r>
        <w:rPr>
          <w:rFonts w:hint="eastAsia" w:ascii="宋体" w:hAnsi="宋体"/>
          <w:sz w:val="24"/>
          <w:szCs w:val="24"/>
          <w:u w:val="single"/>
        </w:rPr>
        <w:t>000平方米。</w:t>
      </w:r>
    </w:p>
    <w:p w14:paraId="33A81B35">
      <w:pPr>
        <w:adjustRightInd w:val="0"/>
        <w:snapToGrid w:val="0"/>
        <w:spacing w:line="360" w:lineRule="auto"/>
        <w:rPr>
          <w:rFonts w:ascii="宋体" w:hAnsi="宋体"/>
          <w:sz w:val="24"/>
          <w:szCs w:val="24"/>
          <w:u w:val="single"/>
        </w:rPr>
      </w:pPr>
      <w:r>
        <w:rPr>
          <w:rFonts w:hint="eastAsia" w:ascii="宋体" w:hAnsi="宋体"/>
          <w:sz w:val="24"/>
          <w:szCs w:val="24"/>
          <w:u w:val="single"/>
        </w:rPr>
        <w:t>2.3计划工期：总工期</w:t>
      </w:r>
      <w:r>
        <w:rPr>
          <w:rFonts w:hint="eastAsia" w:ascii="宋体" w:hAnsi="宋体"/>
          <w:sz w:val="24"/>
          <w:szCs w:val="24"/>
          <w:u w:val="single"/>
          <w:lang w:val="en-US" w:eastAsia="zh-CN"/>
        </w:rPr>
        <w:t>150</w:t>
      </w:r>
      <w:r>
        <w:rPr>
          <w:rFonts w:hint="eastAsia" w:ascii="宋体" w:hAnsi="宋体"/>
          <w:sz w:val="24"/>
          <w:szCs w:val="24"/>
          <w:u w:val="single"/>
        </w:rPr>
        <w:t>日历天(其中施工图设计</w:t>
      </w:r>
      <w:r>
        <w:rPr>
          <w:rFonts w:hint="eastAsia" w:ascii="宋体" w:hAnsi="宋体"/>
          <w:sz w:val="24"/>
          <w:szCs w:val="24"/>
          <w:u w:val="single"/>
          <w:lang w:val="en-US" w:eastAsia="zh-CN"/>
        </w:rPr>
        <w:t>30</w:t>
      </w:r>
      <w:r>
        <w:rPr>
          <w:rFonts w:hint="eastAsia" w:ascii="宋体" w:hAnsi="宋体"/>
          <w:sz w:val="24"/>
          <w:szCs w:val="24"/>
          <w:u w:val="single"/>
        </w:rPr>
        <w:t>日历天，施工</w:t>
      </w:r>
      <w:r>
        <w:rPr>
          <w:rFonts w:hint="eastAsia" w:ascii="宋体" w:hAnsi="宋体"/>
          <w:sz w:val="24"/>
          <w:szCs w:val="24"/>
          <w:u w:val="single"/>
          <w:lang w:val="en-US" w:eastAsia="zh-CN"/>
        </w:rPr>
        <w:t>120</w:t>
      </w:r>
      <w:r>
        <w:rPr>
          <w:rFonts w:hint="eastAsia" w:ascii="宋体" w:hAnsi="宋体"/>
          <w:sz w:val="24"/>
          <w:szCs w:val="24"/>
          <w:u w:val="single"/>
        </w:rPr>
        <w:t>日历天)。</w:t>
      </w:r>
    </w:p>
    <w:p w14:paraId="7FCD5070">
      <w:pPr>
        <w:adjustRightInd w:val="0"/>
        <w:snapToGrid w:val="0"/>
        <w:spacing w:line="360" w:lineRule="auto"/>
        <w:rPr>
          <w:rFonts w:ascii="宋体" w:hAnsi="宋体"/>
          <w:sz w:val="24"/>
          <w:szCs w:val="24"/>
          <w:u w:val="single"/>
        </w:rPr>
      </w:pPr>
      <w:r>
        <w:rPr>
          <w:rFonts w:hint="eastAsia" w:ascii="宋体" w:hAnsi="宋体"/>
          <w:sz w:val="24"/>
          <w:szCs w:val="24"/>
          <w:u w:val="single"/>
        </w:rPr>
        <w:t>2.4招标范围：设计范围包括但不限于：本项目的施工图设计、施工过程设计控制及设计跟踪、施工现场配合服务、需深化的专业设计以及配合审核竣工图及质量缺陷处理等后续服务；</w:t>
      </w:r>
    </w:p>
    <w:p w14:paraId="324DD056">
      <w:pPr>
        <w:adjustRightInd w:val="0"/>
        <w:snapToGrid w:val="0"/>
        <w:spacing w:line="360" w:lineRule="auto"/>
        <w:rPr>
          <w:rFonts w:ascii="宋体" w:hAnsi="宋体"/>
          <w:sz w:val="24"/>
          <w:szCs w:val="24"/>
          <w:u w:val="single"/>
        </w:rPr>
      </w:pPr>
      <w:r>
        <w:rPr>
          <w:rFonts w:hint="eastAsia" w:ascii="宋体" w:hAnsi="宋体"/>
          <w:sz w:val="24"/>
          <w:szCs w:val="24"/>
          <w:u w:val="single"/>
        </w:rPr>
        <w:t>施工范围包括但不限于：本工程的全部施工图等相关资料涉及的竣工交付的项目</w:t>
      </w:r>
      <w:r>
        <w:rPr>
          <w:rFonts w:hint="eastAsia" w:ascii="宋体" w:hAnsi="宋体"/>
          <w:sz w:val="24"/>
          <w:szCs w:val="24"/>
          <w:u w:val="single"/>
          <w:lang w:eastAsia="zh-CN"/>
        </w:rPr>
        <w:t>，</w:t>
      </w:r>
      <w:r>
        <w:rPr>
          <w:rFonts w:hint="eastAsia" w:ascii="宋体" w:hAnsi="宋体"/>
          <w:sz w:val="24"/>
          <w:szCs w:val="24"/>
          <w:u w:val="single"/>
        </w:rPr>
        <w:t>直至整体竣工验收及移交、工程保修期及缺陷责任期内的保修工作。</w:t>
      </w:r>
    </w:p>
    <w:p w14:paraId="1CB39835">
      <w:pPr>
        <w:adjustRightInd w:val="0"/>
        <w:snapToGrid w:val="0"/>
        <w:spacing w:line="360" w:lineRule="auto"/>
        <w:rPr>
          <w:rFonts w:ascii="宋体" w:hAnsi="宋体"/>
          <w:sz w:val="24"/>
          <w:szCs w:val="24"/>
        </w:rPr>
      </w:pPr>
      <w:r>
        <w:rPr>
          <w:rFonts w:hint="eastAsia" w:ascii="宋体" w:hAnsi="宋体"/>
          <w:sz w:val="24"/>
          <w:szCs w:val="24"/>
          <w:u w:val="single"/>
        </w:rPr>
        <w:t>2.5 标段划分：设计施工总承包1个标段</w:t>
      </w:r>
      <w:r>
        <w:rPr>
          <w:rFonts w:hint="eastAsia" w:ascii="宋体" w:hAnsi="宋体"/>
          <w:sz w:val="24"/>
          <w:szCs w:val="24"/>
        </w:rPr>
        <w:t>。</w:t>
      </w:r>
    </w:p>
    <w:p w14:paraId="75A38029">
      <w:pPr>
        <w:adjustRightInd w:val="0"/>
        <w:snapToGrid w:val="0"/>
        <w:spacing w:line="360" w:lineRule="auto"/>
        <w:rPr>
          <w:rFonts w:ascii="Times New Roman" w:hAnsi="Times New Roman"/>
          <w:szCs w:val="21"/>
        </w:rPr>
      </w:pPr>
      <w:r>
        <w:rPr>
          <w:rFonts w:hint="eastAsia" w:ascii="宋体" w:hAnsi="宋体"/>
          <w:sz w:val="24"/>
          <w:szCs w:val="24"/>
        </w:rPr>
        <w:t>（说明本次招标项目的建设地点、规模及投资额、计划工期、招标范围、标段划分及标段投资额等）。</w:t>
      </w:r>
    </w:p>
    <w:p w14:paraId="2BF03EE1">
      <w:pPr>
        <w:keepNext/>
        <w:keepLines/>
        <w:spacing w:before="260" w:after="260" w:line="415" w:lineRule="auto"/>
        <w:outlineLvl w:val="1"/>
        <w:rPr>
          <w:rFonts w:ascii="宋体" w:hAnsi="宋体"/>
          <w:b/>
          <w:kern w:val="0"/>
          <w:sz w:val="24"/>
          <w:szCs w:val="24"/>
        </w:rPr>
      </w:pPr>
      <w:bookmarkStart w:id="24" w:name="_Toc256000014"/>
      <w:bookmarkStart w:id="25" w:name="_Toc256000005"/>
      <w:r>
        <w:rPr>
          <w:rFonts w:hint="eastAsia" w:ascii="宋体" w:hAnsi="宋体"/>
          <w:b/>
          <w:kern w:val="0"/>
          <w:sz w:val="24"/>
          <w:szCs w:val="24"/>
        </w:rPr>
        <w:t>3. 投标人资格要求</w:t>
      </w:r>
      <w:bookmarkEnd w:id="24"/>
      <w:bookmarkEnd w:id="25"/>
    </w:p>
    <w:p w14:paraId="59B525FA">
      <w:pPr>
        <w:adjustRightInd w:val="0"/>
        <w:snapToGrid w:val="0"/>
        <w:spacing w:line="360" w:lineRule="auto"/>
        <w:ind w:firstLine="480"/>
        <w:rPr>
          <w:rFonts w:ascii="宋体" w:hAnsi="宋体"/>
          <w:sz w:val="24"/>
          <w:szCs w:val="24"/>
        </w:rPr>
      </w:pPr>
      <w:r>
        <w:rPr>
          <w:rFonts w:hint="eastAsia" w:ascii="宋体" w:hAnsi="宋体"/>
          <w:sz w:val="24"/>
          <w:szCs w:val="24"/>
        </w:rPr>
        <w:t>3.1本次招标要求投标人须具备</w:t>
      </w:r>
    </w:p>
    <w:p w14:paraId="6F37FDBD">
      <w:pPr>
        <w:adjustRightInd w:val="0"/>
        <w:snapToGrid w:val="0"/>
        <w:spacing w:line="360" w:lineRule="auto"/>
        <w:ind w:firstLine="480" w:firstLineChars="200"/>
        <w:rPr>
          <w:rFonts w:ascii="宋体" w:hAnsi="宋体"/>
          <w:sz w:val="24"/>
          <w:szCs w:val="24"/>
        </w:rPr>
      </w:pPr>
      <w:r>
        <w:rPr>
          <w:rFonts w:hint="eastAsia" w:ascii="宋体" w:hAnsi="宋体"/>
          <w:sz w:val="24"/>
          <w:szCs w:val="24"/>
        </w:rPr>
        <w:t>3.1.1资质要求：</w:t>
      </w:r>
      <w:r>
        <w:rPr>
          <w:rFonts w:hint="eastAsia" w:ascii="宋体" w:hAnsi="宋体"/>
          <w:bCs/>
          <w:sz w:val="24"/>
          <w:szCs w:val="24"/>
          <w:u w:val="single"/>
        </w:rPr>
        <w:t>联合体各成员单位均具备独立法人资格；</w:t>
      </w:r>
      <w:r>
        <w:rPr>
          <w:rFonts w:hint="eastAsia" w:ascii="宋体" w:hAnsi="宋体"/>
          <w:bCs/>
          <w:sz w:val="24"/>
          <w:szCs w:val="24"/>
          <w:u w:val="single"/>
          <w:lang w:val="en-US" w:eastAsia="zh-CN"/>
        </w:rPr>
        <w:t>并具备</w:t>
      </w:r>
      <w:r>
        <w:rPr>
          <w:rFonts w:hint="eastAsia" w:ascii="宋体" w:hAnsi="宋体"/>
          <w:bCs/>
          <w:sz w:val="24"/>
          <w:szCs w:val="24"/>
          <w:u w:val="single"/>
        </w:rPr>
        <w:t>国家建设行政主管部门颁发的工程设</w:t>
      </w:r>
      <w:r>
        <w:rPr>
          <w:rFonts w:hint="eastAsia" w:ascii="宋体" w:hAnsi="宋体" w:eastAsia="宋体" w:cs="Times New Roman"/>
          <w:bCs/>
          <w:sz w:val="24"/>
          <w:szCs w:val="24"/>
          <w:u w:val="single"/>
        </w:rPr>
        <w:t>计建筑行业（建筑工程）</w:t>
      </w:r>
      <w:r>
        <w:rPr>
          <w:rFonts w:hint="eastAsia" w:ascii="宋体" w:hAnsi="宋体" w:eastAsia="宋体" w:cs="Times New Roman"/>
          <w:bCs/>
          <w:sz w:val="24"/>
          <w:szCs w:val="24"/>
          <w:u w:val="single"/>
          <w:lang w:val="en-US" w:eastAsia="zh-CN"/>
        </w:rPr>
        <w:t>乙</w:t>
      </w:r>
      <w:r>
        <w:rPr>
          <w:rFonts w:hint="eastAsia" w:ascii="宋体" w:hAnsi="宋体" w:eastAsia="宋体" w:cs="Times New Roman"/>
          <w:bCs/>
          <w:sz w:val="24"/>
          <w:szCs w:val="24"/>
          <w:u w:val="single"/>
        </w:rPr>
        <w:t>级及</w:t>
      </w:r>
      <w:r>
        <w:rPr>
          <w:rFonts w:hint="eastAsia" w:ascii="宋体" w:hAnsi="宋体"/>
          <w:bCs/>
          <w:sz w:val="24"/>
          <w:szCs w:val="24"/>
          <w:u w:val="single"/>
        </w:rPr>
        <w:t>以上资质</w:t>
      </w:r>
      <w:r>
        <w:rPr>
          <w:rFonts w:hint="eastAsia" w:ascii="宋体" w:hAnsi="宋体"/>
          <w:bCs/>
          <w:sz w:val="24"/>
          <w:szCs w:val="24"/>
          <w:u w:val="single"/>
          <w:lang w:val="en-US" w:eastAsia="zh-CN"/>
        </w:rPr>
        <w:t>和</w:t>
      </w:r>
      <w:r>
        <w:rPr>
          <w:rFonts w:hint="eastAsia" w:ascii="宋体" w:hAnsi="宋体"/>
          <w:bCs/>
          <w:sz w:val="24"/>
          <w:szCs w:val="24"/>
          <w:u w:val="single"/>
        </w:rPr>
        <w:t>建设行政主管部门颁发的建筑工程施工总承包三级及以上资质</w:t>
      </w:r>
      <w:r>
        <w:rPr>
          <w:rFonts w:hint="eastAsia" w:ascii="宋体" w:hAnsi="宋体"/>
          <w:bCs/>
          <w:sz w:val="24"/>
          <w:szCs w:val="24"/>
        </w:rPr>
        <w:t>，施工单位须具备有效的安全生产许可证</w:t>
      </w:r>
      <w:r>
        <w:rPr>
          <w:rFonts w:hint="eastAsia" w:ascii="宋体" w:hAnsi="宋体"/>
          <w:sz w:val="24"/>
          <w:szCs w:val="24"/>
        </w:rPr>
        <w:t>。</w:t>
      </w:r>
    </w:p>
    <w:p w14:paraId="6325A0BE">
      <w:pPr>
        <w:adjustRightInd w:val="0"/>
        <w:snapToGrid w:val="0"/>
        <w:spacing w:line="360" w:lineRule="auto"/>
        <w:ind w:firstLine="816" w:firstLineChars="340"/>
        <w:rPr>
          <w:rFonts w:ascii="宋体" w:hAnsi="宋体"/>
          <w:sz w:val="24"/>
          <w:szCs w:val="24"/>
        </w:rPr>
      </w:pPr>
      <w:r>
        <w:rPr>
          <w:rFonts w:hint="eastAsia" w:ascii="宋体" w:hAnsi="宋体"/>
          <w:sz w:val="24"/>
          <w:szCs w:val="24"/>
        </w:rPr>
        <w:t>3.1.2业绩要求：（本项为</w:t>
      </w:r>
      <w:r>
        <w:rPr>
          <w:rFonts w:ascii="宋体" w:hAnsi="宋体"/>
          <w:sz w:val="24"/>
          <w:szCs w:val="24"/>
        </w:rPr>
        <w:t>多选</w:t>
      </w:r>
      <w:r>
        <w:rPr>
          <w:rFonts w:hint="eastAsia" w:ascii="宋体" w:hAnsi="宋体"/>
          <w:sz w:val="24"/>
          <w:szCs w:val="24"/>
        </w:rPr>
        <w:t>）</w:t>
      </w:r>
    </w:p>
    <w:p w14:paraId="337777B1">
      <w:pPr>
        <w:adjustRightInd w:val="0"/>
        <w:snapToGrid w:val="0"/>
        <w:spacing w:line="360" w:lineRule="auto"/>
        <w:ind w:firstLine="1296" w:firstLineChars="540"/>
        <w:rPr>
          <w:rFonts w:ascii="宋体" w:hAnsi="宋体"/>
          <w:bCs/>
          <w:sz w:val="24"/>
          <w:szCs w:val="24"/>
        </w:rPr>
      </w:pPr>
      <w:r>
        <w:rPr>
          <w:rFonts w:hint="eastAsia" w:ascii="宋体" w:hAnsi="宋体"/>
          <w:sz w:val="24"/>
          <w:szCs w:val="24"/>
        </w:rPr>
        <w:t>□设计</w:t>
      </w:r>
      <w:r>
        <w:rPr>
          <w:rFonts w:ascii="宋体" w:hAnsi="宋体"/>
          <w:sz w:val="24"/>
          <w:szCs w:val="24"/>
        </w:rPr>
        <w:t>业绩要求：</w:t>
      </w:r>
      <w:r>
        <w:rPr>
          <w:rFonts w:hint="eastAsia" w:ascii="宋体" w:hAnsi="宋体"/>
          <w:sz w:val="24"/>
          <w:szCs w:val="24"/>
        </w:rPr>
        <w:t>近年（年月日至投标截止时间，不少于3年）（□已完成  □已完成或新承接或正在设计）不少于（1 至3个）个类似项目。类似项目是指:</w:t>
      </w:r>
      <w:r>
        <w:rPr>
          <w:rFonts w:hint="eastAsia" w:ascii="宋体" w:hAnsi="宋体"/>
          <w:bCs/>
          <w:sz w:val="24"/>
          <w:szCs w:val="24"/>
        </w:rPr>
        <w:t>。</w:t>
      </w:r>
    </w:p>
    <w:p w14:paraId="78DB7EDD">
      <w:pPr>
        <w:adjustRightInd w:val="0"/>
        <w:snapToGrid w:val="0"/>
        <w:spacing w:line="360" w:lineRule="auto"/>
        <w:ind w:firstLine="1296" w:firstLineChars="540"/>
        <w:rPr>
          <w:rFonts w:ascii="宋体" w:hAnsi="宋体"/>
          <w:bCs/>
          <w:sz w:val="24"/>
          <w:szCs w:val="24"/>
        </w:rPr>
      </w:pPr>
      <w:r>
        <w:rPr>
          <w:rFonts w:hint="eastAsia" w:ascii="宋体" w:hAnsi="宋体"/>
          <w:sz w:val="24"/>
          <w:szCs w:val="24"/>
        </w:rPr>
        <w:t>□施工</w:t>
      </w:r>
      <w:r>
        <w:rPr>
          <w:rFonts w:ascii="宋体" w:hAnsi="宋体"/>
          <w:sz w:val="24"/>
          <w:szCs w:val="24"/>
        </w:rPr>
        <w:t>业绩要求：</w:t>
      </w:r>
      <w:r>
        <w:rPr>
          <w:rFonts w:hint="eastAsia" w:ascii="宋体" w:hAnsi="宋体"/>
          <w:sz w:val="24"/>
          <w:szCs w:val="24"/>
        </w:rPr>
        <w:t>近年（年月日至投标截止时间，不少于3年）（□已完成  □已完成或新承接</w:t>
      </w:r>
      <w:r>
        <w:rPr>
          <w:rFonts w:hint="eastAsia" w:ascii="宋体" w:hAnsi="宋体"/>
          <w:sz w:val="27"/>
          <w:szCs w:val="24"/>
        </w:rPr>
        <w:t>或</w:t>
      </w:r>
      <w:r>
        <w:rPr>
          <w:rFonts w:hint="eastAsia" w:ascii="宋体" w:hAnsi="宋体"/>
          <w:sz w:val="24"/>
          <w:szCs w:val="24"/>
        </w:rPr>
        <w:t>正在施工）不少于（1 至3个）个类似项目。类似项目是指:</w:t>
      </w:r>
      <w:r>
        <w:rPr>
          <w:rFonts w:hint="eastAsia" w:ascii="宋体" w:hAnsi="宋体"/>
          <w:bCs/>
          <w:sz w:val="24"/>
          <w:szCs w:val="24"/>
        </w:rPr>
        <w:t>。</w:t>
      </w:r>
    </w:p>
    <w:p w14:paraId="27E97061">
      <w:pPr>
        <w:adjustRightInd w:val="0"/>
        <w:snapToGrid w:val="0"/>
        <w:spacing w:line="360" w:lineRule="auto"/>
        <w:ind w:firstLine="1132" w:firstLineChars="472"/>
        <w:rPr>
          <w:rFonts w:ascii="宋体" w:hAnsi="宋体"/>
          <w:sz w:val="24"/>
          <w:szCs w:val="24"/>
        </w:rPr>
      </w:pPr>
      <w:r>
        <w:rPr>
          <w:rFonts w:hint="eastAsia" w:ascii="宋体" w:hAnsi="宋体"/>
          <w:sz w:val="24"/>
          <w:szCs w:val="24"/>
        </w:rPr>
        <w:t>☑无业绩要求。</w:t>
      </w:r>
    </w:p>
    <w:p w14:paraId="4421D19F">
      <w:pPr>
        <w:adjustRightInd w:val="0"/>
        <w:snapToGrid w:val="0"/>
        <w:spacing w:line="360" w:lineRule="auto"/>
        <w:ind w:firstLine="816" w:firstLineChars="340"/>
        <w:rPr>
          <w:rFonts w:ascii="宋体" w:hAnsi="宋体"/>
          <w:sz w:val="24"/>
          <w:szCs w:val="24"/>
        </w:rPr>
      </w:pPr>
      <w:r>
        <w:rPr>
          <w:rFonts w:hint="eastAsia" w:ascii="宋体" w:hAnsi="宋体"/>
          <w:sz w:val="24"/>
          <w:szCs w:val="24"/>
        </w:rPr>
        <w:t>3.1.3项目经理的资格要求：☑</w:t>
      </w:r>
      <w:r>
        <w:rPr>
          <w:rFonts w:hint="eastAsia" w:ascii="宋体" w:hAnsi="宋体"/>
          <w:sz w:val="24"/>
          <w:szCs w:val="24"/>
          <w:u w:val="single"/>
        </w:rPr>
        <w:t>具有二级及以上建造师注册证书（专业:</w:t>
      </w:r>
      <w:r>
        <w:rPr>
          <w:rFonts w:hint="eastAsia" w:ascii="宋体" w:hAnsi="宋体"/>
          <w:sz w:val="24"/>
          <w:szCs w:val="24"/>
          <w:u w:val="single"/>
          <w:lang w:val="en-US" w:eastAsia="zh-CN"/>
        </w:rPr>
        <w:t>建筑</w:t>
      </w:r>
      <w:r>
        <w:rPr>
          <w:rFonts w:hint="eastAsia" w:ascii="宋体" w:hAnsi="宋体"/>
          <w:sz w:val="24"/>
          <w:szCs w:val="24"/>
          <w:u w:val="single"/>
        </w:rPr>
        <w:t>工程）</w:t>
      </w:r>
      <w:r>
        <w:rPr>
          <w:rFonts w:hint="eastAsia" w:ascii="宋体" w:hAnsi="宋体"/>
          <w:sz w:val="27"/>
        </w:rPr>
        <w:t>□</w:t>
      </w:r>
      <w:r>
        <w:rPr>
          <w:rFonts w:hint="eastAsia" w:ascii="宋体" w:hAnsi="宋体"/>
          <w:sz w:val="24"/>
          <w:szCs w:val="24"/>
        </w:rPr>
        <w:t>由设计负责人兼任 ☑由施工负责人兼任，</w:t>
      </w:r>
      <w:r>
        <w:rPr>
          <w:rFonts w:hint="eastAsia" w:ascii="宋体" w:hAnsi="宋体"/>
          <w:b/>
          <w:sz w:val="24"/>
          <w:szCs w:val="24"/>
          <w:u w:val="single"/>
        </w:rPr>
        <w:t>/</w:t>
      </w:r>
      <w:r>
        <w:rPr>
          <w:rFonts w:hint="eastAsia" w:ascii="宋体" w:hAnsi="宋体"/>
          <w:bCs/>
          <w:sz w:val="24"/>
          <w:szCs w:val="24"/>
          <w:u w:val="single"/>
        </w:rPr>
        <w:t>（业绩要求）</w:t>
      </w:r>
      <w:r>
        <w:rPr>
          <w:rFonts w:hint="eastAsia" w:ascii="宋体" w:hAnsi="宋体"/>
          <w:sz w:val="24"/>
          <w:szCs w:val="24"/>
        </w:rPr>
        <w:t xml:space="preserve"> ，须为</w:t>
      </w:r>
      <w:r>
        <w:rPr>
          <w:rFonts w:hint="eastAsia" w:ascii="宋体" w:hAnsi="宋体"/>
          <w:bCs/>
          <w:sz w:val="24"/>
          <w:szCs w:val="24"/>
        </w:rPr>
        <w:t>本单位人员（若为联合体投标，须为联合体牵头</w:t>
      </w:r>
      <w:r>
        <w:rPr>
          <w:rFonts w:hint="eastAsia" w:ascii="宋体" w:hAnsi="宋体"/>
          <w:sz w:val="24"/>
          <w:szCs w:val="24"/>
        </w:rPr>
        <w:t>人人员）。</w:t>
      </w:r>
    </w:p>
    <w:p w14:paraId="5B8A300A">
      <w:pPr>
        <w:adjustRightInd w:val="0"/>
        <w:snapToGrid w:val="0"/>
        <w:spacing w:line="360" w:lineRule="auto"/>
        <w:ind w:firstLine="840" w:firstLineChars="350"/>
        <w:rPr>
          <w:rFonts w:ascii="宋体" w:hAnsi="宋体"/>
          <w:sz w:val="24"/>
          <w:szCs w:val="24"/>
        </w:rPr>
      </w:pPr>
      <w:r>
        <w:rPr>
          <w:rFonts w:hint="eastAsia" w:ascii="宋体" w:hAnsi="宋体"/>
          <w:sz w:val="24"/>
          <w:szCs w:val="24"/>
        </w:rPr>
        <w:t>3.1.4设计负责人的资格要求</w:t>
      </w:r>
      <w:r>
        <w:rPr>
          <w:rFonts w:hint="eastAsia" w:ascii="宋体" w:hAnsi="宋体"/>
          <w:sz w:val="24"/>
          <w:szCs w:val="24"/>
          <w:lang w:eastAsia="zh-CN"/>
        </w:rPr>
        <w:t>：</w:t>
      </w:r>
      <w:r>
        <w:rPr>
          <w:rFonts w:hint="eastAsia" w:ascii="宋体" w:hAnsi="宋体"/>
          <w:sz w:val="24"/>
          <w:szCs w:val="24"/>
          <w:highlight w:val="none"/>
          <w:u w:val="single"/>
          <w:lang w:val="en-US" w:eastAsia="zh-CN"/>
        </w:rPr>
        <w:t>一级</w:t>
      </w:r>
      <w:r>
        <w:rPr>
          <w:rFonts w:hint="eastAsia" w:ascii="宋体" w:hAnsi="宋体"/>
          <w:sz w:val="24"/>
          <w:szCs w:val="24"/>
          <w:highlight w:val="none"/>
          <w:u w:val="single"/>
        </w:rPr>
        <w:t>注册建筑师资格</w:t>
      </w:r>
      <w:r>
        <w:rPr>
          <w:rFonts w:hint="eastAsia" w:ascii="宋体" w:hAnsi="宋体"/>
          <w:sz w:val="24"/>
          <w:szCs w:val="24"/>
        </w:rPr>
        <w:t>，须为投标人</w:t>
      </w:r>
      <w:r>
        <w:rPr>
          <w:rFonts w:hint="eastAsia" w:ascii="宋体" w:hAnsi="宋体"/>
          <w:bCs/>
          <w:sz w:val="24"/>
          <w:szCs w:val="24"/>
        </w:rPr>
        <w:t>本单位人员</w:t>
      </w:r>
      <w:r>
        <w:rPr>
          <w:rFonts w:hint="eastAsia" w:ascii="宋体" w:hAnsi="宋体"/>
          <w:sz w:val="24"/>
          <w:szCs w:val="24"/>
        </w:rPr>
        <w:t>。</w:t>
      </w:r>
    </w:p>
    <w:p w14:paraId="21D3B372">
      <w:pPr>
        <w:adjustRightInd w:val="0"/>
        <w:snapToGrid w:val="0"/>
        <w:spacing w:line="360" w:lineRule="auto"/>
        <w:ind w:firstLine="840" w:firstLineChars="350"/>
        <w:rPr>
          <w:rFonts w:ascii="宋体" w:hAnsi="宋体"/>
          <w:sz w:val="24"/>
          <w:szCs w:val="24"/>
        </w:rPr>
      </w:pPr>
      <w:r>
        <w:rPr>
          <w:rFonts w:hint="eastAsia" w:ascii="宋体" w:hAnsi="宋体"/>
          <w:sz w:val="24"/>
          <w:szCs w:val="24"/>
        </w:rPr>
        <w:t>3.1.5施工负责人（建造师，下同）的资格要求：</w:t>
      </w:r>
      <w:r>
        <w:rPr>
          <w:rFonts w:hint="eastAsia" w:ascii="宋体" w:hAnsi="宋体"/>
          <w:sz w:val="24"/>
          <w:szCs w:val="24"/>
          <w:u w:val="single"/>
        </w:rPr>
        <w:t>具有二级及以上建造师注册证书（专业：</w:t>
      </w:r>
      <w:r>
        <w:rPr>
          <w:rFonts w:hint="eastAsia" w:ascii="宋体" w:hAnsi="宋体"/>
          <w:sz w:val="24"/>
          <w:szCs w:val="24"/>
          <w:u w:val="single"/>
          <w:lang w:val="en-US" w:eastAsia="zh-CN"/>
        </w:rPr>
        <w:t>建筑</w:t>
      </w:r>
      <w:r>
        <w:rPr>
          <w:rFonts w:hint="eastAsia" w:ascii="宋体" w:hAnsi="宋体"/>
          <w:sz w:val="24"/>
          <w:szCs w:val="24"/>
          <w:u w:val="single"/>
        </w:rPr>
        <w:t>工程）</w:t>
      </w:r>
      <w:r>
        <w:rPr>
          <w:rFonts w:hint="eastAsia" w:ascii="宋体" w:hAnsi="宋体"/>
          <w:sz w:val="24"/>
          <w:szCs w:val="24"/>
        </w:rPr>
        <w:t>建造师，具有省级及以上住房城乡建设主管部门颁发的安全生产考核合格证（B证），须为投标人</w:t>
      </w:r>
      <w:r>
        <w:rPr>
          <w:rFonts w:hint="eastAsia" w:ascii="宋体" w:hAnsi="宋体"/>
          <w:bCs/>
          <w:sz w:val="24"/>
          <w:szCs w:val="24"/>
        </w:rPr>
        <w:t>本单位人员</w:t>
      </w:r>
      <w:r>
        <w:rPr>
          <w:rFonts w:hint="eastAsia" w:ascii="宋体" w:hAnsi="宋体"/>
          <w:sz w:val="24"/>
          <w:szCs w:val="24"/>
        </w:rPr>
        <w:t>。</w:t>
      </w:r>
    </w:p>
    <w:p w14:paraId="540AC767">
      <w:pPr>
        <w:adjustRightInd w:val="0"/>
        <w:snapToGrid w:val="0"/>
        <w:spacing w:line="360" w:lineRule="auto"/>
        <w:ind w:firstLine="480"/>
        <w:rPr>
          <w:rFonts w:ascii="宋体" w:hAnsi="宋体"/>
          <w:sz w:val="24"/>
          <w:szCs w:val="24"/>
        </w:rPr>
      </w:pPr>
      <w:r>
        <w:rPr>
          <w:rFonts w:hint="eastAsia" w:ascii="宋体" w:hAnsi="宋体"/>
          <w:sz w:val="24"/>
          <w:szCs w:val="24"/>
        </w:rPr>
        <w:t>3.2本次招标</w:t>
      </w:r>
      <w:r>
        <w:rPr>
          <w:rFonts w:hint="eastAsia" w:ascii="宋体" w:hAnsi="宋体"/>
          <w:bCs/>
          <w:sz w:val="24"/>
          <w:szCs w:val="24"/>
        </w:rPr>
        <w:t>接受</w:t>
      </w:r>
      <w:r>
        <w:rPr>
          <w:rFonts w:hint="eastAsia" w:ascii="宋体" w:hAnsi="宋体"/>
          <w:sz w:val="24"/>
          <w:szCs w:val="24"/>
        </w:rPr>
        <w:t>联合体投标。联合体投标的，联合体牵头人应为□设计单位 ☑施工单位，同时满足下列要求：</w:t>
      </w:r>
      <w:r>
        <w:rPr>
          <w:rFonts w:hint="eastAsia" w:ascii="宋体" w:hAnsi="宋体"/>
          <w:bCs/>
          <w:sz w:val="24"/>
          <w:szCs w:val="24"/>
          <w:u w:val="single"/>
        </w:rPr>
        <w:t>（1）联合体各成员应为独立法人；（2）联合体牵头人应为具备</w:t>
      </w:r>
      <w:r>
        <w:rPr>
          <w:rFonts w:hint="eastAsia" w:ascii="宋体" w:hAnsi="宋体"/>
          <w:bCs/>
          <w:sz w:val="24"/>
          <w:szCs w:val="24"/>
          <w:u w:val="single"/>
        </w:rPr>
        <w:t>建设行政主管部门颁发的建筑工程</w:t>
      </w:r>
      <w:r>
        <w:rPr>
          <w:rFonts w:hint="eastAsia" w:ascii="宋体" w:hAnsi="宋体"/>
          <w:bCs/>
          <w:sz w:val="24"/>
          <w:szCs w:val="24"/>
          <w:u w:val="single"/>
          <w:lang w:val="en-US" w:eastAsia="zh-CN"/>
        </w:rPr>
        <w:t>施工总承包三级及以上</w:t>
      </w:r>
      <w:r>
        <w:rPr>
          <w:rFonts w:hint="eastAsia" w:ascii="宋体" w:hAnsi="宋体"/>
          <w:bCs/>
          <w:sz w:val="24"/>
          <w:szCs w:val="24"/>
          <w:u w:val="single"/>
        </w:rPr>
        <w:t>资质</w:t>
      </w:r>
      <w:r>
        <w:rPr>
          <w:rFonts w:hint="eastAsia" w:ascii="宋体" w:hAnsi="宋体"/>
          <w:bCs/>
          <w:sz w:val="24"/>
          <w:szCs w:val="24"/>
          <w:u w:val="single"/>
        </w:rPr>
        <w:t>的施工单位；联合体各方应提供联合体协议书，明确各方权利义务，联合体牵头人负责缴纳保证金和本次投标活动和合同的全面实施；（3）联合体各方不得再以自己名义单独参加其他联合体在同一标段中投标</w:t>
      </w:r>
      <w:r>
        <w:rPr>
          <w:rFonts w:hint="eastAsia" w:ascii="宋体" w:hAnsi="宋体"/>
          <w:bCs/>
          <w:sz w:val="24"/>
          <w:szCs w:val="24"/>
          <w:u w:val="single"/>
          <w:lang w:eastAsia="zh-CN"/>
        </w:rPr>
        <w:t>，</w:t>
      </w:r>
      <w:r>
        <w:rPr>
          <w:rFonts w:hint="eastAsia" w:ascii="宋体" w:hAnsi="宋体"/>
          <w:bCs/>
          <w:sz w:val="24"/>
          <w:szCs w:val="24"/>
          <w:u w:val="single"/>
        </w:rPr>
        <w:t>联合体牵头人的行为对联合体各方具有拘束力，联合体成员无权向招标人单独主张权利</w:t>
      </w:r>
      <w:r>
        <w:rPr>
          <w:rFonts w:hint="eastAsia" w:ascii="宋体" w:hAnsi="宋体"/>
          <w:sz w:val="24"/>
          <w:szCs w:val="24"/>
        </w:rPr>
        <w:t>。</w:t>
      </w:r>
    </w:p>
    <w:p w14:paraId="3EE46A8D">
      <w:pPr>
        <w:adjustRightInd w:val="0"/>
        <w:snapToGrid w:val="0"/>
        <w:spacing w:line="360" w:lineRule="auto"/>
        <w:ind w:firstLine="480"/>
        <w:rPr>
          <w:rFonts w:ascii="宋体" w:hAnsi="宋体"/>
          <w:sz w:val="24"/>
          <w:szCs w:val="24"/>
        </w:rPr>
      </w:pPr>
      <w:r>
        <w:rPr>
          <w:rFonts w:hint="eastAsia" w:ascii="宋体" w:hAnsi="宋体"/>
          <w:sz w:val="24"/>
          <w:szCs w:val="24"/>
          <w:lang w:eastAsia="zh-CN"/>
        </w:rPr>
        <w:t>□</w:t>
      </w:r>
      <w:r>
        <w:rPr>
          <w:rFonts w:hint="eastAsia" w:ascii="宋体" w:hAnsi="宋体"/>
          <w:sz w:val="24"/>
          <w:szCs w:val="24"/>
        </w:rPr>
        <w:t xml:space="preserve"> 3.3本次招标范围中施工部分的工作仅面向中小企业发包（其中属于大企业的分支机构、存在控股股东为大企业、与大企业的负责人为同一人的情形的企业均不属于中小企业。若为联合体投标的，本项目联合体协议书中职责分工为承揽施工工作的所有单位均应属于中小企业）。具体标准以《工业和信息化部、国家统计局、国家发展和改革委员会、财政部关于印发中小企业划型标准规定的通知》（工信部联企业〔2011〕300号）中的“建筑业”划型标准为准，投标人应提供中小企业声明函。（除技术复杂、存在特殊要求外，我省依法必须招标的国家投资工程，施工部分招标控制价在5000万元以下的，应勾选此项。）</w:t>
      </w:r>
    </w:p>
    <w:p w14:paraId="6DF57BD7">
      <w:pPr>
        <w:keepNext/>
        <w:keepLines/>
        <w:spacing w:before="260" w:after="260" w:line="415" w:lineRule="auto"/>
        <w:outlineLvl w:val="1"/>
        <w:rPr>
          <w:rFonts w:ascii="宋体" w:hAnsi="宋体"/>
          <w:b/>
          <w:kern w:val="0"/>
          <w:sz w:val="24"/>
          <w:szCs w:val="24"/>
        </w:rPr>
      </w:pPr>
      <w:bookmarkStart w:id="26" w:name="_Toc256000015"/>
      <w:bookmarkStart w:id="27" w:name="_Toc256000006"/>
      <w:r>
        <w:rPr>
          <w:rFonts w:hint="eastAsia" w:ascii="宋体" w:hAnsi="宋体"/>
          <w:b/>
          <w:kern w:val="0"/>
          <w:sz w:val="24"/>
          <w:szCs w:val="24"/>
        </w:rPr>
        <w:t>4. 招标文件的获取</w:t>
      </w:r>
      <w:bookmarkEnd w:id="26"/>
      <w:bookmarkEnd w:id="27"/>
    </w:p>
    <w:p w14:paraId="6A583E47">
      <w:pPr>
        <w:widowControl/>
        <w:adjustRightInd w:val="0"/>
        <w:snapToGrid w:val="0"/>
        <w:spacing w:line="360" w:lineRule="auto"/>
        <w:rPr>
          <w:rFonts w:ascii="宋体" w:hAnsi="宋体" w:cs="宋体"/>
          <w:sz w:val="24"/>
          <w:szCs w:val="24"/>
        </w:rPr>
      </w:pPr>
      <w:r>
        <w:rPr>
          <w:rFonts w:hint="eastAsia" w:ascii="宋体" w:hAnsi="宋体"/>
          <w:sz w:val="24"/>
          <w:szCs w:val="24"/>
        </w:rPr>
        <w:t xml:space="preserve">   4.1 </w:t>
      </w:r>
      <w:r>
        <w:rPr>
          <w:rFonts w:hint="eastAsia" w:ascii="宋体" w:hAnsi="宋体" w:cs="宋体"/>
          <w:sz w:val="24"/>
          <w:szCs w:val="24"/>
        </w:rPr>
        <w:t>凡有意参加投标者，请于</w:t>
      </w:r>
      <w:r>
        <w:rPr>
          <w:rFonts w:hint="eastAsia" w:ascii="宋体" w:hAnsi="宋体" w:cs="宋体"/>
          <w:sz w:val="24"/>
          <w:szCs w:val="24"/>
          <w:u w:val="single"/>
        </w:rPr>
        <w:t>2026</w:t>
      </w:r>
      <w:r>
        <w:rPr>
          <w:rFonts w:hint="eastAsia" w:ascii="宋体" w:hAnsi="宋体" w:cs="宋体"/>
          <w:sz w:val="24"/>
          <w:szCs w:val="24"/>
        </w:rPr>
        <w:t>年</w:t>
      </w:r>
      <w:r>
        <w:rPr>
          <w:rFonts w:hint="eastAsia" w:ascii="宋体" w:hAnsi="宋体" w:cs="宋体"/>
          <w:sz w:val="24"/>
          <w:szCs w:val="24"/>
          <w:u w:val="single"/>
          <w:lang w:val="en-US" w:eastAsia="zh-CN"/>
        </w:rPr>
        <w:t xml:space="preserve">  </w:t>
      </w:r>
      <w:r>
        <w:rPr>
          <w:rFonts w:hint="eastAsia" w:ascii="宋体" w:hAnsi="宋体" w:cs="宋体"/>
          <w:sz w:val="24"/>
          <w:szCs w:val="24"/>
        </w:rPr>
        <w:t>月</w:t>
      </w:r>
      <w:r>
        <w:rPr>
          <w:rFonts w:hint="eastAsia" w:ascii="宋体" w:hAnsi="宋体" w:cs="宋体"/>
          <w:sz w:val="24"/>
          <w:szCs w:val="24"/>
          <w:u w:val="single"/>
          <w:lang w:val="en-US" w:eastAsia="zh-CN"/>
        </w:rPr>
        <w:t xml:space="preserve">  </w:t>
      </w:r>
      <w:r>
        <w:rPr>
          <w:rFonts w:hint="eastAsia" w:ascii="宋体" w:hAnsi="宋体" w:cs="宋体"/>
          <w:sz w:val="24"/>
          <w:szCs w:val="24"/>
        </w:rPr>
        <w:t>日开始登录：全国公共资源交易平台（四川省·绵阳市）（网址：http://ggzy.my.gov.cn）-“用户注册登录”，通过数字证书免费下载招标资料（招标文件、技术资料等）。</w:t>
      </w:r>
    </w:p>
    <w:p w14:paraId="0CDFC10D">
      <w:pPr>
        <w:spacing w:line="360" w:lineRule="auto"/>
        <w:rPr>
          <w:rFonts w:ascii="宋体" w:hAnsi="宋体"/>
          <w:sz w:val="24"/>
          <w:szCs w:val="24"/>
        </w:rPr>
      </w:pPr>
      <w:r>
        <w:rPr>
          <w:rFonts w:hint="eastAsia" w:ascii="宋体" w:hAnsi="宋体" w:cs="Arial"/>
          <w:kern w:val="0"/>
          <w:sz w:val="24"/>
          <w:szCs w:val="24"/>
        </w:rPr>
        <w:t>4.2 招标人不提供招标文件获取的其他方式</w:t>
      </w:r>
      <w:r>
        <w:rPr>
          <w:rFonts w:hint="eastAsia" w:ascii="宋体" w:hAnsi="宋体"/>
          <w:sz w:val="24"/>
          <w:szCs w:val="24"/>
        </w:rPr>
        <w:t>。</w:t>
      </w:r>
    </w:p>
    <w:p w14:paraId="6CA8089F">
      <w:pPr>
        <w:keepNext/>
        <w:keepLines/>
        <w:spacing w:before="260" w:after="260" w:line="415" w:lineRule="auto"/>
        <w:outlineLvl w:val="1"/>
        <w:rPr>
          <w:rFonts w:ascii="宋体" w:hAnsi="宋体"/>
          <w:b/>
          <w:kern w:val="0"/>
          <w:sz w:val="24"/>
          <w:szCs w:val="24"/>
        </w:rPr>
      </w:pPr>
      <w:bookmarkStart w:id="28" w:name="_Toc256000007"/>
      <w:bookmarkStart w:id="29" w:name="_Toc256000016"/>
      <w:r>
        <w:rPr>
          <w:rFonts w:hint="eastAsia" w:ascii="宋体" w:hAnsi="宋体"/>
          <w:b/>
          <w:kern w:val="0"/>
          <w:sz w:val="24"/>
          <w:szCs w:val="24"/>
        </w:rPr>
        <w:t>5. 投标文件的递交</w:t>
      </w:r>
      <w:bookmarkEnd w:id="28"/>
      <w:bookmarkEnd w:id="29"/>
    </w:p>
    <w:p w14:paraId="59032A86">
      <w:pPr>
        <w:adjustRightInd w:val="0"/>
        <w:snapToGrid w:val="0"/>
        <w:spacing w:line="360" w:lineRule="auto"/>
        <w:ind w:firstLine="480" w:firstLineChars="200"/>
        <w:rPr>
          <w:rFonts w:ascii="宋体" w:hAnsi="宋体"/>
          <w:sz w:val="24"/>
          <w:szCs w:val="24"/>
        </w:rPr>
      </w:pPr>
      <w:r>
        <w:rPr>
          <w:rFonts w:hint="eastAsia" w:ascii="宋体" w:hAnsi="宋体"/>
          <w:sz w:val="24"/>
          <w:szCs w:val="24"/>
        </w:rPr>
        <w:t>投标文件递交的截止时间（投标截止时间，下同）为</w:t>
      </w:r>
      <w:r>
        <w:rPr>
          <w:rFonts w:hint="eastAsia" w:ascii="宋体" w:hAnsi="宋体"/>
          <w:sz w:val="24"/>
          <w:szCs w:val="24"/>
          <w:u w:val="single"/>
        </w:rPr>
        <w:t>2026</w:t>
      </w:r>
      <w:r>
        <w:rPr>
          <w:rFonts w:hint="eastAsia" w:ascii="宋体" w:hAnsi="宋体"/>
          <w:sz w:val="24"/>
          <w:szCs w:val="24"/>
        </w:rPr>
        <w:t>年</w:t>
      </w:r>
      <w:r>
        <w:rPr>
          <w:rFonts w:hint="eastAsia" w:ascii="宋体" w:hAnsi="宋体"/>
          <w:sz w:val="24"/>
          <w:szCs w:val="24"/>
          <w:u w:val="single"/>
          <w:lang w:val="en-US" w:eastAsia="zh-CN"/>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日</w:t>
      </w:r>
      <w:r>
        <w:rPr>
          <w:rFonts w:hint="eastAsia" w:ascii="宋体" w:hAnsi="宋体"/>
          <w:sz w:val="24"/>
          <w:szCs w:val="24"/>
          <w:u w:val="single"/>
        </w:rPr>
        <w:t>09</w:t>
      </w:r>
      <w:r>
        <w:rPr>
          <w:rFonts w:hint="eastAsia" w:ascii="宋体" w:hAnsi="宋体"/>
          <w:sz w:val="24"/>
          <w:szCs w:val="24"/>
        </w:rPr>
        <w:t>时</w:t>
      </w:r>
      <w:r>
        <w:rPr>
          <w:rFonts w:hint="eastAsia" w:ascii="宋体" w:hAnsi="宋体"/>
          <w:sz w:val="24"/>
          <w:szCs w:val="24"/>
          <w:u w:val="single"/>
          <w:lang w:val="en-US" w:eastAsia="zh-CN"/>
        </w:rPr>
        <w:t xml:space="preserve">  </w:t>
      </w:r>
      <w:r>
        <w:rPr>
          <w:rFonts w:hint="eastAsia" w:ascii="宋体" w:hAnsi="宋体"/>
          <w:sz w:val="24"/>
          <w:szCs w:val="24"/>
        </w:rPr>
        <w:t>分，投标人应在投标截止时间前在线递交经投标人数字证书加密的数据电文形式投标文件。</w:t>
      </w:r>
    </w:p>
    <w:p w14:paraId="694869EA">
      <w:pPr>
        <w:keepNext/>
        <w:keepLines/>
        <w:spacing w:before="260" w:after="260" w:line="415" w:lineRule="auto"/>
        <w:outlineLvl w:val="1"/>
        <w:rPr>
          <w:rFonts w:ascii="宋体" w:hAnsi="宋体"/>
          <w:b/>
          <w:kern w:val="0"/>
          <w:sz w:val="24"/>
          <w:szCs w:val="24"/>
        </w:rPr>
      </w:pPr>
      <w:bookmarkStart w:id="30" w:name="_Toc256000008"/>
      <w:bookmarkStart w:id="31" w:name="_Toc256000017"/>
      <w:r>
        <w:rPr>
          <w:rFonts w:hint="eastAsia" w:ascii="宋体" w:hAnsi="宋体"/>
          <w:b/>
          <w:kern w:val="0"/>
          <w:sz w:val="24"/>
          <w:szCs w:val="24"/>
        </w:rPr>
        <w:t>6. 发布公告的媒介</w:t>
      </w:r>
      <w:bookmarkEnd w:id="30"/>
      <w:bookmarkEnd w:id="31"/>
    </w:p>
    <w:p w14:paraId="3A1946F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本次招标公告在《全国公共资源交易平台（四川省）和</w:t>
      </w:r>
      <w:r>
        <w:rPr>
          <w:rFonts w:hint="eastAsia" w:ascii="宋体" w:hAnsi="宋体" w:cs="宋体"/>
          <w:color w:val="000000"/>
          <w:sz w:val="24"/>
          <w:szCs w:val="24"/>
        </w:rPr>
        <w:t>全国公共资源交易平台（四川省·绵阳市）</w:t>
      </w:r>
      <w:r>
        <w:rPr>
          <w:rFonts w:hint="eastAsia" w:ascii="宋体" w:hAnsi="宋体" w:cs="宋体"/>
          <w:sz w:val="24"/>
          <w:szCs w:val="24"/>
        </w:rPr>
        <w:t>》、</w:t>
      </w:r>
      <w:r>
        <w:rPr>
          <w:rFonts w:hint="eastAsia" w:ascii="宋体" w:hAnsi="宋体" w:cs="宋体"/>
          <w:sz w:val="24"/>
          <w:szCs w:val="24"/>
          <w:u w:val="single"/>
          <w:lang w:val="en-US" w:eastAsia="zh-CN"/>
        </w:rPr>
        <w:t>/</w:t>
      </w:r>
      <w:r>
        <w:rPr>
          <w:rFonts w:hint="eastAsia" w:ascii="宋体" w:hAnsi="宋体" w:cs="宋体"/>
          <w:sz w:val="24"/>
          <w:szCs w:val="24"/>
          <w:u w:val="single"/>
        </w:rPr>
        <w:t>(公告发布的其它媒介名称）</w:t>
      </w:r>
      <w:r>
        <w:rPr>
          <w:rFonts w:hint="eastAsia" w:ascii="宋体" w:hAnsi="宋体" w:cs="宋体"/>
          <w:sz w:val="24"/>
          <w:szCs w:val="24"/>
        </w:rPr>
        <w:t>上发布。</w:t>
      </w:r>
    </w:p>
    <w:p w14:paraId="780079ED">
      <w:pPr>
        <w:keepNext/>
        <w:keepLines/>
        <w:spacing w:before="260" w:after="260" w:line="415" w:lineRule="auto"/>
        <w:outlineLvl w:val="1"/>
        <w:rPr>
          <w:rFonts w:ascii="宋体" w:hAnsi="宋体"/>
          <w:b/>
          <w:kern w:val="0"/>
          <w:sz w:val="24"/>
          <w:szCs w:val="24"/>
        </w:rPr>
      </w:pPr>
      <w:bookmarkStart w:id="32" w:name="_Toc256000018"/>
      <w:bookmarkStart w:id="33" w:name="_Toc256000009"/>
      <w:r>
        <w:rPr>
          <w:rFonts w:hint="eastAsia" w:ascii="宋体" w:hAnsi="宋体"/>
          <w:b/>
          <w:kern w:val="0"/>
          <w:sz w:val="24"/>
          <w:szCs w:val="24"/>
        </w:rPr>
        <w:t>7. 行政监督部门</w:t>
      </w:r>
      <w:bookmarkEnd w:id="32"/>
      <w:bookmarkEnd w:id="33"/>
    </w:p>
    <w:p w14:paraId="4B4AFBFA">
      <w:pPr>
        <w:adjustRightInd w:val="0"/>
        <w:snapToGrid w:val="0"/>
        <w:spacing w:line="360" w:lineRule="auto"/>
        <w:ind w:firstLine="240" w:firstLineChars="100"/>
        <w:rPr>
          <w:rFonts w:ascii="宋体" w:hAnsi="宋体"/>
          <w:sz w:val="24"/>
          <w:szCs w:val="24"/>
        </w:rPr>
      </w:pPr>
      <w:r>
        <w:rPr>
          <w:rFonts w:hint="eastAsia" w:ascii="宋体" w:hAnsi="宋体"/>
          <w:sz w:val="24"/>
          <w:szCs w:val="24"/>
        </w:rPr>
        <w:t>单位名称：</w:t>
      </w:r>
      <w:r>
        <w:rPr>
          <w:rFonts w:hint="eastAsia" w:ascii="宋体" w:hAnsi="宋体"/>
          <w:sz w:val="24"/>
          <w:szCs w:val="24"/>
          <w:u w:val="single"/>
        </w:rPr>
        <w:t>绵阳市涪城区工业和信息化局</w:t>
      </w:r>
    </w:p>
    <w:p w14:paraId="5E376D42">
      <w:pPr>
        <w:adjustRightInd w:val="0"/>
        <w:snapToGrid w:val="0"/>
        <w:spacing w:line="360" w:lineRule="auto"/>
        <w:ind w:firstLine="240" w:firstLineChars="100"/>
        <w:rPr>
          <w:rFonts w:hint="default" w:ascii="宋体" w:hAnsi="宋体" w:eastAsia="宋体"/>
          <w:sz w:val="24"/>
          <w:szCs w:val="24"/>
          <w:lang w:val="en-US" w:eastAsia="zh-CN"/>
        </w:rPr>
      </w:pPr>
      <w:r>
        <w:rPr>
          <w:rFonts w:hint="eastAsia" w:ascii="宋体" w:hAnsi="宋体"/>
          <w:sz w:val="24"/>
          <w:szCs w:val="24"/>
        </w:rPr>
        <w:t>联系电话：</w:t>
      </w:r>
      <w:r>
        <w:rPr>
          <w:rFonts w:hint="eastAsia" w:ascii="宋体" w:hAnsi="宋体"/>
          <w:sz w:val="24"/>
          <w:szCs w:val="24"/>
          <w:u w:val="single"/>
        </w:rPr>
        <w:t>0816-</w:t>
      </w:r>
      <w:r>
        <w:rPr>
          <w:rFonts w:hint="eastAsia" w:ascii="宋体" w:hAnsi="宋体"/>
          <w:sz w:val="24"/>
          <w:szCs w:val="24"/>
          <w:u w:val="single"/>
          <w:lang w:val="en-US" w:eastAsia="zh-CN"/>
        </w:rPr>
        <w:t>2225754</w:t>
      </w:r>
    </w:p>
    <w:p w14:paraId="04CF14AD">
      <w:pPr>
        <w:keepNext/>
        <w:keepLines/>
        <w:spacing w:before="260" w:after="260" w:line="415" w:lineRule="auto"/>
        <w:outlineLvl w:val="1"/>
        <w:rPr>
          <w:rFonts w:ascii="宋体" w:hAnsi="宋体"/>
          <w:b/>
          <w:kern w:val="0"/>
          <w:sz w:val="24"/>
          <w:szCs w:val="24"/>
        </w:rPr>
      </w:pPr>
      <w:bookmarkStart w:id="34" w:name="_Toc256000019"/>
      <w:bookmarkStart w:id="35" w:name="_Toc256000010"/>
      <w:r>
        <w:rPr>
          <w:rFonts w:hint="eastAsia" w:ascii="宋体" w:hAnsi="宋体"/>
          <w:b/>
          <w:kern w:val="0"/>
          <w:sz w:val="24"/>
          <w:szCs w:val="24"/>
        </w:rPr>
        <w:t>8. 联系方式</w:t>
      </w:r>
      <w:bookmarkEnd w:id="34"/>
      <w:bookmarkEnd w:id="35"/>
    </w:p>
    <w:p w14:paraId="52275B25">
      <w:pPr>
        <w:adjustRightInd w:val="0"/>
        <w:snapToGrid w:val="0"/>
        <w:spacing w:line="360" w:lineRule="auto"/>
        <w:ind w:firstLine="240" w:firstLineChars="100"/>
        <w:rPr>
          <w:rFonts w:hint="eastAsia" w:ascii="宋体" w:hAnsi="宋体" w:eastAsia="宋体"/>
          <w:sz w:val="24"/>
          <w:szCs w:val="24"/>
          <w:lang w:eastAsia="zh-CN"/>
        </w:rPr>
      </w:pPr>
      <w:r>
        <w:rPr>
          <w:rFonts w:hint="eastAsia" w:ascii="宋体" w:hAnsi="宋体"/>
          <w:sz w:val="24"/>
          <w:szCs w:val="24"/>
        </w:rPr>
        <w:t>招 标 人：</w:t>
      </w:r>
      <w:r>
        <w:rPr>
          <w:rFonts w:hint="eastAsia" w:ascii="宋体" w:hAnsi="宋体"/>
          <w:sz w:val="24"/>
          <w:szCs w:val="24"/>
          <w:u w:val="single"/>
          <w:lang w:eastAsia="zh-CN"/>
        </w:rPr>
        <w:t>四川九华光子通信技术有限公司</w:t>
      </w:r>
    </w:p>
    <w:p w14:paraId="54D7FF5D">
      <w:pPr>
        <w:adjustRightInd w:val="0"/>
        <w:snapToGrid w:val="0"/>
        <w:spacing w:line="360" w:lineRule="auto"/>
        <w:ind w:firstLine="240" w:firstLineChars="100"/>
        <w:rPr>
          <w:rFonts w:ascii="宋体" w:hAnsi="宋体"/>
          <w:sz w:val="24"/>
          <w:szCs w:val="24"/>
        </w:rPr>
      </w:pPr>
      <w:r>
        <w:rPr>
          <w:rFonts w:hint="eastAsia" w:ascii="宋体" w:hAnsi="宋体"/>
          <w:sz w:val="24"/>
          <w:szCs w:val="24"/>
        </w:rPr>
        <w:t>地    址：</w:t>
      </w:r>
      <w:r>
        <w:rPr>
          <w:rFonts w:hint="eastAsia" w:ascii="宋体" w:hAnsi="宋体"/>
          <w:sz w:val="24"/>
          <w:szCs w:val="24"/>
          <w:u w:val="single"/>
        </w:rPr>
        <w:t>绵阳市涪城区涪金路389号5G科技园</w:t>
      </w:r>
    </w:p>
    <w:p w14:paraId="78BCA9B4">
      <w:pPr>
        <w:adjustRightInd w:val="0"/>
        <w:snapToGrid w:val="0"/>
        <w:spacing w:line="360" w:lineRule="auto"/>
        <w:ind w:firstLine="240" w:firstLineChars="100"/>
        <w:rPr>
          <w:rFonts w:ascii="宋体" w:hAnsi="宋体"/>
          <w:sz w:val="24"/>
          <w:szCs w:val="24"/>
        </w:rPr>
      </w:pPr>
      <w:r>
        <w:rPr>
          <w:rFonts w:hint="eastAsia" w:ascii="宋体" w:hAnsi="宋体"/>
          <w:sz w:val="24"/>
          <w:szCs w:val="24"/>
        </w:rPr>
        <w:t>邮    编：</w:t>
      </w:r>
      <w:r>
        <w:rPr>
          <w:rFonts w:hint="eastAsia" w:ascii="宋体" w:hAnsi="宋体"/>
          <w:sz w:val="24"/>
          <w:szCs w:val="24"/>
          <w:u w:val="single"/>
        </w:rPr>
        <w:t>621000</w:t>
      </w:r>
    </w:p>
    <w:p w14:paraId="04C6D9D5">
      <w:pPr>
        <w:adjustRightInd w:val="0"/>
        <w:snapToGrid w:val="0"/>
        <w:spacing w:line="360" w:lineRule="auto"/>
        <w:ind w:firstLine="240" w:firstLineChars="100"/>
        <w:rPr>
          <w:rFonts w:ascii="宋体" w:hAnsi="宋体"/>
          <w:sz w:val="24"/>
          <w:szCs w:val="24"/>
        </w:rPr>
      </w:pPr>
      <w:r>
        <w:rPr>
          <w:rFonts w:hint="eastAsia" w:ascii="宋体" w:hAnsi="宋体"/>
          <w:sz w:val="24"/>
          <w:szCs w:val="24"/>
        </w:rPr>
        <w:t>联 系 人：</w:t>
      </w:r>
      <w:r>
        <w:rPr>
          <w:rFonts w:hint="eastAsia" w:ascii="宋体" w:hAnsi="宋体"/>
          <w:sz w:val="24"/>
          <w:szCs w:val="24"/>
          <w:lang w:val="en-US" w:eastAsia="zh-CN"/>
        </w:rPr>
        <w:t>柳先生</w:t>
      </w:r>
      <w:bookmarkStart w:id="279" w:name="_GoBack"/>
      <w:bookmarkEnd w:id="279"/>
    </w:p>
    <w:p w14:paraId="305F8DE1">
      <w:pPr>
        <w:adjustRightInd w:val="0"/>
        <w:snapToGrid w:val="0"/>
        <w:spacing w:line="360" w:lineRule="auto"/>
        <w:ind w:firstLine="240" w:firstLineChars="100"/>
        <w:rPr>
          <w:rFonts w:ascii="宋体" w:hAnsi="宋体"/>
          <w:sz w:val="24"/>
          <w:szCs w:val="24"/>
        </w:rPr>
      </w:pPr>
      <w:r>
        <w:rPr>
          <w:rFonts w:hint="eastAsia" w:ascii="宋体" w:hAnsi="宋体"/>
          <w:sz w:val="24"/>
          <w:szCs w:val="24"/>
        </w:rPr>
        <w:t>电    话：</w:t>
      </w:r>
      <w:r>
        <w:rPr>
          <w:rFonts w:hint="eastAsia" w:ascii="宋体" w:hAnsi="宋体"/>
          <w:sz w:val="24"/>
          <w:szCs w:val="24"/>
          <w:u w:val="single"/>
        </w:rPr>
        <w:t>0816-6287017</w:t>
      </w:r>
    </w:p>
    <w:p w14:paraId="219B0F5C">
      <w:pPr>
        <w:adjustRightInd w:val="0"/>
        <w:snapToGrid w:val="0"/>
        <w:spacing w:line="360" w:lineRule="auto"/>
        <w:ind w:firstLine="240" w:firstLineChars="100"/>
        <w:rPr>
          <w:rFonts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      </w:t>
      </w:r>
    </w:p>
    <w:p w14:paraId="7BC5DAF5">
      <w:pPr>
        <w:adjustRightInd w:val="0"/>
        <w:snapToGrid w:val="0"/>
        <w:spacing w:line="360" w:lineRule="auto"/>
        <w:ind w:firstLine="240" w:firstLineChars="100"/>
        <w:rPr>
          <w:rFonts w:ascii="宋体" w:hAnsi="宋体"/>
          <w:sz w:val="24"/>
          <w:szCs w:val="24"/>
        </w:rPr>
      </w:pPr>
      <w:r>
        <w:rPr>
          <w:rFonts w:hint="eastAsia" w:ascii="宋体" w:hAnsi="宋体"/>
          <w:sz w:val="24"/>
          <w:szCs w:val="24"/>
        </w:rPr>
        <w:t>电子邮件：</w:t>
      </w:r>
      <w:r>
        <w:rPr>
          <w:rFonts w:hint="eastAsia" w:ascii="宋体" w:hAnsi="宋体"/>
          <w:sz w:val="24"/>
          <w:szCs w:val="24"/>
          <w:u w:val="single"/>
        </w:rPr>
        <w:t xml:space="preserve">   /      </w:t>
      </w:r>
    </w:p>
    <w:p w14:paraId="53693F7D">
      <w:pPr>
        <w:adjustRightInd w:val="0"/>
        <w:snapToGrid w:val="0"/>
        <w:spacing w:line="360" w:lineRule="auto"/>
        <w:ind w:firstLine="240" w:firstLineChars="100"/>
        <w:rPr>
          <w:rFonts w:ascii="宋体" w:hAnsi="宋体"/>
          <w:sz w:val="24"/>
          <w:szCs w:val="24"/>
        </w:rPr>
      </w:pPr>
      <w:r>
        <w:rPr>
          <w:rFonts w:hint="eastAsia" w:ascii="宋体" w:hAnsi="宋体"/>
          <w:sz w:val="24"/>
          <w:szCs w:val="24"/>
        </w:rPr>
        <w:t>网    址：</w:t>
      </w:r>
      <w:r>
        <w:rPr>
          <w:rFonts w:hint="eastAsia" w:ascii="宋体" w:hAnsi="宋体"/>
          <w:sz w:val="24"/>
          <w:szCs w:val="24"/>
          <w:u w:val="single"/>
        </w:rPr>
        <w:t xml:space="preserve">   /      </w:t>
      </w:r>
    </w:p>
    <w:p w14:paraId="60CEE597">
      <w:pPr>
        <w:adjustRightInd w:val="0"/>
        <w:snapToGrid w:val="0"/>
        <w:spacing w:line="360" w:lineRule="auto"/>
        <w:ind w:firstLine="240" w:firstLineChars="100"/>
        <w:rPr>
          <w:rFonts w:ascii="宋体" w:hAnsi="宋体"/>
          <w:sz w:val="24"/>
          <w:szCs w:val="24"/>
        </w:rPr>
      </w:pPr>
      <w:r>
        <w:rPr>
          <w:rFonts w:hint="eastAsia" w:ascii="宋体" w:hAnsi="宋体"/>
          <w:sz w:val="24"/>
          <w:szCs w:val="24"/>
        </w:rPr>
        <w:t>开户银行：</w:t>
      </w:r>
      <w:r>
        <w:rPr>
          <w:rFonts w:hint="eastAsia" w:ascii="宋体" w:hAnsi="宋体"/>
          <w:sz w:val="24"/>
          <w:szCs w:val="24"/>
          <w:u w:val="single"/>
        </w:rPr>
        <w:t xml:space="preserve">   /      </w:t>
      </w:r>
    </w:p>
    <w:p w14:paraId="23761B1C">
      <w:pPr>
        <w:adjustRightInd w:val="0"/>
        <w:snapToGrid w:val="0"/>
        <w:spacing w:line="360" w:lineRule="auto"/>
        <w:ind w:firstLine="240" w:firstLineChars="100"/>
        <w:rPr>
          <w:rFonts w:ascii="宋体" w:hAnsi="宋体"/>
          <w:sz w:val="24"/>
          <w:szCs w:val="24"/>
        </w:rPr>
      </w:pPr>
      <w:r>
        <w:rPr>
          <w:rFonts w:hint="eastAsia" w:ascii="宋体" w:hAnsi="宋体"/>
          <w:sz w:val="24"/>
          <w:szCs w:val="24"/>
        </w:rPr>
        <w:t>账    号：</w:t>
      </w:r>
      <w:r>
        <w:rPr>
          <w:rFonts w:hint="eastAsia" w:ascii="宋体" w:hAnsi="宋体"/>
          <w:sz w:val="24"/>
          <w:szCs w:val="24"/>
          <w:u w:val="single"/>
        </w:rPr>
        <w:t xml:space="preserve">   /      </w:t>
      </w:r>
    </w:p>
    <w:p w14:paraId="0F13D6EE">
      <w:pPr>
        <w:adjustRightInd w:val="0"/>
        <w:snapToGrid w:val="0"/>
        <w:spacing w:line="360" w:lineRule="auto"/>
        <w:rPr>
          <w:rFonts w:ascii="宋体" w:hAnsi="宋体"/>
          <w:sz w:val="24"/>
          <w:szCs w:val="24"/>
        </w:rPr>
      </w:pPr>
    </w:p>
    <w:p w14:paraId="5ABFA6AB">
      <w:pPr>
        <w:adjustRightInd w:val="0"/>
        <w:snapToGrid w:val="0"/>
        <w:spacing w:line="360" w:lineRule="auto"/>
        <w:rPr>
          <w:rFonts w:ascii="宋体" w:hAnsi="宋体"/>
          <w:sz w:val="24"/>
          <w:szCs w:val="24"/>
        </w:rPr>
      </w:pPr>
      <w:r>
        <w:rPr>
          <w:rFonts w:hint="eastAsia" w:ascii="宋体" w:hAnsi="宋体"/>
          <w:sz w:val="27"/>
          <w:szCs w:val="24"/>
        </w:rPr>
        <w:t>□</w:t>
      </w:r>
      <w:r>
        <w:rPr>
          <w:rFonts w:hint="eastAsia" w:ascii="宋体" w:hAnsi="宋体"/>
          <w:sz w:val="24"/>
          <w:szCs w:val="24"/>
        </w:rPr>
        <w:t>招标代理机构：</w:t>
      </w:r>
      <w:r>
        <w:rPr>
          <w:rFonts w:hint="eastAsia" w:ascii="宋体" w:hAnsi="宋体"/>
          <w:sz w:val="24"/>
          <w:szCs w:val="24"/>
          <w:u w:val="single"/>
        </w:rPr>
        <w:t xml:space="preserve">    /     </w:t>
      </w:r>
    </w:p>
    <w:p w14:paraId="75D6CF18">
      <w:pPr>
        <w:adjustRightInd w:val="0"/>
        <w:snapToGrid w:val="0"/>
        <w:spacing w:line="360" w:lineRule="auto"/>
        <w:rPr>
          <w:rFonts w:ascii="宋体" w:hAnsi="宋体"/>
          <w:sz w:val="24"/>
          <w:szCs w:val="24"/>
        </w:rPr>
      </w:pPr>
      <w:r>
        <w:rPr>
          <w:rFonts w:hint="eastAsia" w:ascii="宋体" w:hAnsi="宋体"/>
          <w:sz w:val="27"/>
          <w:szCs w:val="24"/>
        </w:rPr>
        <w:t>☑</w:t>
      </w:r>
      <w:r>
        <w:rPr>
          <w:rFonts w:hint="eastAsia" w:ascii="宋体" w:hAnsi="宋体"/>
          <w:sz w:val="24"/>
          <w:szCs w:val="24"/>
        </w:rPr>
        <w:t>招标代理机构：</w:t>
      </w:r>
      <w:r>
        <w:rPr>
          <w:rFonts w:hint="eastAsia" w:ascii="宋体" w:hAnsi="宋体"/>
          <w:sz w:val="24"/>
          <w:szCs w:val="24"/>
          <w:u w:val="single"/>
        </w:rPr>
        <w:t>四川国宇康科技有限责任公司</w:t>
      </w:r>
    </w:p>
    <w:p w14:paraId="6134F311">
      <w:pPr>
        <w:adjustRightInd w:val="0"/>
        <w:snapToGrid w:val="0"/>
        <w:spacing w:line="360" w:lineRule="auto"/>
        <w:ind w:firstLine="240" w:firstLineChars="100"/>
        <w:rPr>
          <w:rFonts w:ascii="宋体" w:hAnsi="宋体"/>
          <w:sz w:val="24"/>
          <w:szCs w:val="24"/>
        </w:rPr>
      </w:pPr>
      <w:r>
        <w:rPr>
          <w:rFonts w:hint="eastAsia" w:ascii="宋体" w:hAnsi="宋体"/>
          <w:sz w:val="24"/>
          <w:szCs w:val="24"/>
        </w:rPr>
        <w:t>地    址：</w:t>
      </w:r>
      <w:r>
        <w:rPr>
          <w:rFonts w:hint="eastAsia" w:ascii="宋体" w:hAnsi="宋体"/>
          <w:sz w:val="24"/>
          <w:szCs w:val="24"/>
          <w:u w:val="single"/>
        </w:rPr>
        <w:t>绵阳市高新区火炬西街北段93号3楼21号</w:t>
      </w:r>
    </w:p>
    <w:p w14:paraId="09FF0AF2">
      <w:pPr>
        <w:adjustRightInd w:val="0"/>
        <w:snapToGrid w:val="0"/>
        <w:spacing w:line="360" w:lineRule="auto"/>
        <w:ind w:firstLine="240" w:firstLineChars="100"/>
        <w:rPr>
          <w:rFonts w:ascii="宋体" w:hAnsi="宋体"/>
          <w:sz w:val="24"/>
          <w:szCs w:val="24"/>
        </w:rPr>
      </w:pPr>
      <w:r>
        <w:rPr>
          <w:rFonts w:hint="eastAsia" w:ascii="宋体" w:hAnsi="宋体"/>
          <w:sz w:val="24"/>
          <w:szCs w:val="24"/>
        </w:rPr>
        <w:t>邮    编：</w:t>
      </w:r>
      <w:r>
        <w:rPr>
          <w:rFonts w:hint="eastAsia" w:ascii="宋体" w:hAnsi="宋体"/>
          <w:sz w:val="24"/>
          <w:szCs w:val="24"/>
          <w:u w:val="single"/>
        </w:rPr>
        <w:t>621000</w:t>
      </w:r>
    </w:p>
    <w:p w14:paraId="15DAC811">
      <w:pPr>
        <w:adjustRightInd w:val="0"/>
        <w:snapToGrid w:val="0"/>
        <w:spacing w:line="360" w:lineRule="auto"/>
        <w:ind w:firstLine="240" w:firstLineChars="100"/>
        <w:rPr>
          <w:rFonts w:hint="default" w:ascii="宋体" w:hAnsi="宋体" w:eastAsia="宋体"/>
          <w:sz w:val="24"/>
          <w:szCs w:val="24"/>
          <w:lang w:val="en-US" w:eastAsia="zh-CN"/>
        </w:rPr>
      </w:pPr>
      <w:r>
        <w:rPr>
          <w:rFonts w:hint="eastAsia" w:ascii="宋体" w:hAnsi="宋体"/>
          <w:sz w:val="24"/>
          <w:szCs w:val="24"/>
        </w:rPr>
        <w:t>联 系 人：</w:t>
      </w:r>
      <w:r>
        <w:rPr>
          <w:rFonts w:hint="eastAsia" w:ascii="宋体" w:hAnsi="宋体"/>
          <w:sz w:val="24"/>
          <w:szCs w:val="24"/>
          <w:u w:val="single"/>
          <w:lang w:val="en-US" w:eastAsia="zh-CN"/>
        </w:rPr>
        <w:t>陈先生</w:t>
      </w:r>
    </w:p>
    <w:p w14:paraId="469A712C">
      <w:pPr>
        <w:adjustRightInd w:val="0"/>
        <w:snapToGrid w:val="0"/>
        <w:spacing w:line="360" w:lineRule="auto"/>
        <w:ind w:firstLine="240" w:firstLineChars="100"/>
        <w:rPr>
          <w:rFonts w:ascii="宋体" w:hAnsi="宋体"/>
          <w:sz w:val="24"/>
          <w:szCs w:val="24"/>
        </w:rPr>
      </w:pPr>
      <w:r>
        <w:rPr>
          <w:rFonts w:hint="eastAsia" w:ascii="宋体" w:hAnsi="宋体"/>
          <w:sz w:val="24"/>
          <w:szCs w:val="24"/>
        </w:rPr>
        <w:t>电    话：</w:t>
      </w:r>
      <w:r>
        <w:rPr>
          <w:rFonts w:hint="eastAsia" w:ascii="宋体" w:hAnsi="宋体"/>
          <w:sz w:val="24"/>
          <w:szCs w:val="24"/>
          <w:u w:val="single"/>
        </w:rPr>
        <w:t>0816-2123213</w:t>
      </w:r>
    </w:p>
    <w:p w14:paraId="47E57757">
      <w:pPr>
        <w:adjustRightInd w:val="0"/>
        <w:snapToGrid w:val="0"/>
        <w:spacing w:line="360" w:lineRule="auto"/>
        <w:ind w:firstLine="240" w:firstLineChars="100"/>
        <w:rPr>
          <w:rFonts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     </w:t>
      </w:r>
    </w:p>
    <w:p w14:paraId="136E33FD">
      <w:pPr>
        <w:adjustRightInd w:val="0"/>
        <w:snapToGrid w:val="0"/>
        <w:spacing w:line="360" w:lineRule="auto"/>
        <w:ind w:firstLine="240" w:firstLineChars="100"/>
        <w:rPr>
          <w:rFonts w:ascii="宋体" w:hAnsi="宋体"/>
          <w:sz w:val="24"/>
          <w:szCs w:val="24"/>
        </w:rPr>
      </w:pPr>
      <w:r>
        <w:rPr>
          <w:rFonts w:hint="eastAsia" w:ascii="宋体" w:hAnsi="宋体"/>
          <w:sz w:val="24"/>
          <w:szCs w:val="24"/>
        </w:rPr>
        <w:t>电子邮件：</w:t>
      </w:r>
      <w:r>
        <w:rPr>
          <w:rFonts w:hint="eastAsia" w:ascii="宋体" w:hAnsi="宋体"/>
          <w:sz w:val="24"/>
          <w:szCs w:val="24"/>
          <w:u w:val="single"/>
        </w:rPr>
        <w:t xml:space="preserve"> / </w:t>
      </w:r>
    </w:p>
    <w:p w14:paraId="12F883CA">
      <w:pPr>
        <w:adjustRightInd w:val="0"/>
        <w:snapToGrid w:val="0"/>
        <w:spacing w:line="360" w:lineRule="auto"/>
        <w:ind w:firstLine="240" w:firstLineChars="100"/>
        <w:rPr>
          <w:rFonts w:ascii="宋体" w:hAnsi="宋体"/>
          <w:sz w:val="24"/>
          <w:szCs w:val="24"/>
        </w:rPr>
      </w:pPr>
      <w:r>
        <w:rPr>
          <w:rFonts w:hint="eastAsia" w:ascii="宋体" w:hAnsi="宋体"/>
          <w:sz w:val="24"/>
          <w:szCs w:val="24"/>
        </w:rPr>
        <w:t>网    址：</w:t>
      </w:r>
      <w:r>
        <w:rPr>
          <w:rFonts w:hint="eastAsia" w:ascii="宋体" w:hAnsi="宋体"/>
          <w:sz w:val="24"/>
          <w:szCs w:val="24"/>
          <w:u w:val="single"/>
        </w:rPr>
        <w:t xml:space="preserve"> / </w:t>
      </w:r>
    </w:p>
    <w:p w14:paraId="18E0B973">
      <w:pPr>
        <w:adjustRightInd w:val="0"/>
        <w:snapToGrid w:val="0"/>
        <w:spacing w:line="360" w:lineRule="auto"/>
        <w:ind w:firstLine="240" w:firstLineChars="100"/>
        <w:rPr>
          <w:rFonts w:ascii="宋体" w:hAnsi="宋体"/>
          <w:sz w:val="24"/>
          <w:szCs w:val="24"/>
        </w:rPr>
      </w:pPr>
      <w:r>
        <w:rPr>
          <w:rFonts w:hint="eastAsia" w:ascii="宋体" w:hAnsi="宋体"/>
          <w:sz w:val="24"/>
          <w:szCs w:val="24"/>
        </w:rPr>
        <w:t>开户银行：</w:t>
      </w:r>
      <w:r>
        <w:rPr>
          <w:rFonts w:hint="eastAsia" w:ascii="宋体" w:hAnsi="宋体"/>
          <w:sz w:val="24"/>
          <w:szCs w:val="24"/>
          <w:u w:val="single"/>
        </w:rPr>
        <w:t xml:space="preserve"> / </w:t>
      </w:r>
    </w:p>
    <w:p w14:paraId="4E2622AF">
      <w:pPr>
        <w:adjustRightInd w:val="0"/>
        <w:snapToGrid w:val="0"/>
        <w:spacing w:line="360" w:lineRule="auto"/>
        <w:ind w:firstLine="240" w:firstLineChars="100"/>
        <w:rPr>
          <w:rFonts w:ascii="宋体" w:hAnsi="宋体"/>
          <w:sz w:val="24"/>
          <w:szCs w:val="24"/>
        </w:rPr>
      </w:pPr>
      <w:r>
        <w:rPr>
          <w:rFonts w:hint="eastAsia" w:ascii="宋体" w:hAnsi="宋体"/>
          <w:sz w:val="24"/>
          <w:szCs w:val="24"/>
        </w:rPr>
        <w:t>账    号：</w:t>
      </w:r>
      <w:r>
        <w:rPr>
          <w:rFonts w:hint="eastAsia" w:ascii="宋体" w:hAnsi="宋体"/>
          <w:sz w:val="24"/>
          <w:szCs w:val="24"/>
          <w:u w:val="single"/>
        </w:rPr>
        <w:t xml:space="preserve"> / </w:t>
      </w:r>
    </w:p>
    <w:p w14:paraId="5E31C524">
      <w:pPr>
        <w:adjustRightInd w:val="0"/>
        <w:snapToGrid w:val="0"/>
        <w:spacing w:line="360" w:lineRule="auto"/>
        <w:jc w:val="center"/>
        <w:rPr>
          <w:rFonts w:ascii="宋体" w:hAnsi="宋体"/>
          <w:sz w:val="24"/>
          <w:szCs w:val="24"/>
        </w:rPr>
      </w:pPr>
      <w:r>
        <w:rPr>
          <w:rFonts w:hint="eastAsia" w:ascii="宋体" w:hAnsi="宋体"/>
          <w:sz w:val="24"/>
          <w:szCs w:val="24"/>
          <w:u w:val="single"/>
        </w:rPr>
        <w:t>2026</w:t>
      </w:r>
      <w:r>
        <w:rPr>
          <w:rFonts w:hint="eastAsia" w:ascii="宋体" w:hAnsi="宋体"/>
          <w:sz w:val="24"/>
          <w:szCs w:val="24"/>
        </w:rPr>
        <w:t>年</w:t>
      </w:r>
      <w:r>
        <w:rPr>
          <w:rFonts w:hint="eastAsia" w:ascii="宋体" w:hAnsi="宋体"/>
          <w:sz w:val="24"/>
          <w:szCs w:val="24"/>
          <w:u w:val="single"/>
          <w:lang w:val="en-US" w:eastAsia="zh-CN"/>
        </w:rPr>
        <w:t>10</w:t>
      </w:r>
      <w:r>
        <w:rPr>
          <w:rFonts w:hint="eastAsia" w:ascii="宋体" w:hAnsi="宋体"/>
          <w:sz w:val="24"/>
          <w:szCs w:val="24"/>
        </w:rPr>
        <w:t>月</w:t>
      </w:r>
      <w:r>
        <w:rPr>
          <w:rFonts w:hint="eastAsia" w:ascii="宋体" w:hAnsi="宋体"/>
          <w:sz w:val="24"/>
          <w:szCs w:val="24"/>
          <w:u w:val="single"/>
          <w:lang w:val="en-US" w:eastAsia="zh-CN"/>
        </w:rPr>
        <w:t>15</w:t>
      </w:r>
      <w:r>
        <w:rPr>
          <w:rFonts w:hint="eastAsia" w:ascii="宋体" w:hAnsi="宋体"/>
          <w:sz w:val="24"/>
          <w:szCs w:val="24"/>
        </w:rPr>
        <w:t>日</w:t>
      </w:r>
    </w:p>
    <w:p w14:paraId="5BD9FEB4">
      <w:pPr>
        <w:spacing w:line="360" w:lineRule="auto"/>
        <w:rPr>
          <w:rFonts w:ascii="宋体" w:hAnsi="宋体" w:cs="宋体"/>
          <w:sz w:val="24"/>
          <w:szCs w:val="24"/>
        </w:rPr>
      </w:pPr>
      <w:r>
        <w:rPr>
          <w:rFonts w:hint="eastAsia" w:ascii="宋体" w:hAnsi="宋体" w:cs="宋体"/>
          <w:sz w:val="24"/>
          <w:szCs w:val="24"/>
        </w:rPr>
        <w:t>注：</w:t>
      </w:r>
    </w:p>
    <w:p w14:paraId="18C0422C">
      <w:pPr>
        <w:spacing w:line="360" w:lineRule="auto"/>
        <w:ind w:firstLine="480" w:firstLineChars="200"/>
        <w:rPr>
          <w:rFonts w:ascii="宋体" w:hAnsi="宋体" w:cs="宋体"/>
          <w:sz w:val="24"/>
          <w:szCs w:val="24"/>
        </w:rPr>
      </w:pPr>
      <w:r>
        <w:rPr>
          <w:rFonts w:hint="eastAsia" w:ascii="宋体" w:hAnsi="宋体" w:cs="宋体"/>
          <w:sz w:val="24"/>
          <w:szCs w:val="24"/>
        </w:rPr>
        <w:t>（1）若</w:t>
      </w:r>
      <w:r>
        <w:rPr>
          <w:rFonts w:ascii="宋体" w:hAnsi="宋体" w:cs="宋体"/>
          <w:sz w:val="24"/>
          <w:szCs w:val="24"/>
        </w:rPr>
        <w:t>划分标段，则填写标段序号；</w:t>
      </w:r>
      <w:r>
        <w:rPr>
          <w:rFonts w:hint="eastAsia" w:ascii="宋体" w:hAnsi="宋体" w:cs="宋体"/>
          <w:sz w:val="24"/>
          <w:szCs w:val="24"/>
        </w:rPr>
        <w:t>若</w:t>
      </w:r>
      <w:r>
        <w:rPr>
          <w:rFonts w:ascii="宋体" w:hAnsi="宋体" w:cs="宋体"/>
          <w:sz w:val="24"/>
          <w:szCs w:val="24"/>
        </w:rPr>
        <w:t>划分为两个及以上标段，应分别明确各标段的具体内容、划分情况。</w:t>
      </w:r>
    </w:p>
    <w:p w14:paraId="71741EEB">
      <w:pPr>
        <w:spacing w:line="360" w:lineRule="auto"/>
        <w:ind w:firstLine="480" w:firstLineChars="200"/>
        <w:rPr>
          <w:rFonts w:ascii="宋体" w:hAnsi="宋体" w:cs="宋体"/>
          <w:sz w:val="24"/>
          <w:szCs w:val="24"/>
        </w:rPr>
      </w:pPr>
      <w:r>
        <w:rPr>
          <w:rFonts w:ascii="宋体" w:hAnsi="宋体" w:cs="宋体"/>
          <w:sz w:val="24"/>
          <w:szCs w:val="24"/>
        </w:rPr>
        <w:t>（</w:t>
      </w:r>
      <w:r>
        <w:rPr>
          <w:rFonts w:hint="eastAsia" w:ascii="宋体" w:hAnsi="宋体" w:cs="宋体"/>
          <w:sz w:val="24"/>
          <w:szCs w:val="24"/>
        </w:rPr>
        <w:t>2</w:t>
      </w:r>
      <w:r>
        <w:rPr>
          <w:rFonts w:ascii="宋体" w:hAnsi="宋体" w:cs="宋体"/>
          <w:sz w:val="24"/>
          <w:szCs w:val="24"/>
        </w:rPr>
        <w:t>）招标人对投标人的资质要求，应是国家对投标人资质的强制性规定。不是国家规定必须具备的资质，不得作为</w:t>
      </w:r>
      <w:r>
        <w:rPr>
          <w:rFonts w:hint="eastAsia" w:ascii="宋体" w:hAnsi="宋体" w:cs="宋体"/>
          <w:sz w:val="24"/>
          <w:szCs w:val="24"/>
        </w:rPr>
        <w:t>资质要求。</w:t>
      </w:r>
    </w:p>
    <w:p w14:paraId="4B7A2E54">
      <w:pPr>
        <w:spacing w:line="360" w:lineRule="auto"/>
        <w:ind w:firstLine="480" w:firstLineChars="200"/>
        <w:rPr>
          <w:rFonts w:ascii="宋体" w:hAnsi="宋体" w:cs="宋体"/>
          <w:sz w:val="24"/>
          <w:szCs w:val="24"/>
        </w:rPr>
      </w:pPr>
      <w:r>
        <w:rPr>
          <w:rFonts w:ascii="宋体" w:hAnsi="宋体" w:cs="宋体"/>
          <w:sz w:val="24"/>
          <w:szCs w:val="24"/>
        </w:rPr>
        <w:t>（</w:t>
      </w:r>
      <w:r>
        <w:rPr>
          <w:rFonts w:hint="eastAsia" w:ascii="宋体" w:hAnsi="宋体" w:cs="宋体"/>
          <w:sz w:val="24"/>
          <w:szCs w:val="24"/>
        </w:rPr>
        <w:t>3</w:t>
      </w:r>
      <w:r>
        <w:rPr>
          <w:rFonts w:ascii="宋体" w:hAnsi="宋体" w:cs="宋体"/>
          <w:sz w:val="24"/>
          <w:szCs w:val="24"/>
        </w:rPr>
        <w:t>）招标人对投标人的</w:t>
      </w:r>
      <w:r>
        <w:rPr>
          <w:rFonts w:hint="eastAsia" w:ascii="宋体" w:hAnsi="宋体" w:cs="宋体"/>
          <w:sz w:val="24"/>
          <w:szCs w:val="24"/>
        </w:rPr>
        <w:t>类似项目业绩</w:t>
      </w:r>
      <w:r>
        <w:rPr>
          <w:rFonts w:ascii="宋体" w:hAnsi="宋体" w:cs="宋体"/>
          <w:sz w:val="24"/>
          <w:szCs w:val="24"/>
        </w:rPr>
        <w:t>要求</w:t>
      </w:r>
      <w:r>
        <w:rPr>
          <w:rFonts w:hint="eastAsia" w:ascii="宋体" w:hAnsi="宋体" w:cs="宋体"/>
          <w:sz w:val="24"/>
          <w:szCs w:val="24"/>
        </w:rPr>
        <w:t>，设置的投资额、面积、长度等规模量化指标不得高于本次招标工程相应指标，</w:t>
      </w:r>
      <w:r>
        <w:rPr>
          <w:rFonts w:ascii="宋体" w:hAnsi="宋体" w:cs="宋体"/>
          <w:sz w:val="24"/>
          <w:szCs w:val="24"/>
        </w:rPr>
        <w:t>类似项目业绩的定义应明确，用语准确无歧义。</w:t>
      </w:r>
    </w:p>
    <w:p w14:paraId="07410B91">
      <w:pPr>
        <w:spacing w:line="360" w:lineRule="auto"/>
        <w:ind w:firstLine="480" w:firstLineChars="200"/>
        <w:rPr>
          <w:rFonts w:ascii="宋体" w:hAnsi="宋体" w:cs="宋体"/>
          <w:sz w:val="24"/>
          <w:szCs w:val="24"/>
        </w:rPr>
      </w:pPr>
      <w:r>
        <w:rPr>
          <w:rFonts w:hint="eastAsia" w:ascii="宋体" w:hAnsi="宋体" w:cs="宋体"/>
          <w:sz w:val="24"/>
          <w:szCs w:val="24"/>
        </w:rPr>
        <w:t>（4）招标人限定的联合体成员数量不得少于设定的资质个数。</w:t>
      </w:r>
    </w:p>
    <w:p w14:paraId="05E723AC">
      <w:pPr>
        <w:spacing w:line="360" w:lineRule="auto"/>
        <w:rPr>
          <w:rFonts w:ascii="宋体" w:hAnsi="宋体" w:cs="宋体"/>
          <w:sz w:val="24"/>
          <w:szCs w:val="24"/>
        </w:rPr>
      </w:pPr>
      <w:r>
        <w:rPr>
          <w:rFonts w:hint="eastAsia" w:ascii="宋体" w:hAnsi="宋体" w:cs="宋体"/>
          <w:kern w:val="0"/>
          <w:sz w:val="24"/>
          <w:szCs w:val="24"/>
        </w:rPr>
        <w:t>（5）《招标投标法》第二十四条规定，“招标人应当确定投标人编制投标文件所需要的合理时间；但是，依法必须进行招标的项目，自招标文件开始发出之日起至投标人提交投标文件截止之日止，最短不得少于二十日。”期间20日的计算方法为：从招标公告发布的次日起算并以全国公共资源交易平台（四川省）审核发布的时间为准（发布招标公告当日不算在期间内）。如某项目招标公告发布日期为2025年12月1日，期间届满的日期是2025年12月21日，递交投标文件截止时间应该为2025年12月22日。</w:t>
      </w:r>
    </w:p>
    <w:p w14:paraId="4FD3F342">
      <w:pPr>
        <w:rPr>
          <w:color w:val="000080"/>
          <w:sz w:val="20"/>
          <w:highlight w:val="white"/>
        </w:rPr>
      </w:pPr>
    </w:p>
    <w:p w14:paraId="1EADA115">
      <w:pPr>
        <w:rPr>
          <w:rFonts w:hint="eastAsia"/>
          <w:color w:val="000080"/>
          <w:sz w:val="20"/>
          <w:highlight w:val="white"/>
        </w:rPr>
      </w:pPr>
      <w:r>
        <w:rPr>
          <w:rFonts w:hint="eastAsia"/>
          <w:color w:val="000080"/>
          <w:sz w:val="20"/>
          <w:highlight w:val="white"/>
        </w:rPr>
        <w:t xml:space="preserve"> </w:t>
      </w:r>
      <w:bookmarkEnd w:id="17"/>
    </w:p>
    <w:p w14:paraId="7C5B7FBE">
      <w:pPr>
        <w:rPr>
          <w:rFonts w:hint="eastAsia"/>
        </w:rPr>
      </w:pPr>
      <w:r>
        <w:rPr>
          <w:rFonts w:hint="eastAsia"/>
          <w:highlight w:val="white"/>
        </w:rPr>
        <w:br w:type="page"/>
      </w:r>
    </w:p>
    <w:p w14:paraId="26E1E052">
      <w:pPr>
        <w:pStyle w:val="2"/>
        <w:jc w:val="center"/>
        <w:rPr>
          <w:rFonts w:hint="eastAsia" w:ascii="宋体" w:hAnsi="宋体" w:cs="宋体"/>
          <w:bCs w:val="0"/>
          <w:sz w:val="32"/>
          <w:szCs w:val="32"/>
        </w:rPr>
      </w:pPr>
      <w:bookmarkStart w:id="36" w:name="_Toc256000020"/>
      <w:r>
        <w:rPr>
          <w:rFonts w:hint="eastAsia" w:ascii="宋体" w:hAnsi="宋体" w:cs="宋体"/>
          <w:bCs w:val="0"/>
          <w:sz w:val="32"/>
          <w:szCs w:val="32"/>
          <w:highlight w:val="white"/>
        </w:rPr>
        <w:t>第二章 投标人须知</w:t>
      </w:r>
      <w:bookmarkEnd w:id="36"/>
    </w:p>
    <w:p w14:paraId="1982D511">
      <w:pPr>
        <w:rPr>
          <w:highlight w:val="yellow"/>
        </w:rPr>
      </w:pPr>
      <w:bookmarkStart w:id="37" w:name="EBe5089b8bc48c4c20ac8354353e2c4a5f"/>
      <w:r>
        <w:rPr>
          <w:rFonts w:hint="eastAsia"/>
          <w:color w:val="000080"/>
          <w:sz w:val="20"/>
          <w:highlight w:val="white"/>
        </w:rPr>
        <w:t xml:space="preserve"> </w:t>
      </w:r>
      <w:bookmarkEnd w:id="37"/>
      <w:bookmarkStart w:id="38" w:name="EB9147e486be014f4e8e3908bf686d0439"/>
      <w:r>
        <w:rPr>
          <w:rFonts w:hint="eastAsia"/>
          <w:color w:val="000080"/>
          <w:sz w:val="20"/>
          <w:highlight w:val="white"/>
        </w:rPr>
        <w:t xml:space="preserve"> </w:t>
      </w:r>
      <w:bookmarkEnd w:id="38"/>
    </w:p>
    <w:p w14:paraId="4FA5BD68">
      <w:pPr>
        <w:pStyle w:val="2"/>
        <w:widowControl/>
        <w:adjustRightInd w:val="0"/>
        <w:snapToGrid w:val="0"/>
        <w:spacing w:line="360" w:lineRule="auto"/>
        <w:jc w:val="center"/>
      </w:pPr>
      <w:bookmarkStart w:id="39" w:name="_Toc256000021"/>
      <w:r>
        <w:rPr>
          <w:rFonts w:hint="eastAsia" w:ascii="宋体" w:hAnsi="宋体"/>
          <w:bCs w:val="0"/>
          <w:sz w:val="28"/>
          <w:szCs w:val="28"/>
          <w:highlight w:val="white"/>
        </w:rPr>
        <w:t>投标人须知前附表</w:t>
      </w:r>
      <w:bookmarkEnd w:id="39"/>
    </w:p>
    <w:tbl>
      <w:tblPr>
        <w:tblStyle w:val="33"/>
        <w:tblW w:w="5000" w:type="pct"/>
        <w:jc w:val="center"/>
        <w:tblLayout w:type="autofit"/>
        <w:tblCellMar>
          <w:top w:w="0" w:type="dxa"/>
          <w:left w:w="108" w:type="dxa"/>
          <w:bottom w:w="0" w:type="dxa"/>
          <w:right w:w="108" w:type="dxa"/>
        </w:tblCellMar>
      </w:tblPr>
      <w:tblGrid>
        <w:gridCol w:w="1007"/>
        <w:gridCol w:w="1948"/>
        <w:gridCol w:w="5567"/>
      </w:tblGrid>
      <w:tr w14:paraId="79C71F74">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FF5C735">
            <w:pPr>
              <w:spacing w:line="440" w:lineRule="exact"/>
              <w:jc w:val="center"/>
              <w:rPr>
                <w:rFonts w:hint="eastAsia" w:ascii="宋体" w:hAnsi="宋体" w:cs="宋体"/>
                <w:b/>
                <w:sz w:val="24"/>
              </w:rPr>
            </w:pPr>
            <w:r>
              <w:rPr>
                <w:rFonts w:hint="eastAsia" w:ascii="宋体" w:hAnsi="宋体" w:cs="宋体"/>
                <w:b/>
                <w:sz w:val="24"/>
                <w:highlight w:val="white"/>
              </w:rPr>
              <w:t>条款号</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34833903">
            <w:pPr>
              <w:spacing w:line="440" w:lineRule="exact"/>
              <w:jc w:val="center"/>
              <w:rPr>
                <w:rFonts w:hint="eastAsia" w:ascii="宋体" w:hAnsi="宋体" w:cs="宋体"/>
                <w:b/>
                <w:sz w:val="24"/>
              </w:rPr>
            </w:pPr>
            <w:r>
              <w:rPr>
                <w:rFonts w:hint="eastAsia" w:ascii="宋体" w:hAnsi="宋体" w:cs="宋体"/>
                <w:b/>
                <w:sz w:val="24"/>
                <w:highlight w:val="white"/>
              </w:rPr>
              <w:t>条  款  名  称</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DCF6CEA">
            <w:pPr>
              <w:spacing w:line="440" w:lineRule="exact"/>
              <w:jc w:val="center"/>
              <w:rPr>
                <w:rFonts w:hint="eastAsia" w:ascii="宋体" w:hAnsi="宋体" w:cs="宋体"/>
                <w:b/>
                <w:sz w:val="24"/>
              </w:rPr>
            </w:pPr>
            <w:r>
              <w:rPr>
                <w:rFonts w:hint="eastAsia" w:ascii="宋体" w:hAnsi="宋体" w:cs="宋体"/>
                <w:b/>
                <w:sz w:val="24"/>
                <w:highlight w:val="white"/>
              </w:rPr>
              <w:t>编  列  内  容</w:t>
            </w:r>
          </w:p>
        </w:tc>
      </w:tr>
      <w:tr w14:paraId="527D5268">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69117A64">
            <w:pPr>
              <w:spacing w:line="440" w:lineRule="exact"/>
              <w:jc w:val="center"/>
              <w:rPr>
                <w:rFonts w:hint="eastAsia" w:ascii="宋体" w:hAnsi="宋体" w:cs="宋体"/>
                <w:sz w:val="24"/>
              </w:rPr>
            </w:pPr>
            <w:r>
              <w:rPr>
                <w:rFonts w:hint="eastAsia" w:ascii="宋体" w:hAnsi="宋体" w:cs="宋体"/>
                <w:sz w:val="24"/>
                <w:highlight w:val="white"/>
              </w:rPr>
              <w:t>1.1.2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6829BFD">
            <w:pPr>
              <w:adjustRightInd w:val="0"/>
              <w:snapToGrid w:val="0"/>
              <w:spacing w:line="360" w:lineRule="auto"/>
              <w:jc w:val="center"/>
              <w:rPr>
                <w:rFonts w:hint="eastAsia" w:ascii="宋体" w:hAnsi="宋体" w:cs="宋体"/>
                <w:sz w:val="24"/>
              </w:rPr>
            </w:pPr>
            <w:r>
              <w:rPr>
                <w:rFonts w:hint="eastAsia" w:ascii="宋体" w:hAnsi="宋体" w:cs="宋体"/>
                <w:sz w:val="24"/>
                <w:highlight w:val="white"/>
              </w:rPr>
              <w:t>招标人</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579E4327">
            <w:pPr>
              <w:adjustRightInd w:val="0"/>
              <w:snapToGrid w:val="0"/>
              <w:spacing w:line="360" w:lineRule="auto"/>
              <w:rPr>
                <w:rFonts w:hint="eastAsia" w:ascii="宋体" w:hAnsi="宋体" w:cs="宋体"/>
                <w:sz w:val="24"/>
              </w:rPr>
            </w:pPr>
            <w:r>
              <w:rPr>
                <w:rFonts w:hint="eastAsia" w:ascii="宋体" w:hAnsi="宋体" w:cs="宋体"/>
                <w:sz w:val="24"/>
                <w:highlight w:val="white"/>
              </w:rPr>
              <w:t>名  称：</w:t>
            </w:r>
            <w:r>
              <w:rPr>
                <w:rFonts w:hint="eastAsia" w:ascii="宋体" w:hAnsi="宋体" w:cs="宋体"/>
                <w:color w:val="0000FF"/>
                <w:sz w:val="24"/>
                <w:highlight w:val="white"/>
                <w:lang w:eastAsia="zh-CN"/>
              </w:rPr>
              <w:t>四川九华光子通信技术有限公司</w:t>
            </w:r>
            <w:r>
              <w:rPr>
                <w:rFonts w:hint="eastAsia" w:ascii="宋体" w:hAnsi="宋体" w:cs="宋体"/>
                <w:bCs/>
                <w:sz w:val="24"/>
                <w:highlight w:val="white"/>
              </w:rPr>
              <w:t>；</w:t>
            </w:r>
          </w:p>
          <w:p w14:paraId="2CF753EE">
            <w:pPr>
              <w:adjustRightInd w:val="0"/>
              <w:snapToGrid w:val="0"/>
              <w:spacing w:line="360" w:lineRule="auto"/>
              <w:rPr>
                <w:rFonts w:hint="eastAsia" w:ascii="宋体" w:hAnsi="宋体" w:cs="宋体"/>
                <w:sz w:val="24"/>
              </w:rPr>
            </w:pPr>
            <w:r>
              <w:rPr>
                <w:rFonts w:hint="eastAsia" w:ascii="宋体" w:hAnsi="宋体" w:cs="宋体"/>
                <w:sz w:val="24"/>
                <w:highlight w:val="white"/>
              </w:rPr>
              <w:t>地  址：</w:t>
            </w:r>
            <w:r>
              <w:rPr>
                <w:rFonts w:hint="eastAsia" w:ascii="宋体" w:hAnsi="宋体" w:eastAsia="宋体" w:cs="宋体"/>
                <w:color w:val="0000FF"/>
                <w:sz w:val="24"/>
                <w:highlight w:val="white"/>
                <w:lang w:eastAsia="zh-CN"/>
              </w:rPr>
              <w:t>绵阳市涪城区涪金路389号5G科技园</w:t>
            </w:r>
            <w:r>
              <w:rPr>
                <w:rFonts w:hint="eastAsia" w:ascii="宋体" w:hAnsi="宋体" w:cs="宋体"/>
                <w:bCs/>
                <w:sz w:val="24"/>
                <w:highlight w:val="white"/>
              </w:rPr>
              <w:t>；</w:t>
            </w:r>
          </w:p>
          <w:p w14:paraId="079107A6">
            <w:pPr>
              <w:adjustRightInd w:val="0"/>
              <w:snapToGrid w:val="0"/>
              <w:spacing w:line="360" w:lineRule="auto"/>
              <w:rPr>
                <w:rFonts w:hint="eastAsia" w:ascii="宋体" w:hAnsi="宋体" w:cs="宋体"/>
                <w:sz w:val="24"/>
              </w:rPr>
            </w:pPr>
            <w:r>
              <w:rPr>
                <w:rFonts w:hint="eastAsia" w:ascii="宋体" w:hAnsi="宋体" w:cs="宋体"/>
                <w:sz w:val="24"/>
                <w:highlight w:val="white"/>
              </w:rPr>
              <w:t>联系人：</w:t>
            </w:r>
            <w:bookmarkStart w:id="40" w:name="EB8f242c8c075c4e5ebfbe6142c1ddda00"/>
            <w:r>
              <w:rPr>
                <w:rFonts w:hint="eastAsia" w:ascii="宋体" w:hAnsi="宋体" w:cs="宋体"/>
                <w:sz w:val="24"/>
                <w:highlight w:val="white"/>
                <w:lang w:val="en-US" w:eastAsia="zh-CN"/>
              </w:rPr>
              <w:t>柳先生</w:t>
            </w:r>
            <w:bookmarkEnd w:id="40"/>
            <w:r>
              <w:rPr>
                <w:rFonts w:hint="eastAsia" w:ascii="宋体" w:hAnsi="宋体" w:cs="宋体"/>
                <w:bCs/>
                <w:sz w:val="24"/>
                <w:highlight w:val="white"/>
              </w:rPr>
              <w:t>；</w:t>
            </w:r>
          </w:p>
          <w:p w14:paraId="4A9B0473">
            <w:pPr>
              <w:adjustRightInd w:val="0"/>
              <w:snapToGrid w:val="0"/>
              <w:spacing w:line="360" w:lineRule="auto"/>
              <w:rPr>
                <w:rFonts w:hint="eastAsia" w:ascii="宋体" w:hAnsi="宋体" w:cs="宋体"/>
                <w:sz w:val="24"/>
              </w:rPr>
            </w:pPr>
            <w:r>
              <w:rPr>
                <w:rFonts w:hint="eastAsia" w:ascii="宋体" w:hAnsi="宋体" w:cs="宋体"/>
                <w:sz w:val="24"/>
                <w:highlight w:val="white"/>
              </w:rPr>
              <w:t>电  话：</w:t>
            </w:r>
            <w:r>
              <w:rPr>
                <w:rFonts w:hint="eastAsia" w:ascii="宋体" w:hAnsi="宋体" w:eastAsia="宋体" w:cs="宋体"/>
                <w:color w:val="0000FF"/>
                <w:sz w:val="24"/>
                <w:highlight w:val="white"/>
                <w:lang w:eastAsia="zh-CN"/>
              </w:rPr>
              <w:t>0816-6287017。</w:t>
            </w:r>
          </w:p>
        </w:tc>
      </w:tr>
      <w:tr w14:paraId="01B7346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854C7F2">
            <w:pPr>
              <w:spacing w:line="440" w:lineRule="exact"/>
              <w:jc w:val="center"/>
              <w:rPr>
                <w:rFonts w:hint="eastAsia" w:ascii="宋体" w:hAnsi="宋体" w:cs="宋体"/>
                <w:sz w:val="24"/>
              </w:rPr>
            </w:pPr>
            <w:r>
              <w:rPr>
                <w:rFonts w:hint="eastAsia" w:ascii="宋体" w:hAnsi="宋体" w:cs="宋体"/>
                <w:sz w:val="24"/>
                <w:highlight w:val="white"/>
              </w:rPr>
              <w:t>1.1.3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407592C">
            <w:pPr>
              <w:adjustRightInd w:val="0"/>
              <w:snapToGrid w:val="0"/>
              <w:spacing w:line="360" w:lineRule="auto"/>
              <w:jc w:val="center"/>
              <w:rPr>
                <w:rFonts w:hint="eastAsia" w:ascii="宋体" w:hAnsi="宋体" w:cs="宋体"/>
                <w:sz w:val="24"/>
              </w:rPr>
            </w:pPr>
            <w:r>
              <w:rPr>
                <w:rFonts w:hint="eastAsia" w:ascii="宋体" w:hAnsi="宋体" w:cs="宋体"/>
                <w:sz w:val="24"/>
                <w:highlight w:val="white"/>
              </w:rPr>
              <w:t>招标代理机构</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C4DE851">
            <w:pPr>
              <w:adjustRightInd w:val="0"/>
              <w:snapToGrid w:val="0"/>
              <w:spacing w:line="360" w:lineRule="auto"/>
              <w:rPr>
                <w:rFonts w:hint="eastAsia" w:ascii="宋体" w:hAnsi="宋体"/>
                <w:sz w:val="27"/>
              </w:rPr>
            </w:pPr>
            <w:bookmarkStart w:id="41" w:name="EB8c4b9f73486a4ae0b4ccad62defed377"/>
            <w:r>
              <w:rPr>
                <w:rFonts w:hint="eastAsia" w:ascii="宋体" w:hAnsi="宋体"/>
                <w:color w:val="0000FF"/>
                <w:sz w:val="27"/>
                <w:highlight w:val="white"/>
              </w:rPr>
              <w:t>□</w:t>
            </w:r>
            <w:bookmarkEnd w:id="41"/>
            <w:bookmarkStart w:id="42" w:name="EB3ff8fc146ea94e26953cd3eb59384ae9"/>
            <w:r>
              <w:rPr>
                <w:rFonts w:hint="eastAsia" w:ascii="宋体" w:hAnsi="宋体"/>
                <w:color w:val="0000FF"/>
                <w:sz w:val="27"/>
                <w:highlight w:val="white"/>
              </w:rPr>
              <w:t>/</w:t>
            </w:r>
            <w:bookmarkEnd w:id="42"/>
            <w:r>
              <w:rPr>
                <w:rFonts w:hint="eastAsia" w:ascii="宋体" w:hAnsi="宋体" w:cs="宋体"/>
                <w:sz w:val="24"/>
                <w:highlight w:val="white"/>
              </w:rPr>
              <w:t>。</w:t>
            </w:r>
          </w:p>
          <w:p w14:paraId="2EF73146">
            <w:pPr>
              <w:adjustRightInd w:val="0"/>
              <w:snapToGrid w:val="0"/>
              <w:spacing w:line="360" w:lineRule="auto"/>
              <w:rPr>
                <w:rFonts w:hint="eastAsia" w:ascii="宋体" w:hAnsi="宋体" w:cs="宋体"/>
                <w:sz w:val="24"/>
              </w:rPr>
            </w:pPr>
            <w:bookmarkStart w:id="43" w:name="EB3b48415f7eae4d32a0c43ddbf1abd022"/>
            <w:r>
              <w:rPr>
                <w:rFonts w:hint="eastAsia" w:ascii="宋体" w:hAnsi="宋体"/>
                <w:color w:val="0000FF"/>
                <w:sz w:val="27"/>
                <w:highlight w:val="white"/>
              </w:rPr>
              <w:t>☑</w:t>
            </w:r>
            <w:bookmarkEnd w:id="43"/>
            <w:r>
              <w:rPr>
                <w:rFonts w:hint="eastAsia" w:ascii="宋体" w:hAnsi="宋体" w:cs="宋体"/>
                <w:sz w:val="24"/>
                <w:highlight w:val="white"/>
              </w:rPr>
              <w:t>名  称：</w:t>
            </w:r>
            <w:bookmarkStart w:id="44" w:name="EBd7bd22348ffd4501bc10c38bbb024046"/>
            <w:r>
              <w:rPr>
                <w:rFonts w:hint="eastAsia" w:ascii="宋体" w:hAnsi="宋体" w:cs="宋体"/>
                <w:color w:val="0000FF"/>
                <w:sz w:val="24"/>
                <w:highlight w:val="white"/>
              </w:rPr>
              <w:t>四川国宇康科技有限责任公司</w:t>
            </w:r>
            <w:bookmarkEnd w:id="44"/>
            <w:r>
              <w:rPr>
                <w:rFonts w:hint="eastAsia" w:ascii="宋体" w:hAnsi="宋体" w:cs="宋体"/>
                <w:bCs/>
                <w:sz w:val="24"/>
                <w:highlight w:val="white"/>
              </w:rPr>
              <w:t>；</w:t>
            </w:r>
          </w:p>
          <w:p w14:paraId="11851DD6">
            <w:pPr>
              <w:adjustRightInd w:val="0"/>
              <w:snapToGrid w:val="0"/>
              <w:spacing w:line="360" w:lineRule="auto"/>
              <w:ind w:firstLine="240" w:firstLineChars="100"/>
              <w:rPr>
                <w:rFonts w:hint="eastAsia" w:ascii="宋体" w:hAnsi="宋体" w:cs="宋体"/>
                <w:sz w:val="24"/>
              </w:rPr>
            </w:pPr>
            <w:r>
              <w:rPr>
                <w:rFonts w:hint="eastAsia" w:ascii="宋体" w:hAnsi="宋体" w:cs="宋体"/>
                <w:sz w:val="24"/>
                <w:highlight w:val="white"/>
              </w:rPr>
              <w:t>地  址：</w:t>
            </w:r>
            <w:bookmarkStart w:id="45" w:name="EBb7aa86db3d434dee8e31a82b92622f94"/>
            <w:r>
              <w:rPr>
                <w:rFonts w:hint="eastAsia" w:ascii="宋体" w:hAnsi="宋体" w:cs="宋体"/>
                <w:color w:val="0000FF"/>
                <w:sz w:val="24"/>
                <w:highlight w:val="white"/>
              </w:rPr>
              <w:t>绵阳市高新区火炬西街北段93号3楼21号</w:t>
            </w:r>
            <w:bookmarkEnd w:id="45"/>
            <w:r>
              <w:rPr>
                <w:rFonts w:hint="eastAsia" w:ascii="宋体" w:hAnsi="宋体" w:cs="宋体"/>
                <w:bCs/>
                <w:sz w:val="24"/>
                <w:highlight w:val="white"/>
              </w:rPr>
              <w:t>；</w:t>
            </w:r>
          </w:p>
          <w:p w14:paraId="421670FD">
            <w:pPr>
              <w:adjustRightInd w:val="0"/>
              <w:snapToGrid w:val="0"/>
              <w:spacing w:line="360" w:lineRule="auto"/>
              <w:ind w:firstLine="240" w:firstLineChars="100"/>
              <w:rPr>
                <w:rFonts w:hint="eastAsia" w:ascii="宋体" w:hAnsi="宋体" w:cs="宋体"/>
                <w:sz w:val="24"/>
              </w:rPr>
            </w:pPr>
            <w:r>
              <w:rPr>
                <w:rFonts w:hint="eastAsia" w:ascii="宋体" w:hAnsi="宋体" w:cs="宋体"/>
                <w:sz w:val="24"/>
                <w:highlight w:val="white"/>
              </w:rPr>
              <w:t>联系人：</w:t>
            </w:r>
            <w:r>
              <w:rPr>
                <w:rFonts w:hint="eastAsia" w:ascii="宋体" w:hAnsi="宋体" w:cs="宋体"/>
                <w:color w:val="0000FF"/>
                <w:sz w:val="24"/>
                <w:highlight w:val="white"/>
                <w:lang w:val="en-US" w:eastAsia="zh-CN"/>
              </w:rPr>
              <w:t>陈先生</w:t>
            </w:r>
            <w:r>
              <w:rPr>
                <w:rFonts w:hint="eastAsia" w:ascii="宋体" w:hAnsi="宋体" w:cs="宋体"/>
                <w:bCs/>
                <w:sz w:val="24"/>
                <w:highlight w:val="white"/>
              </w:rPr>
              <w:t>；</w:t>
            </w:r>
          </w:p>
          <w:p w14:paraId="72F72CA6">
            <w:pPr>
              <w:adjustRightInd w:val="0"/>
              <w:snapToGrid w:val="0"/>
              <w:spacing w:line="360" w:lineRule="auto"/>
              <w:ind w:firstLine="240" w:firstLineChars="100"/>
              <w:rPr>
                <w:rFonts w:hint="eastAsia" w:ascii="宋体" w:hAnsi="宋体" w:cs="宋体"/>
                <w:sz w:val="24"/>
              </w:rPr>
            </w:pPr>
            <w:r>
              <w:rPr>
                <w:rFonts w:hint="eastAsia" w:ascii="宋体" w:hAnsi="宋体" w:cs="宋体"/>
                <w:sz w:val="24"/>
                <w:highlight w:val="white"/>
              </w:rPr>
              <w:t>电  话：</w:t>
            </w:r>
            <w:bookmarkStart w:id="46" w:name="EB268f729ada3f4b609db1059b8407a128"/>
            <w:r>
              <w:rPr>
                <w:rFonts w:hint="eastAsia" w:ascii="宋体" w:hAnsi="宋体" w:cs="宋体"/>
                <w:color w:val="0000FF"/>
                <w:sz w:val="24"/>
                <w:highlight w:val="white"/>
              </w:rPr>
              <w:t>0816-2123213</w:t>
            </w:r>
            <w:bookmarkEnd w:id="46"/>
            <w:r>
              <w:rPr>
                <w:rFonts w:hint="eastAsia" w:ascii="宋体" w:hAnsi="宋体" w:cs="宋体"/>
                <w:sz w:val="24"/>
                <w:highlight w:val="white"/>
              </w:rPr>
              <w:t>。</w:t>
            </w:r>
          </w:p>
        </w:tc>
      </w:tr>
      <w:tr w14:paraId="66F3EA5D">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3D81805">
            <w:pPr>
              <w:spacing w:line="440" w:lineRule="exact"/>
              <w:jc w:val="center"/>
              <w:rPr>
                <w:rFonts w:hint="eastAsia" w:ascii="宋体" w:hAnsi="宋体" w:cs="宋体"/>
                <w:sz w:val="24"/>
              </w:rPr>
            </w:pPr>
            <w:r>
              <w:rPr>
                <w:rFonts w:hint="eastAsia" w:ascii="宋体" w:hAnsi="宋体" w:cs="宋体"/>
                <w:sz w:val="24"/>
                <w:highlight w:val="white"/>
              </w:rPr>
              <w:t>1.1.4</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4E1B734">
            <w:pPr>
              <w:spacing w:line="440" w:lineRule="exact"/>
              <w:jc w:val="center"/>
              <w:rPr>
                <w:rFonts w:hint="eastAsia" w:ascii="宋体" w:hAnsi="宋体" w:cs="宋体"/>
                <w:sz w:val="24"/>
              </w:rPr>
            </w:pPr>
            <w:r>
              <w:rPr>
                <w:rFonts w:hint="eastAsia" w:ascii="宋体" w:hAnsi="宋体" w:cs="宋体"/>
                <w:sz w:val="24"/>
                <w:highlight w:val="white"/>
              </w:rPr>
              <w:t>项目名称</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D5E98E0">
            <w:pPr>
              <w:spacing w:line="440" w:lineRule="exact"/>
              <w:rPr>
                <w:rFonts w:hint="eastAsia" w:ascii="宋体" w:hAnsi="宋体" w:cs="宋体"/>
                <w:sz w:val="24"/>
              </w:rPr>
            </w:pPr>
            <w:r>
              <w:rPr>
                <w:rFonts w:hint="eastAsia" w:ascii="宋体" w:hAnsi="宋体" w:cs="宋体"/>
                <w:bCs/>
                <w:color w:val="0000FF"/>
                <w:sz w:val="24"/>
                <w:highlight w:val="white"/>
                <w:lang w:eastAsia="zh-CN"/>
              </w:rPr>
              <w:t>国产自主可控超高速光模块研发与产业化项目</w:t>
            </w:r>
            <w:r>
              <w:rPr>
                <w:rFonts w:hint="eastAsia" w:ascii="宋体" w:hAnsi="宋体" w:cs="宋体"/>
                <w:bCs/>
                <w:sz w:val="24"/>
                <w:highlight w:val="white"/>
              </w:rPr>
              <w:t>(项目名称）</w:t>
            </w:r>
            <w:r>
              <w:rPr>
                <w:rFonts w:hint="eastAsia" w:ascii="宋体" w:hAnsi="宋体"/>
                <w:sz w:val="24"/>
                <w:highlight w:val="white"/>
              </w:rPr>
              <w:t>设计施工总承包</w:t>
            </w:r>
            <w:bookmarkStart w:id="47" w:name="EB0fb58fdf59684f19aa7c4482b69ed7d4"/>
            <w:r>
              <w:rPr>
                <w:rFonts w:hint="eastAsia" w:ascii="宋体" w:hAnsi="宋体"/>
                <w:color w:val="0000FF"/>
                <w:sz w:val="24"/>
                <w:highlight w:val="white"/>
                <w:lang w:eastAsia="zh-CN"/>
              </w:rPr>
              <w:t>国产自主可控超高速光模块研发与产业化项目</w:t>
            </w:r>
            <w:r>
              <w:rPr>
                <w:rFonts w:hint="eastAsia" w:ascii="宋体" w:hAnsi="宋体"/>
                <w:color w:val="0000FF"/>
                <w:sz w:val="24"/>
                <w:highlight w:val="white"/>
              </w:rPr>
              <w:t>-</w:t>
            </w:r>
            <w:r>
              <w:rPr>
                <w:rFonts w:hint="eastAsia" w:ascii="宋体" w:hAnsi="宋体"/>
                <w:color w:val="0000FF"/>
                <w:sz w:val="24"/>
                <w:highlight w:val="white"/>
                <w:lang w:eastAsia="zh-CN"/>
              </w:rPr>
              <w:t>净化厂房装修</w:t>
            </w:r>
            <w:r>
              <w:rPr>
                <w:rFonts w:hint="eastAsia" w:ascii="宋体" w:hAnsi="宋体"/>
                <w:color w:val="0000FF"/>
                <w:sz w:val="24"/>
                <w:highlight w:val="white"/>
              </w:rPr>
              <w:t>设计施工总承包</w:t>
            </w:r>
            <w:bookmarkEnd w:id="47"/>
            <w:r>
              <w:rPr>
                <w:rFonts w:hint="eastAsia" w:ascii="宋体" w:hAnsi="宋体" w:cs="宋体"/>
                <w:bCs/>
                <w:sz w:val="24"/>
                <w:highlight w:val="white"/>
              </w:rPr>
              <w:t>标段</w:t>
            </w:r>
          </w:p>
        </w:tc>
      </w:tr>
      <w:tr w14:paraId="10F95092">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61491A9">
            <w:pPr>
              <w:spacing w:line="440" w:lineRule="exact"/>
              <w:jc w:val="center"/>
              <w:rPr>
                <w:rFonts w:hint="eastAsia" w:ascii="宋体" w:hAnsi="宋体" w:cs="宋体"/>
                <w:sz w:val="24"/>
              </w:rPr>
            </w:pPr>
            <w:r>
              <w:rPr>
                <w:rFonts w:hint="eastAsia" w:ascii="宋体" w:hAnsi="宋体" w:cs="宋体"/>
                <w:sz w:val="24"/>
                <w:highlight w:val="white"/>
              </w:rPr>
              <w:t>1.1.5</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3810341D">
            <w:pPr>
              <w:spacing w:line="440" w:lineRule="exact"/>
              <w:jc w:val="center"/>
              <w:rPr>
                <w:rFonts w:hint="eastAsia" w:ascii="宋体" w:hAnsi="宋体" w:cs="宋体"/>
                <w:sz w:val="24"/>
              </w:rPr>
            </w:pPr>
            <w:r>
              <w:rPr>
                <w:rFonts w:hint="eastAsia" w:ascii="宋体" w:hAnsi="宋体" w:cs="宋体"/>
                <w:sz w:val="24"/>
                <w:highlight w:val="white"/>
              </w:rPr>
              <w:t>建设地点</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C2D1627">
            <w:pPr>
              <w:spacing w:line="440" w:lineRule="exact"/>
              <w:rPr>
                <w:rFonts w:hint="default" w:ascii="宋体" w:hAnsi="宋体" w:eastAsia="宋体" w:cs="宋体"/>
                <w:sz w:val="24"/>
                <w:highlight w:val="green"/>
                <w:lang w:val="en-US" w:eastAsia="zh-CN"/>
              </w:rPr>
            </w:pPr>
            <w:r>
              <w:rPr>
                <w:rFonts w:hint="eastAsia" w:ascii="宋体" w:hAnsi="宋体" w:cs="宋体"/>
                <w:color w:val="0000FF"/>
                <w:sz w:val="24"/>
                <w:highlight w:val="white"/>
                <w:lang w:val="en-US" w:eastAsia="zh-CN"/>
              </w:rPr>
              <w:t>同招标公告</w:t>
            </w:r>
          </w:p>
        </w:tc>
      </w:tr>
      <w:tr w14:paraId="0CF7324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1B39347">
            <w:pPr>
              <w:spacing w:line="440" w:lineRule="exact"/>
              <w:jc w:val="center"/>
              <w:rPr>
                <w:rFonts w:hint="eastAsia" w:ascii="宋体" w:hAnsi="宋体" w:cs="宋体"/>
                <w:sz w:val="24"/>
              </w:rPr>
            </w:pPr>
            <w:r>
              <w:rPr>
                <w:rFonts w:hint="eastAsia" w:ascii="宋体" w:hAnsi="宋体" w:cs="宋体"/>
                <w:sz w:val="24"/>
                <w:highlight w:val="white"/>
              </w:rPr>
              <w:t>1.2.1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9997F05">
            <w:pPr>
              <w:spacing w:line="440" w:lineRule="exact"/>
              <w:jc w:val="center"/>
              <w:rPr>
                <w:rFonts w:hint="eastAsia" w:ascii="宋体" w:hAnsi="宋体" w:cs="宋体"/>
                <w:sz w:val="24"/>
              </w:rPr>
            </w:pPr>
            <w:r>
              <w:rPr>
                <w:rFonts w:hint="eastAsia" w:ascii="宋体" w:hAnsi="宋体" w:cs="宋体"/>
                <w:sz w:val="24"/>
                <w:highlight w:val="white"/>
              </w:rPr>
              <w:t>资金来源及比例</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ABE7B47">
            <w:pPr>
              <w:spacing w:line="440" w:lineRule="exact"/>
              <w:rPr>
                <w:rFonts w:hint="eastAsia" w:ascii="宋体" w:hAnsi="宋体" w:cs="宋体"/>
                <w:sz w:val="24"/>
                <w:highlight w:val="green"/>
              </w:rPr>
            </w:pPr>
            <w:r>
              <w:rPr>
                <w:rFonts w:hint="eastAsia" w:ascii="宋体" w:hAnsi="宋体" w:cs="宋体"/>
                <w:color w:val="0000FF"/>
                <w:sz w:val="24"/>
                <w:highlight w:val="white"/>
                <w:lang w:val="en-US" w:eastAsia="zh-CN"/>
              </w:rPr>
              <w:t>同招标公告</w:t>
            </w:r>
          </w:p>
        </w:tc>
      </w:tr>
      <w:tr w14:paraId="4D716C85">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4BCE502">
            <w:pPr>
              <w:spacing w:line="440" w:lineRule="exact"/>
              <w:jc w:val="center"/>
              <w:rPr>
                <w:rFonts w:hint="eastAsia" w:ascii="宋体" w:hAnsi="宋体" w:cs="宋体"/>
                <w:sz w:val="24"/>
              </w:rPr>
            </w:pPr>
            <w:r>
              <w:rPr>
                <w:rFonts w:hint="eastAsia" w:ascii="宋体" w:hAnsi="宋体" w:cs="宋体"/>
                <w:sz w:val="24"/>
                <w:highlight w:val="white"/>
              </w:rPr>
              <w:t>1.2.2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AA62301">
            <w:pPr>
              <w:spacing w:line="440" w:lineRule="exact"/>
              <w:jc w:val="center"/>
              <w:rPr>
                <w:rFonts w:hint="eastAsia" w:ascii="宋体" w:hAnsi="宋体" w:cs="宋体"/>
                <w:sz w:val="24"/>
              </w:rPr>
            </w:pPr>
            <w:r>
              <w:rPr>
                <w:rFonts w:hint="eastAsia" w:ascii="宋体" w:hAnsi="宋体" w:cs="宋体"/>
                <w:sz w:val="24"/>
                <w:highlight w:val="white"/>
              </w:rPr>
              <w:t>资金落实情况</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3E096F3">
            <w:pPr>
              <w:spacing w:line="440" w:lineRule="exact"/>
              <w:rPr>
                <w:rFonts w:hint="eastAsia" w:ascii="宋体" w:hAnsi="宋体" w:cs="宋体"/>
                <w:sz w:val="24"/>
                <w:highlight w:val="green"/>
              </w:rPr>
            </w:pPr>
            <w:bookmarkStart w:id="48" w:name="EBd78bd0c7347a44cc97b8aed84d132337"/>
            <w:r>
              <w:rPr>
                <w:rFonts w:hint="eastAsia" w:ascii="宋体" w:hAnsi="宋体" w:cs="宋体"/>
                <w:color w:val="0000FF"/>
                <w:sz w:val="24"/>
                <w:highlight w:val="white"/>
              </w:rPr>
              <w:t>已落实</w:t>
            </w:r>
            <w:bookmarkEnd w:id="48"/>
          </w:p>
        </w:tc>
      </w:tr>
      <w:tr w14:paraId="78012FE4">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E84F6D4">
            <w:pPr>
              <w:spacing w:line="440" w:lineRule="exact"/>
              <w:jc w:val="center"/>
              <w:rPr>
                <w:rFonts w:hint="eastAsia" w:ascii="宋体" w:hAnsi="宋体" w:cs="宋体"/>
                <w:sz w:val="24"/>
              </w:rPr>
            </w:pPr>
            <w:r>
              <w:rPr>
                <w:rFonts w:hint="eastAsia" w:ascii="宋体" w:hAnsi="宋体" w:cs="宋体"/>
                <w:sz w:val="24"/>
                <w:highlight w:val="white"/>
              </w:rPr>
              <w:t>1.3.1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51D0A4ED">
            <w:pPr>
              <w:spacing w:line="440" w:lineRule="exact"/>
              <w:jc w:val="center"/>
              <w:rPr>
                <w:rFonts w:hint="eastAsia" w:ascii="宋体" w:hAnsi="宋体" w:cs="宋体"/>
                <w:sz w:val="24"/>
              </w:rPr>
            </w:pPr>
            <w:r>
              <w:rPr>
                <w:rFonts w:hint="eastAsia" w:ascii="宋体" w:hAnsi="宋体" w:cs="宋体"/>
                <w:sz w:val="24"/>
                <w:highlight w:val="white"/>
              </w:rPr>
              <w:t>招标范围</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AC16E07">
            <w:pPr>
              <w:spacing w:line="440" w:lineRule="exact"/>
              <w:rPr>
                <w:rFonts w:hint="eastAsia" w:ascii="宋体" w:hAnsi="宋体" w:cs="宋体"/>
                <w:sz w:val="24"/>
                <w:highlight w:val="green"/>
              </w:rPr>
            </w:pPr>
            <w:r>
              <w:rPr>
                <w:rFonts w:hint="eastAsia" w:ascii="宋体" w:hAnsi="宋体" w:cs="宋体"/>
                <w:color w:val="0000FF"/>
                <w:sz w:val="24"/>
                <w:highlight w:val="white"/>
                <w:lang w:val="en-US" w:eastAsia="zh-CN"/>
              </w:rPr>
              <w:t>同招标公告</w:t>
            </w:r>
          </w:p>
        </w:tc>
      </w:tr>
      <w:tr w14:paraId="25144E96">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7D84D2E">
            <w:pPr>
              <w:spacing w:line="440" w:lineRule="exact"/>
              <w:jc w:val="center"/>
              <w:rPr>
                <w:rFonts w:hint="eastAsia" w:ascii="宋体" w:hAnsi="宋体" w:cs="宋体"/>
                <w:sz w:val="24"/>
              </w:rPr>
            </w:pPr>
            <w:r>
              <w:rPr>
                <w:rFonts w:hint="eastAsia" w:ascii="宋体" w:hAnsi="宋体" w:cs="宋体"/>
                <w:sz w:val="24"/>
                <w:highlight w:val="white"/>
              </w:rPr>
              <w:t>1.3.2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382FA027">
            <w:pPr>
              <w:spacing w:line="440" w:lineRule="exact"/>
              <w:jc w:val="center"/>
              <w:rPr>
                <w:rFonts w:hint="eastAsia" w:ascii="宋体" w:hAnsi="宋体" w:cs="宋体"/>
                <w:sz w:val="24"/>
              </w:rPr>
            </w:pPr>
            <w:r>
              <w:rPr>
                <w:rFonts w:hint="eastAsia" w:ascii="宋体" w:hAnsi="宋体" w:cs="宋体"/>
                <w:sz w:val="24"/>
                <w:highlight w:val="white"/>
              </w:rPr>
              <w:t>计划工期</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7188034">
            <w:pPr>
              <w:spacing w:line="440" w:lineRule="exact"/>
              <w:rPr>
                <w:rFonts w:hint="eastAsia" w:ascii="宋体" w:hAnsi="宋体" w:cs="宋体"/>
                <w:sz w:val="24"/>
                <w:highlight w:val="green"/>
              </w:rPr>
            </w:pPr>
            <w:r>
              <w:rPr>
                <w:rFonts w:hint="eastAsia" w:ascii="宋体" w:hAnsi="宋体" w:cs="宋体"/>
                <w:color w:val="0000FF"/>
                <w:sz w:val="24"/>
                <w:highlight w:val="white"/>
                <w:lang w:val="en-US" w:eastAsia="zh-CN"/>
              </w:rPr>
              <w:t>同招标公告</w:t>
            </w:r>
          </w:p>
        </w:tc>
      </w:tr>
      <w:tr w14:paraId="1C985894">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8CF6E25">
            <w:pPr>
              <w:spacing w:line="440" w:lineRule="exact"/>
              <w:jc w:val="center"/>
              <w:rPr>
                <w:rFonts w:hint="eastAsia" w:ascii="宋体" w:hAnsi="宋体" w:cs="宋体"/>
                <w:sz w:val="24"/>
              </w:rPr>
            </w:pPr>
            <w:r>
              <w:rPr>
                <w:rFonts w:hint="eastAsia" w:ascii="宋体" w:hAnsi="宋体" w:cs="宋体"/>
                <w:sz w:val="24"/>
                <w:highlight w:val="white"/>
              </w:rPr>
              <w:t>1.3.3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1BFFCE6">
            <w:pPr>
              <w:spacing w:line="440" w:lineRule="exact"/>
              <w:jc w:val="center"/>
              <w:rPr>
                <w:rFonts w:hint="eastAsia" w:ascii="宋体" w:hAnsi="宋体" w:cs="宋体"/>
                <w:sz w:val="24"/>
              </w:rPr>
            </w:pPr>
            <w:r>
              <w:rPr>
                <w:rFonts w:hint="eastAsia" w:ascii="宋体" w:hAnsi="宋体" w:cs="宋体"/>
                <w:sz w:val="24"/>
                <w:highlight w:val="white"/>
              </w:rPr>
              <w:t>质量标准</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1CA0D4BA">
            <w:pPr>
              <w:spacing w:line="440" w:lineRule="exact"/>
              <w:rPr>
                <w:rFonts w:hint="eastAsia" w:ascii="宋体" w:hAnsi="宋体" w:cs="宋体"/>
                <w:sz w:val="24"/>
              </w:rPr>
            </w:pPr>
            <w:r>
              <w:rPr>
                <w:rFonts w:hint="eastAsia" w:ascii="宋体" w:hAnsi="宋体" w:cs="宋体"/>
                <w:sz w:val="24"/>
                <w:highlight w:val="white"/>
              </w:rPr>
              <w:t>设计要求的质量标准：</w:t>
            </w:r>
            <w:bookmarkStart w:id="49" w:name="EB2e52b521f22441a08ae76f5db8ea4a8f"/>
            <w:r>
              <w:rPr>
                <w:rFonts w:hint="eastAsia" w:ascii="宋体" w:hAnsi="宋体" w:cs="宋体"/>
                <w:color w:val="0000FF"/>
                <w:sz w:val="24"/>
                <w:highlight w:val="white"/>
              </w:rPr>
              <w:t>达到国家、省、市及行业相应现行规范要求并通过有关主管部门审查并取得审查报告</w:t>
            </w:r>
            <w:bookmarkEnd w:id="49"/>
          </w:p>
          <w:p w14:paraId="0719C296">
            <w:pPr>
              <w:spacing w:line="440" w:lineRule="exact"/>
              <w:rPr>
                <w:rFonts w:hint="eastAsia" w:ascii="宋体" w:hAnsi="宋体" w:cs="宋体"/>
                <w:sz w:val="24"/>
              </w:rPr>
            </w:pPr>
            <w:r>
              <w:rPr>
                <w:rFonts w:hint="eastAsia" w:ascii="宋体" w:hAnsi="宋体" w:cs="宋体"/>
                <w:sz w:val="24"/>
                <w:highlight w:val="white"/>
              </w:rPr>
              <w:t>施工要求的质量标准：</w:t>
            </w:r>
            <w:bookmarkStart w:id="50" w:name="EB37ea4ea0d64245f3a2033b22860e51d6"/>
            <w:r>
              <w:rPr>
                <w:rFonts w:hint="eastAsia" w:ascii="宋体" w:hAnsi="宋体" w:cs="宋体"/>
                <w:color w:val="0000FF"/>
                <w:sz w:val="24"/>
                <w:highlight w:val="white"/>
              </w:rPr>
              <w:t>符合设计图纸要求和国家、省、市相关法律法规要求及行业颁发的工程质量验收标准，按照国家现行验收标准及相应配套的各专业验收规范，一次验收合格</w:t>
            </w:r>
            <w:bookmarkEnd w:id="50"/>
          </w:p>
        </w:tc>
      </w:tr>
      <w:tr w14:paraId="4D3E36EA">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AB71A96">
            <w:pPr>
              <w:spacing w:line="440" w:lineRule="exact"/>
              <w:jc w:val="center"/>
              <w:rPr>
                <w:rFonts w:hint="eastAsia" w:ascii="宋体" w:hAnsi="宋体" w:cs="宋体"/>
                <w:sz w:val="24"/>
              </w:rPr>
            </w:pPr>
            <w:r>
              <w:rPr>
                <w:rFonts w:hint="eastAsia" w:ascii="宋体" w:hAnsi="宋体" w:cs="宋体"/>
                <w:sz w:val="24"/>
                <w:highlight w:val="white"/>
              </w:rPr>
              <w:t>1.4.1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31769A8">
            <w:pPr>
              <w:spacing w:line="440" w:lineRule="exact"/>
              <w:jc w:val="center"/>
              <w:rPr>
                <w:rFonts w:hint="eastAsia" w:ascii="宋体" w:hAnsi="宋体" w:cs="宋体"/>
                <w:sz w:val="24"/>
              </w:rPr>
            </w:pPr>
            <w:r>
              <w:rPr>
                <w:rFonts w:hint="eastAsia" w:ascii="宋体" w:hAnsi="宋体" w:cs="宋体"/>
                <w:sz w:val="24"/>
                <w:highlight w:val="white"/>
              </w:rPr>
              <w:t>投标人资质条件、能力和信誉</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42181F1">
            <w:pPr>
              <w:spacing w:line="440" w:lineRule="exact"/>
              <w:rPr>
                <w:rFonts w:hint="eastAsia" w:ascii="宋体" w:hAnsi="宋体" w:cs="宋体"/>
                <w:sz w:val="24"/>
              </w:rPr>
            </w:pPr>
            <w:r>
              <w:rPr>
                <w:rFonts w:hint="eastAsia" w:ascii="宋体" w:hAnsi="宋体" w:cs="宋体"/>
                <w:sz w:val="24"/>
                <w:highlight w:val="white"/>
              </w:rPr>
              <w:t>（1）资质条件：同招标公告或投标邀请书；</w:t>
            </w:r>
          </w:p>
          <w:p w14:paraId="673B1A0F">
            <w:pPr>
              <w:spacing w:line="440" w:lineRule="exact"/>
              <w:rPr>
                <w:rFonts w:hint="eastAsia" w:ascii="宋体" w:hAnsi="宋体" w:cs="宋体"/>
                <w:sz w:val="24"/>
              </w:rPr>
            </w:pPr>
            <w:r>
              <w:rPr>
                <w:rFonts w:hint="eastAsia" w:ascii="宋体" w:hAnsi="宋体" w:cs="宋体"/>
                <w:sz w:val="24"/>
                <w:highlight w:val="white"/>
              </w:rPr>
              <w:t>（2）财务要求：</w:t>
            </w:r>
          </w:p>
          <w:p w14:paraId="7FCD2F18">
            <w:pPr>
              <w:spacing w:line="440" w:lineRule="exact"/>
              <w:ind w:firstLine="240" w:firstLineChars="100"/>
              <w:rPr>
                <w:rFonts w:hint="eastAsia" w:ascii="宋体" w:hAnsi="宋体" w:cs="宋体"/>
                <w:sz w:val="24"/>
              </w:rPr>
            </w:pPr>
            <w:bookmarkStart w:id="51" w:name="EB9e0bd68e1d334c13a3b539bb1f49a4ca"/>
            <w:r>
              <w:rPr>
                <w:rFonts w:hint="eastAsia" w:ascii="宋体" w:hAnsi="宋体" w:cs="宋体"/>
                <w:color w:val="0000FF"/>
                <w:sz w:val="24"/>
                <w:highlight w:val="white"/>
              </w:rPr>
              <w:t>□</w:t>
            </w:r>
            <w:bookmarkEnd w:id="51"/>
            <w:r>
              <w:rPr>
                <w:rFonts w:hint="eastAsia" w:ascii="宋体" w:hAnsi="宋体" w:cs="宋体"/>
                <w:sz w:val="24"/>
                <w:highlight w:val="white"/>
              </w:rPr>
              <w:t>近</w:t>
            </w:r>
            <w:bookmarkStart w:id="52" w:name="EBb9f68e8c7bfe4c0db7addd13e4908f19"/>
            <w:bookmarkEnd w:id="52"/>
            <w:r>
              <w:rPr>
                <w:rFonts w:hint="eastAsia" w:ascii="宋体" w:hAnsi="宋体" w:cs="宋体"/>
                <w:sz w:val="24"/>
                <w:highlight w:val="white"/>
              </w:rPr>
              <w:t>年（限定在3年以内）无亏损；</w:t>
            </w:r>
          </w:p>
          <w:p w14:paraId="29789DDE">
            <w:pPr>
              <w:spacing w:line="440" w:lineRule="exact"/>
              <w:ind w:firstLine="240" w:firstLineChars="100"/>
              <w:rPr>
                <w:rFonts w:hint="eastAsia" w:ascii="宋体" w:hAnsi="宋体" w:cs="宋体"/>
                <w:sz w:val="24"/>
              </w:rPr>
            </w:pPr>
            <w:bookmarkStart w:id="53" w:name="EBdad26b9f65804302abde335151114ad3"/>
            <w:r>
              <w:rPr>
                <w:rFonts w:hint="eastAsia" w:ascii="宋体" w:hAnsi="宋体" w:cs="宋体"/>
                <w:color w:val="0000FF"/>
                <w:sz w:val="24"/>
                <w:highlight w:val="white"/>
              </w:rPr>
              <w:t>☑</w:t>
            </w:r>
            <w:bookmarkEnd w:id="53"/>
            <w:r>
              <w:rPr>
                <w:rFonts w:hint="eastAsia" w:ascii="宋体" w:hAnsi="宋体" w:cs="宋体"/>
                <w:sz w:val="24"/>
                <w:highlight w:val="white"/>
              </w:rPr>
              <w:t>无财务要求；</w:t>
            </w:r>
          </w:p>
          <w:p w14:paraId="7471E710">
            <w:pPr>
              <w:spacing w:line="440" w:lineRule="exact"/>
              <w:rPr>
                <w:rFonts w:hint="eastAsia" w:ascii="宋体" w:hAnsi="宋体" w:cs="宋体"/>
                <w:sz w:val="24"/>
              </w:rPr>
            </w:pPr>
            <w:r>
              <w:rPr>
                <w:rFonts w:hint="eastAsia" w:ascii="宋体" w:hAnsi="宋体" w:cs="宋体"/>
                <w:sz w:val="24"/>
                <w:highlight w:val="white"/>
              </w:rPr>
              <w:t>（3）设计业绩要求：同招标公告或投标邀请书；</w:t>
            </w:r>
          </w:p>
          <w:p w14:paraId="3F27F3C2">
            <w:pPr>
              <w:spacing w:line="440" w:lineRule="exact"/>
              <w:rPr>
                <w:rFonts w:hint="eastAsia" w:ascii="宋体" w:hAnsi="宋体" w:cs="宋体"/>
                <w:sz w:val="24"/>
              </w:rPr>
            </w:pPr>
            <w:r>
              <w:rPr>
                <w:rFonts w:hint="eastAsia" w:ascii="宋体" w:hAnsi="宋体" w:cs="宋体"/>
                <w:sz w:val="24"/>
                <w:highlight w:val="white"/>
              </w:rPr>
              <w:t>（4）施工业绩要求：同招标公告或投标邀请书；</w:t>
            </w:r>
          </w:p>
          <w:p w14:paraId="1D119D88">
            <w:pPr>
              <w:spacing w:line="440" w:lineRule="exact"/>
              <w:rPr>
                <w:rFonts w:hint="eastAsia" w:ascii="宋体" w:hAnsi="宋体" w:cs="宋体"/>
                <w:sz w:val="24"/>
              </w:rPr>
            </w:pPr>
            <w:r>
              <w:rPr>
                <w:rFonts w:hint="eastAsia" w:ascii="宋体" w:hAnsi="宋体" w:cs="宋体"/>
                <w:sz w:val="24"/>
                <w:highlight w:val="white"/>
              </w:rPr>
              <w:t>（5）信誉要求：不存在投标人须知第1.4.3项规定的的限制投标的情形</w:t>
            </w:r>
            <w:r>
              <w:rPr>
                <w:rFonts w:hint="eastAsia" w:ascii="宋体" w:hAnsi="宋体"/>
                <w:sz w:val="24"/>
                <w:highlight w:val="white"/>
              </w:rPr>
              <w:t>；</w:t>
            </w:r>
          </w:p>
          <w:p w14:paraId="6F5BC827">
            <w:pPr>
              <w:spacing w:line="440" w:lineRule="exact"/>
              <w:rPr>
                <w:rFonts w:hint="eastAsia" w:ascii="宋体" w:hAnsi="宋体" w:cs="宋体"/>
                <w:sz w:val="24"/>
              </w:rPr>
            </w:pPr>
            <w:r>
              <w:rPr>
                <w:rFonts w:hint="eastAsia" w:ascii="宋体" w:hAnsi="宋体" w:cs="宋体"/>
                <w:sz w:val="24"/>
                <w:highlight w:val="white"/>
              </w:rPr>
              <w:t>（6）项目经理的资格要求：同招标公告或投标邀请书；</w:t>
            </w:r>
          </w:p>
          <w:p w14:paraId="69759BDB">
            <w:pPr>
              <w:spacing w:line="440" w:lineRule="exact"/>
              <w:rPr>
                <w:rFonts w:hint="eastAsia" w:ascii="宋体" w:hAnsi="宋体" w:cs="宋体"/>
                <w:sz w:val="24"/>
              </w:rPr>
            </w:pPr>
            <w:r>
              <w:rPr>
                <w:rFonts w:hint="eastAsia" w:ascii="宋体" w:hAnsi="宋体" w:cs="宋体"/>
                <w:sz w:val="24"/>
                <w:highlight w:val="white"/>
              </w:rPr>
              <w:t>（7）设计负责人的资格要求：同招标公告或投标邀请书；</w:t>
            </w:r>
          </w:p>
          <w:p w14:paraId="5F2EB4F5">
            <w:pPr>
              <w:spacing w:line="440" w:lineRule="exact"/>
              <w:rPr>
                <w:rFonts w:hint="eastAsia" w:ascii="宋体" w:hAnsi="宋体" w:cs="宋体"/>
                <w:sz w:val="24"/>
              </w:rPr>
            </w:pPr>
            <w:r>
              <w:rPr>
                <w:rFonts w:hint="eastAsia" w:ascii="宋体" w:hAnsi="宋体" w:cs="宋体"/>
                <w:sz w:val="24"/>
                <w:highlight w:val="white"/>
              </w:rPr>
              <w:t>（8）施工负责人的资格要求：同招标公告或投标邀请书；</w:t>
            </w:r>
          </w:p>
          <w:p w14:paraId="48A2928D">
            <w:pPr>
              <w:spacing w:line="440" w:lineRule="exact"/>
              <w:rPr>
                <w:rFonts w:hint="eastAsia" w:ascii="宋体" w:hAnsi="宋体" w:cs="宋体"/>
                <w:sz w:val="24"/>
              </w:rPr>
            </w:pPr>
            <w:r>
              <w:rPr>
                <w:rFonts w:hint="eastAsia" w:ascii="宋体" w:hAnsi="宋体" w:cs="宋体"/>
                <w:sz w:val="24"/>
                <w:highlight w:val="white"/>
              </w:rPr>
              <w:t>（9）具备有效的安全生产许可证（园林绿化、电梯安装等不实行安全生产许可的除外）；</w:t>
            </w:r>
          </w:p>
          <w:p w14:paraId="5F5895B9">
            <w:pPr>
              <w:spacing w:line="440" w:lineRule="exact"/>
              <w:rPr>
                <w:rFonts w:hint="eastAsia" w:ascii="宋体" w:hAnsi="宋体" w:cs="宋体"/>
                <w:sz w:val="24"/>
              </w:rPr>
            </w:pPr>
            <w:r>
              <w:rPr>
                <w:rFonts w:hint="eastAsia" w:ascii="宋体" w:hAnsi="宋体" w:cs="宋体"/>
                <w:sz w:val="24"/>
                <w:highlight w:val="white"/>
              </w:rPr>
              <w:t>（10）其他要求（多项选择）：</w:t>
            </w:r>
          </w:p>
          <w:p w14:paraId="6C0E4124">
            <w:pPr>
              <w:spacing w:line="440" w:lineRule="exact"/>
              <w:rPr>
                <w:rFonts w:hint="eastAsia" w:ascii="宋体" w:hAnsi="宋体" w:cs="宋体"/>
                <w:sz w:val="24"/>
                <w:highlight w:val="green"/>
              </w:rPr>
            </w:pPr>
            <w:r>
              <w:rPr>
                <w:rFonts w:hint="eastAsia" w:ascii="宋体" w:hAnsi="宋体" w:cs="宋体"/>
                <w:color w:val="0000FF"/>
                <w:sz w:val="24"/>
                <w:highlight w:val="white"/>
                <w:lang w:eastAsia="zh-CN"/>
              </w:rPr>
              <w:t>□</w:t>
            </w:r>
            <w:r>
              <w:rPr>
                <w:rFonts w:hint="eastAsia" w:ascii="宋体" w:hAnsi="宋体" w:cs="宋体"/>
                <w:sz w:val="24"/>
                <w:highlight w:val="white"/>
              </w:rPr>
              <w:t>本次招标范围中施工部分的工作仅面向中小企业发包（其中属于大企业的分支机构、存在控股股东为大企业、与大企业的负责人为同一人的情形的企业均不属于中小企业。若为联合体投标的，本项目联合体协议书中职责分工为承揽施工工作的所有单位均应属于中小企业）。具体标准以《工业和信息化部、国家统计局、国家发展和改革委员会、财政部关于印发中小企业划型标准规定的通知》（工信部联企业〔2011〕300号）中的“建筑业”划型标准为准，投标人应提供中小企业声明函。（除技术复杂、存在特殊要求外，我省依法必须招标的国家投资工程，施工部分招标控制价在5000万元以下的，应勾选此项。</w:t>
            </w:r>
          </w:p>
          <w:p w14:paraId="087913BA">
            <w:pPr>
              <w:rPr>
                <w:rFonts w:hint="eastAsia"/>
                <w:sz w:val="24"/>
                <w:szCs w:val="24"/>
              </w:rPr>
            </w:pPr>
            <w:bookmarkStart w:id="54" w:name="EB26043d9729694856bca21f832a136261"/>
            <w:r>
              <w:rPr>
                <w:rFonts w:hint="eastAsia"/>
                <w:color w:val="0000FF"/>
                <w:sz w:val="24"/>
                <w:szCs w:val="24"/>
                <w:highlight w:val="white"/>
              </w:rPr>
              <w:t>□</w:t>
            </w:r>
            <w:bookmarkEnd w:id="54"/>
            <w:bookmarkStart w:id="55" w:name="EBa2a34be5f1ba47e28d00eeb2f9fcbefc"/>
            <w:r>
              <w:rPr>
                <w:rFonts w:hint="eastAsia"/>
                <w:color w:val="0000FF"/>
                <w:sz w:val="24"/>
                <w:szCs w:val="24"/>
                <w:highlight w:val="white"/>
              </w:rPr>
              <w:t>/</w:t>
            </w:r>
            <w:bookmarkEnd w:id="55"/>
            <w:r>
              <w:rPr>
                <w:rFonts w:hint="eastAsia"/>
                <w:sz w:val="24"/>
                <w:szCs w:val="24"/>
                <w:highlight w:val="white"/>
              </w:rPr>
              <w:t>。</w:t>
            </w:r>
          </w:p>
          <w:p w14:paraId="3043330E">
            <w:pPr>
              <w:spacing w:line="360" w:lineRule="auto"/>
              <w:rPr>
                <w:rFonts w:hint="eastAsia" w:ascii="宋体" w:hAnsi="宋体" w:cs="宋体"/>
                <w:sz w:val="24"/>
              </w:rPr>
            </w:pPr>
            <w:r>
              <w:rPr>
                <w:rFonts w:hint="eastAsia" w:ascii="宋体" w:hAnsi="宋体" w:cs="宋体"/>
                <w:sz w:val="24"/>
                <w:highlight w:val="white"/>
              </w:rPr>
              <w:t>注：（1）招标人在“投标人资质条件、能力和信誉”要求中，除1.4.1已列入的外，招标人不得脱离招标项目的具体特点和实际需要，随意和盲目地设定投标人要求，不得设定与招标项目具体特点和实际需要不相适应的资质资格、技术、商务条件或者业绩、奖项要求，不得设定企业股东背景、年平均承接项目数量或者金额、从业人员、纳税额、营业场所面积等规模条件，不得设定超过项目实际需要的企业注册资本、资产总额、净资产规模、营业收入、利润、授信额度等财务指标，不得设定与招标项目实际需要不相适应或者与合同履行无关的资质、人员资格等，不得设定特定行政区域或者特定行业的业绩、奖项，不得设定投标人在本地注册设立子公司、分公司、分支机构，在本地拥有一定办公面积，在本地缴纳社会保险等，不得限定或者指定特定的专利、商标、品牌、原产地或者供应商，不得限定潜在投标人或者投标人所有制形式或者组织形式，不得设定国家已经明令取消的资质资格、非国家法定的资格，不得设定政府部门、行业协会商会或者其他机构对投标人作出的荣誉奖励和慈善公益证明等，不得设定国家职业资格目录中准入类职业资格以外的人员资格，不得设定要求投标人提供材料供应商授权书等，不得将施工员、质量员、安全员等现场专业管理人员配备情况列入招标文件中投标人响应承诺事项，否则属于以不合理条件限制、排斥潜在投标人或者投标人。</w:t>
            </w:r>
          </w:p>
          <w:p w14:paraId="669D58F6">
            <w:pPr>
              <w:spacing w:line="440" w:lineRule="exact"/>
              <w:rPr>
                <w:rFonts w:hint="eastAsia" w:ascii="宋体" w:hAnsi="宋体" w:cs="宋体"/>
                <w:sz w:val="24"/>
              </w:rPr>
            </w:pPr>
            <w:r>
              <w:rPr>
                <w:rFonts w:hint="eastAsia" w:ascii="宋体" w:hAnsi="宋体" w:cs="宋体"/>
                <w:sz w:val="24"/>
                <w:highlight w:val="white"/>
              </w:rPr>
              <w:t>（2）招标人按照《住房和城乡建设部关于印发建设工程企业资质管理制度改革方案的通知》（建市〔2021〕26号）、《建筑业企业资质标准（2022年版）》及《四川省住房和城乡建设厅关于延长建设工程企业资质有效期的通知》（川建审发〔2023〕41号）及 配套规定确定对投标人的资质等级要求。</w:t>
            </w:r>
          </w:p>
          <w:p w14:paraId="12DA04B9">
            <w:pPr>
              <w:spacing w:line="360" w:lineRule="auto"/>
              <w:rPr>
                <w:rFonts w:hint="eastAsia" w:ascii="宋体" w:hAnsi="宋体"/>
                <w:sz w:val="24"/>
              </w:rPr>
            </w:pPr>
            <w:r>
              <w:rPr>
                <w:rFonts w:hint="eastAsia" w:ascii="宋体" w:hAnsi="宋体"/>
                <w:sz w:val="24"/>
                <w:highlight w:val="white"/>
              </w:rPr>
              <w:t>（3）不具备相应资质或超越资质等级取得的业绩，不作为有效业绩认定。</w:t>
            </w:r>
          </w:p>
          <w:p w14:paraId="03F8CF6C">
            <w:pPr>
              <w:spacing w:line="440" w:lineRule="exact"/>
              <w:rPr>
                <w:rFonts w:hint="eastAsia" w:ascii="宋体" w:hAnsi="宋体" w:cs="宋体"/>
                <w:sz w:val="24"/>
              </w:rPr>
            </w:pPr>
            <w:r>
              <w:rPr>
                <w:rFonts w:hint="eastAsia" w:ascii="宋体" w:hAnsi="宋体"/>
                <w:sz w:val="24"/>
                <w:highlight w:val="white"/>
              </w:rPr>
              <w:t>（4）</w:t>
            </w:r>
            <w:r>
              <w:rPr>
                <w:rFonts w:hint="eastAsia" w:ascii="宋体" w:hAnsi="宋体" w:cs="宋体"/>
                <w:sz w:val="24"/>
                <w:highlight w:val="white"/>
              </w:rPr>
              <w:t>重组、分立后的企业，其重组、分立前承接的工程项目不作为有效业绩认定；合并后的新企业，原企业在合并前承接的工程项目，提供了企业合并相关证明材料的，作为有效业绩认定</w:t>
            </w:r>
            <w:r>
              <w:rPr>
                <w:rFonts w:hint="eastAsia" w:ascii="宋体" w:hAnsi="宋体"/>
                <w:sz w:val="24"/>
                <w:highlight w:val="white"/>
              </w:rPr>
              <w:t>。</w:t>
            </w:r>
          </w:p>
        </w:tc>
      </w:tr>
      <w:tr w14:paraId="37B3A077">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A4DD286">
            <w:pPr>
              <w:spacing w:line="440" w:lineRule="exact"/>
              <w:jc w:val="center"/>
              <w:rPr>
                <w:rFonts w:hint="eastAsia" w:ascii="宋体" w:hAnsi="宋体" w:cs="宋体"/>
                <w:sz w:val="24"/>
              </w:rPr>
            </w:pPr>
            <w:r>
              <w:rPr>
                <w:rFonts w:hint="eastAsia" w:ascii="宋体" w:hAnsi="宋体" w:cs="宋体"/>
                <w:sz w:val="24"/>
                <w:highlight w:val="white"/>
              </w:rPr>
              <w:t>1.4.2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6A1FA89">
            <w:pPr>
              <w:spacing w:line="440" w:lineRule="exact"/>
              <w:jc w:val="center"/>
              <w:rPr>
                <w:rFonts w:hint="eastAsia" w:ascii="宋体" w:hAnsi="宋体" w:cs="宋体"/>
                <w:sz w:val="24"/>
              </w:rPr>
            </w:pPr>
            <w:r>
              <w:rPr>
                <w:rFonts w:hint="eastAsia" w:ascii="宋体" w:hAnsi="宋体" w:cs="宋体"/>
                <w:sz w:val="24"/>
                <w:highlight w:val="white"/>
              </w:rPr>
              <w:t>是否接受联合体投标</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911CFB6">
            <w:pPr>
              <w:adjustRightInd w:val="0"/>
              <w:snapToGrid w:val="0"/>
              <w:spacing w:line="360" w:lineRule="auto"/>
              <w:rPr>
                <w:rFonts w:hint="eastAsia" w:ascii="宋体" w:hAnsi="宋体" w:cs="宋体"/>
                <w:b/>
                <w:sz w:val="24"/>
                <w:u w:val="single"/>
              </w:rPr>
            </w:pPr>
            <w:r>
              <w:rPr>
                <w:rFonts w:hint="eastAsia" w:ascii="宋体" w:hAnsi="宋体" w:cs="宋体"/>
                <w:sz w:val="24"/>
                <w:highlight w:val="white"/>
              </w:rPr>
              <w:t>接受，</w:t>
            </w:r>
            <w:r>
              <w:rPr>
                <w:rFonts w:hint="eastAsia" w:ascii="宋体" w:hAnsi="宋体"/>
                <w:sz w:val="24"/>
                <w:highlight w:val="white"/>
              </w:rPr>
              <w:t>联合体投标的，联合体牵头人应为</w:t>
            </w:r>
            <w:bookmarkStart w:id="56" w:name="EBc7605220944146a38719b061fed2d29d"/>
            <w:r>
              <w:rPr>
                <w:rFonts w:hint="eastAsia" w:ascii="宋体" w:hAnsi="宋体" w:cs="宋体"/>
                <w:color w:val="0000FF"/>
                <w:sz w:val="24"/>
                <w:highlight w:val="white"/>
              </w:rPr>
              <w:t>□</w:t>
            </w:r>
            <w:bookmarkEnd w:id="56"/>
            <w:r>
              <w:rPr>
                <w:rFonts w:hint="eastAsia" w:ascii="宋体" w:hAnsi="宋体"/>
                <w:sz w:val="24"/>
                <w:highlight w:val="white"/>
              </w:rPr>
              <w:t>设计单位</w:t>
            </w:r>
            <w:r>
              <w:rPr>
                <w:rFonts w:hint="eastAsia" w:ascii="宋体" w:hAnsi="宋体" w:cs="宋体"/>
                <w:color w:val="0000FF"/>
                <w:sz w:val="24"/>
                <w:highlight w:val="white"/>
                <w:lang w:eastAsia="zh-CN"/>
              </w:rPr>
              <w:t>☑</w:t>
            </w:r>
            <w:r>
              <w:rPr>
                <w:rFonts w:hint="eastAsia" w:ascii="宋体" w:hAnsi="宋体" w:cs="宋体"/>
                <w:sz w:val="24"/>
                <w:highlight w:val="white"/>
              </w:rPr>
              <w:t>施工单位</w:t>
            </w:r>
            <w:r>
              <w:rPr>
                <w:rFonts w:hint="eastAsia" w:ascii="宋体" w:hAnsi="宋体"/>
                <w:sz w:val="24"/>
                <w:highlight w:val="white"/>
              </w:rPr>
              <w:t>，同时满足下列要求：</w:t>
            </w:r>
            <w:bookmarkStart w:id="57" w:name="EB7754af9fb39c493486b2740104f1eed6"/>
            <w:r>
              <w:rPr>
                <w:rFonts w:hint="eastAsia" w:ascii="宋体" w:hAnsi="宋体" w:cs="宋体"/>
                <w:color w:val="0000FF"/>
                <w:sz w:val="24"/>
                <w:highlight w:val="white"/>
                <w:lang w:val="en-US" w:eastAsia="zh-CN"/>
              </w:rPr>
              <w:t>同招标公告</w:t>
            </w:r>
            <w:r>
              <w:rPr>
                <w:rFonts w:hint="eastAsia" w:ascii="宋体" w:hAnsi="宋体"/>
                <w:color w:val="0000FF"/>
                <w:sz w:val="24"/>
                <w:highlight w:val="white"/>
              </w:rPr>
              <w:t>。</w:t>
            </w:r>
            <w:bookmarkEnd w:id="57"/>
          </w:p>
          <w:p w14:paraId="410453C4">
            <w:pPr>
              <w:adjustRightInd w:val="0"/>
              <w:snapToGrid w:val="0"/>
              <w:spacing w:line="360" w:lineRule="auto"/>
              <w:rPr>
                <w:rFonts w:hint="eastAsia" w:ascii="宋体" w:hAnsi="宋体" w:cs="宋体"/>
                <w:sz w:val="24"/>
              </w:rPr>
            </w:pPr>
            <w:r>
              <w:rPr>
                <w:rFonts w:hint="eastAsia" w:ascii="宋体" w:hAnsi="宋体" w:cs="宋体"/>
                <w:sz w:val="24"/>
                <w:highlight w:val="white"/>
              </w:rPr>
              <w:t>（1）联合体资质应符合法律法规的规定，并按照联合体协议约定的职责分工予以认定。</w:t>
            </w:r>
          </w:p>
          <w:p w14:paraId="4CF47BEC">
            <w:pPr>
              <w:spacing w:line="360" w:lineRule="auto"/>
              <w:rPr>
                <w:rFonts w:hint="eastAsia" w:ascii="宋体" w:hAnsi="宋体" w:cs="宋体"/>
                <w:sz w:val="24"/>
              </w:rPr>
            </w:pPr>
            <w:r>
              <w:rPr>
                <w:rFonts w:hint="eastAsia" w:ascii="宋体" w:hAnsi="宋体" w:cs="宋体"/>
                <w:sz w:val="24"/>
                <w:highlight w:val="white"/>
              </w:rPr>
              <w:t>（2）联合体投标，应由联合体牵头人获取招标文件和提交投标保证金，在制作数据电文形式投标文件时，投标人名称应填写联合体牵头人名称。如未按要求进行投标，导致投标文件无法读取，由投标人自行负责。</w:t>
            </w:r>
          </w:p>
        </w:tc>
      </w:tr>
      <w:tr w14:paraId="48698909">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64D2CDE8">
            <w:pPr>
              <w:spacing w:line="440" w:lineRule="exact"/>
              <w:jc w:val="center"/>
              <w:rPr>
                <w:rFonts w:hint="eastAsia" w:ascii="宋体" w:hAnsi="宋体" w:cs="宋体"/>
                <w:sz w:val="24"/>
              </w:rPr>
            </w:pPr>
            <w:r>
              <w:rPr>
                <w:rFonts w:hint="eastAsia" w:ascii="宋体" w:hAnsi="宋体" w:cs="宋体"/>
                <w:sz w:val="24"/>
                <w:highlight w:val="white"/>
              </w:rPr>
              <w:t>1.4.3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D0493D4">
            <w:pPr>
              <w:spacing w:line="440" w:lineRule="exact"/>
              <w:jc w:val="center"/>
              <w:rPr>
                <w:rFonts w:hint="eastAsia" w:ascii="宋体" w:hAnsi="宋体" w:cs="宋体"/>
                <w:sz w:val="24"/>
              </w:rPr>
            </w:pPr>
            <w:r>
              <w:rPr>
                <w:rFonts w:hint="eastAsia" w:ascii="宋体" w:hAnsi="宋体"/>
                <w:sz w:val="24"/>
                <w:highlight w:val="white"/>
              </w:rPr>
              <w:t>限制投标的情形</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A6C4626">
            <w:pPr>
              <w:spacing w:line="360" w:lineRule="auto"/>
              <w:rPr>
                <w:rFonts w:hint="eastAsia" w:ascii="宋体" w:hAnsi="宋体" w:cs="宋体"/>
                <w:sz w:val="24"/>
              </w:rPr>
            </w:pPr>
            <w:r>
              <w:rPr>
                <w:rFonts w:hint="eastAsia" w:ascii="宋体" w:hAnsi="宋体" w:cs="宋体"/>
                <w:sz w:val="24"/>
                <w:highlight w:val="white"/>
              </w:rPr>
              <w:t>除投标人不得存在的1</w:t>
            </w:r>
            <w:r>
              <w:rPr>
                <w:rFonts w:ascii="宋体" w:hAnsi="宋体" w:cs="宋体"/>
                <w:sz w:val="24"/>
                <w:highlight w:val="white"/>
              </w:rPr>
              <w:t>2</w:t>
            </w:r>
            <w:r>
              <w:rPr>
                <w:rFonts w:hint="eastAsia" w:ascii="宋体" w:hAnsi="宋体" w:cs="宋体"/>
                <w:sz w:val="24"/>
                <w:highlight w:val="white"/>
              </w:rPr>
              <w:t>种情形之一外，投标人也不得存在下列情形：</w:t>
            </w:r>
          </w:p>
          <w:p w14:paraId="430B2474">
            <w:pPr>
              <w:spacing w:line="360" w:lineRule="auto"/>
              <w:rPr>
                <w:rFonts w:hint="eastAsia" w:ascii="宋体" w:hAnsi="宋体" w:eastAsia="仿宋" w:cs="宋体"/>
                <w:sz w:val="24"/>
              </w:rPr>
            </w:pPr>
            <w:r>
              <w:rPr>
                <w:rFonts w:hint="eastAsia" w:ascii="宋体" w:hAnsi="宋体" w:cs="宋体"/>
                <w:sz w:val="24"/>
                <w:highlight w:val="white"/>
              </w:rPr>
              <w:t>（13）为本项目项目管理单位、造价咨询单位的；</w:t>
            </w:r>
          </w:p>
          <w:p w14:paraId="4383DE17">
            <w:pPr>
              <w:spacing w:line="360" w:lineRule="auto"/>
              <w:rPr>
                <w:rFonts w:ascii="宋体" w:hAnsi="宋体"/>
                <w:sz w:val="24"/>
              </w:rPr>
            </w:pPr>
            <w:r>
              <w:rPr>
                <w:rFonts w:hint="eastAsia" w:ascii="宋体" w:hAnsi="宋体"/>
                <w:sz w:val="24"/>
                <w:highlight w:val="white"/>
              </w:rPr>
              <w:t>（14）与招标人存在利害关系且可能影响招标公正性的；</w:t>
            </w:r>
          </w:p>
          <w:p w14:paraId="3928FD48">
            <w:pPr>
              <w:spacing w:line="360" w:lineRule="auto"/>
              <w:rPr>
                <w:rFonts w:ascii="宋体" w:hAnsi="宋体" w:cs="宋体"/>
                <w:sz w:val="24"/>
              </w:rPr>
            </w:pPr>
            <w:r>
              <w:rPr>
                <w:rFonts w:hint="eastAsia" w:ascii="宋体" w:hAnsi="宋体" w:cs="宋体"/>
                <w:sz w:val="24"/>
                <w:highlight w:val="white"/>
              </w:rPr>
              <w:t>（</w:t>
            </w:r>
            <w:r>
              <w:rPr>
                <w:rFonts w:ascii="宋体" w:hAnsi="宋体" w:cs="宋体"/>
                <w:sz w:val="24"/>
                <w:highlight w:val="white"/>
              </w:rPr>
              <w:t>1</w:t>
            </w:r>
            <w:r>
              <w:rPr>
                <w:rFonts w:hint="eastAsia" w:ascii="宋体" w:hAnsi="宋体" w:cs="宋体"/>
                <w:sz w:val="24"/>
                <w:highlight w:val="white"/>
              </w:rPr>
              <w:t>5</w:t>
            </w:r>
            <w:r>
              <w:rPr>
                <w:rFonts w:ascii="宋体" w:hAnsi="宋体" w:cs="宋体"/>
                <w:sz w:val="24"/>
                <w:highlight w:val="white"/>
              </w:rPr>
              <w:t>）在</w:t>
            </w:r>
            <w:r>
              <w:rPr>
                <w:rFonts w:hint="eastAsia" w:ascii="宋体" w:hAnsi="宋体" w:cs="宋体"/>
                <w:sz w:val="24"/>
                <w:highlight w:val="white"/>
              </w:rPr>
              <w:t>最</w:t>
            </w:r>
            <w:r>
              <w:rPr>
                <w:rFonts w:ascii="宋体" w:hAnsi="宋体" w:cs="宋体"/>
                <w:sz w:val="24"/>
                <w:highlight w:val="white"/>
              </w:rPr>
              <w:t>近三年内投标人或其法定代表人、</w:t>
            </w:r>
            <w:r>
              <w:rPr>
                <w:rFonts w:hint="eastAsia" w:ascii="宋体" w:hAnsi="宋体" w:cs="宋体"/>
                <w:sz w:val="24"/>
                <w:highlight w:val="white"/>
              </w:rPr>
              <w:t>拟委任的项目经理有行贿犯罪行为的；</w:t>
            </w:r>
          </w:p>
          <w:p w14:paraId="6DEED800">
            <w:pPr>
              <w:spacing w:line="360" w:lineRule="auto"/>
              <w:rPr>
                <w:rFonts w:hint="eastAsia" w:ascii="宋体" w:hAnsi="宋体" w:cs="宋体"/>
                <w:sz w:val="24"/>
              </w:rPr>
            </w:pPr>
            <w:r>
              <w:rPr>
                <w:rFonts w:hint="eastAsia" w:ascii="宋体" w:hAnsi="宋体" w:cs="宋体"/>
                <w:sz w:val="24"/>
                <w:highlight w:val="white"/>
              </w:rPr>
              <w:t>（16）</w:t>
            </w:r>
            <w:r>
              <w:rPr>
                <w:rFonts w:ascii="宋体" w:hAnsi="宋体" w:cs="宋体"/>
                <w:sz w:val="24"/>
                <w:highlight w:val="white"/>
              </w:rPr>
              <w:t>在</w:t>
            </w:r>
            <w:r>
              <w:rPr>
                <w:rFonts w:hint="eastAsia" w:ascii="宋体" w:hAnsi="宋体" w:cs="宋体"/>
                <w:sz w:val="24"/>
                <w:highlight w:val="white"/>
              </w:rPr>
              <w:t>最</w:t>
            </w:r>
            <w:r>
              <w:rPr>
                <w:rFonts w:ascii="宋体" w:hAnsi="宋体" w:cs="宋体"/>
                <w:sz w:val="24"/>
                <w:highlight w:val="white"/>
              </w:rPr>
              <w:t>近</w:t>
            </w:r>
            <w:r>
              <w:rPr>
                <w:rFonts w:hint="eastAsia" w:ascii="宋体" w:hAnsi="宋体" w:cs="宋体"/>
                <w:sz w:val="24"/>
                <w:highlight w:val="white"/>
              </w:rPr>
              <w:t>一</w:t>
            </w:r>
            <w:r>
              <w:rPr>
                <w:rFonts w:ascii="宋体" w:hAnsi="宋体" w:cs="宋体"/>
                <w:sz w:val="24"/>
                <w:highlight w:val="white"/>
              </w:rPr>
              <w:t>年内</w:t>
            </w:r>
            <w:r>
              <w:rPr>
                <w:rFonts w:hint="eastAsia" w:ascii="宋体" w:hAnsi="宋体" w:cs="宋体"/>
                <w:sz w:val="24"/>
                <w:highlight w:val="white"/>
              </w:rPr>
              <w:t>投标人拟委任的施工负责人因违反《</w:t>
            </w:r>
            <w:r>
              <w:rPr>
                <w:rFonts w:ascii="宋体" w:hAnsi="宋体" w:cs="宋体"/>
                <w:sz w:val="24"/>
                <w:highlight w:val="white"/>
              </w:rPr>
              <w:t>注册建造师管理规定</w:t>
            </w:r>
            <w:r>
              <w:rPr>
                <w:rFonts w:hint="eastAsia" w:ascii="宋体" w:hAnsi="宋体" w:cs="宋体"/>
                <w:sz w:val="24"/>
                <w:highlight w:val="white"/>
              </w:rPr>
              <w:t>》被</w:t>
            </w:r>
            <w:r>
              <w:rPr>
                <w:rFonts w:ascii="宋体" w:hAnsi="宋体" w:cs="宋体"/>
                <w:sz w:val="24"/>
                <w:highlight w:val="white"/>
              </w:rPr>
              <w:t>建设主管部门或者其他有关部门</w:t>
            </w:r>
            <w:r>
              <w:rPr>
                <w:rFonts w:hint="eastAsia" w:ascii="宋体" w:hAnsi="宋体" w:cs="宋体"/>
                <w:sz w:val="24"/>
                <w:highlight w:val="white"/>
              </w:rPr>
              <w:t>行政处罚的；</w:t>
            </w:r>
          </w:p>
          <w:p w14:paraId="70EE4F27">
            <w:pPr>
              <w:spacing w:line="360" w:lineRule="auto"/>
              <w:rPr>
                <w:rFonts w:hint="eastAsia" w:ascii="宋体" w:hAnsi="宋体" w:cs="宋体"/>
                <w:sz w:val="24"/>
              </w:rPr>
            </w:pPr>
            <w:r>
              <w:rPr>
                <w:rFonts w:hint="eastAsia" w:ascii="宋体" w:hAnsi="宋体" w:cs="宋体"/>
                <w:sz w:val="24"/>
                <w:highlight w:val="white"/>
              </w:rPr>
              <w:t>（17）拟任项目经理在参加本项目投标时（指提交投标文件截止时间），在其他合同履行期间（合同履行期间是指从工程项目签订承包合同之日起至工程项目验收合格之日止的时间)的工程项目中担任项目经理或施工负责人的（</w:t>
            </w:r>
            <w:r>
              <w:rPr>
                <w:rFonts w:hint="eastAsia" w:ascii="宋体" w:hAnsi="宋体" w:cs="宋体"/>
                <w:color w:val="0000FF"/>
                <w:sz w:val="24"/>
                <w:highlight w:val="white"/>
                <w:lang w:eastAsia="zh-CN"/>
              </w:rPr>
              <w:t>☑</w:t>
            </w:r>
            <w:r>
              <w:rPr>
                <w:rFonts w:hint="eastAsia" w:ascii="宋体" w:hAnsi="宋体" w:cs="宋体"/>
                <w:sz w:val="24"/>
                <w:highlight w:val="white"/>
              </w:rPr>
              <w:t>在本项目其他标段担任项目经理的除外）。</w:t>
            </w:r>
          </w:p>
          <w:p w14:paraId="623EA80C">
            <w:pPr>
              <w:spacing w:line="360" w:lineRule="auto"/>
              <w:rPr>
                <w:rFonts w:ascii="宋体" w:hAnsi="宋体"/>
                <w:sz w:val="24"/>
              </w:rPr>
            </w:pPr>
            <w:r>
              <w:rPr>
                <w:rFonts w:hint="eastAsia" w:ascii="宋体" w:hAnsi="宋体"/>
                <w:color w:val="0000FF"/>
                <w:sz w:val="24"/>
                <w:highlight w:val="white"/>
                <w:lang w:eastAsia="zh-CN"/>
              </w:rPr>
              <w:t>☑</w:t>
            </w:r>
            <w:r>
              <w:rPr>
                <w:rFonts w:hint="eastAsia" w:ascii="宋体" w:hAnsi="宋体"/>
                <w:sz w:val="24"/>
                <w:highlight w:val="white"/>
              </w:rPr>
              <w:t>（18）</w:t>
            </w:r>
            <w:r>
              <w:rPr>
                <w:rFonts w:hint="eastAsia" w:ascii="宋体" w:hAnsi="宋体" w:cs="宋体"/>
                <w:sz w:val="24"/>
                <w:highlight w:val="white"/>
              </w:rPr>
              <w:t>根据国家或四川省有关部门制定的其他联合惩戒措施规范性文件（联合惩戒措施包括限制参与工程招投标或限制参与政府采购活动），被列为联合惩戒对象的；</w:t>
            </w:r>
          </w:p>
          <w:p w14:paraId="67A98F7A">
            <w:pPr>
              <w:spacing w:line="360" w:lineRule="auto"/>
              <w:rPr>
                <w:rFonts w:ascii="宋体" w:hAnsi="宋体" w:cs="宋体"/>
                <w:szCs w:val="21"/>
              </w:rPr>
            </w:pPr>
            <w:r>
              <w:rPr>
                <w:rFonts w:hint="eastAsia" w:ascii="宋体" w:hAnsi="宋体" w:cs="宋体"/>
                <w:szCs w:val="21"/>
                <w:highlight w:val="white"/>
              </w:rPr>
              <w:t>注：除此之外招标人不得另行增加其他限制投标情形。</w:t>
            </w:r>
          </w:p>
          <w:p w14:paraId="76247437">
            <w:pPr>
              <w:spacing w:line="360" w:lineRule="auto"/>
              <w:rPr>
                <w:rFonts w:hint="eastAsia" w:ascii="宋体" w:hAnsi="宋体" w:cs="宋体"/>
                <w:sz w:val="24"/>
              </w:rPr>
            </w:pPr>
            <w:r>
              <w:rPr>
                <w:rFonts w:hint="eastAsia" w:ascii="宋体" w:hAnsi="宋体"/>
                <w:color w:val="0000FF"/>
                <w:sz w:val="24"/>
                <w:highlight w:val="white"/>
                <w:lang w:eastAsia="zh-CN"/>
              </w:rPr>
              <w:t>☑</w:t>
            </w:r>
            <w:r>
              <w:rPr>
                <w:rFonts w:hint="eastAsia" w:ascii="宋体" w:hAnsi="宋体"/>
                <w:sz w:val="24"/>
                <w:highlight w:val="white"/>
              </w:rPr>
              <w:t>本项目</w:t>
            </w:r>
            <w:r>
              <w:rPr>
                <w:rFonts w:hint="eastAsia" w:ascii="宋体" w:hAnsi="宋体" w:cs="宋体"/>
                <w:sz w:val="24"/>
                <w:highlight w:val="white"/>
              </w:rPr>
              <w:t>已公开项目建议书、可行性研究报告、初步设计文件，编制项目可行性研究报告、工程方案设计、初步设计且具备工程设计资质、工程总承包条件的单位可以参与本项目的投标。</w:t>
            </w:r>
          </w:p>
          <w:p w14:paraId="3AF38AD1">
            <w:pPr>
              <w:spacing w:line="360" w:lineRule="auto"/>
              <w:rPr>
                <w:rFonts w:hint="eastAsia" w:ascii="宋体" w:hAnsi="宋体"/>
                <w:sz w:val="24"/>
              </w:rPr>
            </w:pPr>
            <w:r>
              <w:rPr>
                <w:rFonts w:hint="eastAsia" w:ascii="宋体" w:hAnsi="宋体"/>
                <w:sz w:val="24"/>
                <w:highlight w:val="white"/>
              </w:rPr>
              <w:t>本条（9）、（15）、（16）规定的事项，</w:t>
            </w:r>
            <w:r>
              <w:rPr>
                <w:rFonts w:hint="eastAsia" w:ascii="宋体" w:hAnsi="宋体" w:cs="宋体"/>
                <w:sz w:val="24"/>
                <w:highlight w:val="white"/>
              </w:rPr>
              <w:t>应以有关行政主管部门出具的已生效的行政处罚决定书为依据，“近三年”“近一年”应以行政处罚决定书的出具时间起算。</w:t>
            </w:r>
          </w:p>
          <w:p w14:paraId="6155CE09">
            <w:pPr>
              <w:spacing w:line="360" w:lineRule="auto"/>
              <w:rPr>
                <w:rFonts w:ascii="宋体" w:hAnsi="宋体"/>
                <w:sz w:val="24"/>
              </w:rPr>
            </w:pPr>
            <w:r>
              <w:rPr>
                <w:rFonts w:hint="eastAsia" w:ascii="宋体" w:hAnsi="宋体"/>
                <w:sz w:val="24"/>
                <w:highlight w:val="white"/>
              </w:rPr>
              <w:t>“被暂停或取消投标资格的”是指：</w:t>
            </w:r>
          </w:p>
          <w:p w14:paraId="3D018371">
            <w:pPr>
              <w:spacing w:line="360" w:lineRule="auto"/>
              <w:rPr>
                <w:rFonts w:hint="eastAsia" w:ascii="宋体" w:hAnsi="宋体"/>
                <w:sz w:val="24"/>
              </w:rPr>
            </w:pPr>
            <w:r>
              <w:rPr>
                <w:rFonts w:hint="eastAsia" w:ascii="宋体" w:hAnsi="宋体"/>
                <w:sz w:val="24"/>
                <w:highlight w:val="white"/>
              </w:rPr>
              <w:t>投标人存在被行政主管部门依据法律、法规、规章作出暂停或取消一定时期投标资格的已生效行政处罚，其限制投标范围与所依据的法律、法规、规章适用范围相同，与行政处罚规定的限制投标行政区域无关。</w:t>
            </w:r>
          </w:p>
        </w:tc>
      </w:tr>
      <w:tr w14:paraId="62B1833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C664762">
            <w:pPr>
              <w:spacing w:line="440" w:lineRule="exact"/>
              <w:jc w:val="center"/>
              <w:rPr>
                <w:rFonts w:hint="eastAsia" w:ascii="宋体" w:hAnsi="宋体" w:cs="宋体"/>
                <w:sz w:val="24"/>
              </w:rPr>
            </w:pPr>
            <w:r>
              <w:rPr>
                <w:rFonts w:hint="eastAsia" w:ascii="宋体" w:hAnsi="宋体" w:cs="宋体"/>
                <w:sz w:val="24"/>
                <w:highlight w:val="white"/>
              </w:rPr>
              <w:t>1.5</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1B41E17">
            <w:pPr>
              <w:spacing w:line="440" w:lineRule="exact"/>
              <w:jc w:val="center"/>
              <w:rPr>
                <w:rFonts w:hint="eastAsia" w:ascii="宋体" w:hAnsi="宋体" w:cs="宋体"/>
                <w:sz w:val="24"/>
              </w:rPr>
            </w:pPr>
            <w:r>
              <w:rPr>
                <w:rFonts w:hint="eastAsia" w:ascii="宋体" w:hAnsi="宋体" w:cs="宋体"/>
                <w:sz w:val="24"/>
                <w:highlight w:val="white"/>
              </w:rPr>
              <w:t>费用承担和设计成果补偿</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5509C72D">
            <w:pPr>
              <w:spacing w:line="440" w:lineRule="exact"/>
              <w:rPr>
                <w:rFonts w:hint="eastAsia" w:ascii="宋体" w:hAnsi="宋体" w:cs="宋体"/>
                <w:sz w:val="24"/>
              </w:rPr>
            </w:pPr>
            <w:bookmarkStart w:id="58" w:name="EB6de0e78989454e53858960791abbcc52"/>
            <w:r>
              <w:rPr>
                <w:rFonts w:hint="eastAsia" w:ascii="宋体" w:hAnsi="宋体" w:cs="宋体"/>
                <w:color w:val="0000FF"/>
                <w:sz w:val="24"/>
                <w:highlight w:val="white"/>
              </w:rPr>
              <w:t>☑</w:t>
            </w:r>
            <w:bookmarkEnd w:id="58"/>
            <w:r>
              <w:rPr>
                <w:rFonts w:hint="eastAsia" w:ascii="宋体" w:hAnsi="宋体" w:cs="宋体"/>
                <w:sz w:val="24"/>
                <w:highlight w:val="white"/>
              </w:rPr>
              <w:t>不补偿</w:t>
            </w:r>
          </w:p>
          <w:p w14:paraId="7385D5F0">
            <w:pPr>
              <w:spacing w:line="440" w:lineRule="exact"/>
              <w:rPr>
                <w:rFonts w:hint="eastAsia" w:ascii="宋体" w:hAnsi="宋体" w:cs="宋体"/>
                <w:sz w:val="24"/>
                <w:u w:val="single"/>
              </w:rPr>
            </w:pPr>
            <w:bookmarkStart w:id="59" w:name="EB3657d3d4296f4321a6841b74260ddac2"/>
            <w:r>
              <w:rPr>
                <w:rFonts w:hint="eastAsia" w:ascii="宋体" w:hAnsi="宋体" w:cs="宋体"/>
                <w:color w:val="0000FF"/>
                <w:sz w:val="24"/>
                <w:highlight w:val="white"/>
              </w:rPr>
              <w:t>□</w:t>
            </w:r>
            <w:bookmarkEnd w:id="59"/>
            <w:r>
              <w:rPr>
                <w:rFonts w:hint="eastAsia" w:ascii="宋体" w:hAnsi="宋体" w:cs="宋体"/>
                <w:sz w:val="24"/>
                <w:highlight w:val="white"/>
              </w:rPr>
              <w:t>补偿，补偿标准：</w:t>
            </w:r>
            <w:bookmarkStart w:id="60" w:name="EBf14d2b239d36488d89b4994b8f398cb3"/>
            <w:bookmarkEnd w:id="60"/>
          </w:p>
        </w:tc>
      </w:tr>
      <w:tr w14:paraId="2D5FC891">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DE28EA1">
            <w:pPr>
              <w:spacing w:line="440" w:lineRule="exact"/>
              <w:jc w:val="center"/>
              <w:rPr>
                <w:rFonts w:hint="eastAsia" w:ascii="宋体" w:hAnsi="宋体" w:cs="宋体"/>
                <w:sz w:val="24"/>
              </w:rPr>
            </w:pPr>
            <w:r>
              <w:rPr>
                <w:rFonts w:hint="eastAsia" w:ascii="宋体" w:hAnsi="宋体" w:cs="宋体"/>
                <w:sz w:val="24"/>
                <w:highlight w:val="white"/>
              </w:rPr>
              <w:t>1.9.1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0D8BF00">
            <w:pPr>
              <w:spacing w:line="440" w:lineRule="exact"/>
              <w:jc w:val="center"/>
              <w:rPr>
                <w:rFonts w:hint="eastAsia" w:ascii="宋体" w:hAnsi="宋体" w:cs="宋体"/>
                <w:sz w:val="24"/>
              </w:rPr>
            </w:pPr>
            <w:r>
              <w:rPr>
                <w:rFonts w:hint="eastAsia" w:ascii="宋体" w:hAnsi="宋体" w:cs="宋体"/>
                <w:sz w:val="24"/>
                <w:highlight w:val="white"/>
              </w:rPr>
              <w:t>踏勘</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32D4A4E">
            <w:pPr>
              <w:tabs>
                <w:tab w:val="left" w:pos="1430"/>
              </w:tabs>
              <w:adjustRightInd w:val="0"/>
              <w:snapToGrid w:val="0"/>
              <w:spacing w:line="360" w:lineRule="auto"/>
              <w:rPr>
                <w:rFonts w:hint="eastAsia" w:ascii="宋体" w:hAnsi="宋体"/>
                <w:sz w:val="24"/>
              </w:rPr>
            </w:pPr>
            <w:bookmarkStart w:id="61" w:name="EB2c1c583075374e59b53ac5851d539b34"/>
            <w:r>
              <w:rPr>
                <w:rFonts w:hint="eastAsia" w:ascii="宋体" w:hAnsi="宋体"/>
                <w:color w:val="0000FF"/>
                <w:sz w:val="24"/>
                <w:highlight w:val="white"/>
              </w:rPr>
              <w:t>☑</w:t>
            </w:r>
            <w:bookmarkEnd w:id="61"/>
            <w:r>
              <w:rPr>
                <w:rFonts w:hint="eastAsia" w:ascii="宋体" w:hAnsi="宋体" w:cs="宋体"/>
                <w:sz w:val="24"/>
                <w:highlight w:val="white"/>
              </w:rPr>
              <w:t>不组织</w:t>
            </w:r>
          </w:p>
          <w:p w14:paraId="35080272">
            <w:pPr>
              <w:tabs>
                <w:tab w:val="left" w:pos="1430"/>
              </w:tabs>
              <w:adjustRightInd w:val="0"/>
              <w:snapToGrid w:val="0"/>
              <w:spacing w:line="360" w:lineRule="auto"/>
              <w:rPr>
                <w:rFonts w:hint="eastAsia" w:ascii="宋体" w:hAnsi="宋体" w:cs="宋体"/>
                <w:color w:val="0000FF"/>
                <w:sz w:val="24"/>
              </w:rPr>
            </w:pPr>
            <w:bookmarkStart w:id="62" w:name="EBa9a6e6fbcc604de283a12174b63dd782"/>
            <w:r>
              <w:rPr>
                <w:rFonts w:hint="eastAsia" w:ascii="宋体" w:hAnsi="宋体"/>
                <w:color w:val="0000FF"/>
                <w:sz w:val="24"/>
                <w:highlight w:val="white"/>
              </w:rPr>
              <w:t>□</w:t>
            </w:r>
            <w:bookmarkEnd w:id="62"/>
            <w:r>
              <w:rPr>
                <w:rFonts w:hint="eastAsia" w:ascii="宋体" w:hAnsi="宋体" w:cs="宋体"/>
                <w:sz w:val="24"/>
                <w:highlight w:val="white"/>
              </w:rPr>
              <w:t>组织，时间</w:t>
            </w:r>
            <w:bookmarkStart w:id="63" w:name="EB76fb1fa21d284bbd8defe3e073d281f2"/>
            <w:bookmarkEnd w:id="63"/>
          </w:p>
          <w:p w14:paraId="319D8282">
            <w:pPr>
              <w:tabs>
                <w:tab w:val="left" w:pos="1430"/>
              </w:tabs>
              <w:adjustRightInd w:val="0"/>
              <w:snapToGrid w:val="0"/>
              <w:spacing w:line="360" w:lineRule="auto"/>
              <w:rPr>
                <w:rFonts w:ascii="宋体" w:hAnsi="宋体" w:cs="宋体"/>
                <w:sz w:val="24"/>
                <w:u w:val="single"/>
              </w:rPr>
            </w:pPr>
            <w:r>
              <w:rPr>
                <w:rFonts w:hint="eastAsia" w:ascii="宋体" w:hAnsi="宋体" w:cs="宋体"/>
                <w:sz w:val="24"/>
                <w:highlight w:val="white"/>
              </w:rPr>
              <w:t>地点</w:t>
            </w:r>
            <w:bookmarkStart w:id="64" w:name="EB03fb03f076de4ee5a3a4527a9700d7c9"/>
            <w:bookmarkEnd w:id="64"/>
          </w:p>
          <w:p w14:paraId="1BDFDE62">
            <w:pPr>
              <w:tabs>
                <w:tab w:val="left" w:pos="1430"/>
              </w:tabs>
              <w:adjustRightInd w:val="0"/>
              <w:snapToGrid w:val="0"/>
              <w:spacing w:line="360" w:lineRule="auto"/>
              <w:rPr>
                <w:rFonts w:ascii="宋体" w:hAnsi="宋体" w:cs="宋体"/>
                <w:sz w:val="24"/>
                <w:u w:val="single"/>
              </w:rPr>
            </w:pPr>
            <w:r>
              <w:rPr>
                <w:rFonts w:hint="eastAsia" w:ascii="宋体" w:hAnsi="宋体" w:cs="宋体"/>
                <w:sz w:val="24"/>
                <w:highlight w:val="white"/>
              </w:rPr>
              <w:t>联系人</w:t>
            </w:r>
            <w:bookmarkStart w:id="65" w:name="EBafbe913e95c14a529a0d9845720fbe59"/>
            <w:bookmarkEnd w:id="65"/>
            <w:r>
              <w:rPr>
                <w:rFonts w:hint="eastAsia" w:ascii="宋体" w:hAnsi="宋体" w:cs="宋体"/>
                <w:sz w:val="24"/>
                <w:highlight w:val="white"/>
              </w:rPr>
              <w:t>联系电话</w:t>
            </w:r>
            <w:bookmarkStart w:id="66" w:name="EB286d373a0bc343909103a934cd41c04e"/>
            <w:bookmarkEnd w:id="66"/>
          </w:p>
          <w:p w14:paraId="1AAA52C8">
            <w:pPr>
              <w:tabs>
                <w:tab w:val="left" w:pos="1430"/>
              </w:tabs>
              <w:adjustRightInd w:val="0"/>
              <w:snapToGrid w:val="0"/>
              <w:spacing w:line="360" w:lineRule="auto"/>
              <w:rPr>
                <w:rFonts w:hint="eastAsia" w:ascii="宋体" w:hAnsi="宋体" w:cs="宋体"/>
                <w:sz w:val="24"/>
              </w:rPr>
            </w:pPr>
            <w:r>
              <w:rPr>
                <w:rFonts w:hint="eastAsia" w:ascii="宋体" w:hAnsi="宋体" w:cs="宋体"/>
                <w:sz w:val="24"/>
                <w:highlight w:val="white"/>
              </w:rPr>
              <w:t>招标人不组织潜在投标人签到、点名，不出具回执。</w:t>
            </w:r>
          </w:p>
        </w:tc>
      </w:tr>
      <w:tr w14:paraId="0F390335">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7062221">
            <w:pPr>
              <w:spacing w:line="440" w:lineRule="exact"/>
              <w:jc w:val="center"/>
              <w:rPr>
                <w:rFonts w:hint="eastAsia" w:ascii="宋体" w:hAnsi="宋体" w:cs="宋体"/>
                <w:sz w:val="24"/>
              </w:rPr>
            </w:pPr>
            <w:r>
              <w:rPr>
                <w:rFonts w:hint="eastAsia" w:ascii="宋体" w:hAnsi="宋体" w:cs="宋体"/>
                <w:sz w:val="24"/>
                <w:highlight w:val="white"/>
              </w:rPr>
              <w:t>1.10.1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540B8932">
            <w:pPr>
              <w:spacing w:line="440" w:lineRule="exact"/>
              <w:jc w:val="center"/>
              <w:rPr>
                <w:rFonts w:hint="eastAsia" w:ascii="宋体" w:hAnsi="宋体" w:cs="宋体"/>
                <w:sz w:val="24"/>
              </w:rPr>
            </w:pPr>
            <w:r>
              <w:rPr>
                <w:rFonts w:hint="eastAsia" w:ascii="宋体" w:hAnsi="宋体" w:cs="宋体"/>
                <w:sz w:val="24"/>
                <w:highlight w:val="white"/>
              </w:rPr>
              <w:t>投标预备会</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1B70A070">
            <w:pPr>
              <w:pStyle w:val="10"/>
              <w:topLinePunct/>
              <w:spacing w:line="400" w:lineRule="exact"/>
              <w:rPr>
                <w:rFonts w:hint="eastAsia" w:hAnsi="宋体" w:cs="宋体"/>
                <w:szCs w:val="24"/>
              </w:rPr>
            </w:pPr>
            <w:r>
              <w:rPr>
                <w:rFonts w:hint="eastAsia" w:hAnsi="宋体" w:cs="宋体"/>
                <w:szCs w:val="24"/>
                <w:highlight w:val="white"/>
              </w:rPr>
              <w:t>不召开</w:t>
            </w:r>
          </w:p>
        </w:tc>
      </w:tr>
      <w:tr w14:paraId="30659D3D">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F0D1D0F">
            <w:pPr>
              <w:spacing w:line="440" w:lineRule="exact"/>
              <w:jc w:val="center"/>
              <w:rPr>
                <w:rFonts w:hint="eastAsia" w:ascii="宋体" w:hAnsi="宋体" w:cs="宋体"/>
                <w:sz w:val="24"/>
              </w:rPr>
            </w:pPr>
            <w:r>
              <w:rPr>
                <w:rFonts w:hint="eastAsia" w:ascii="宋体" w:hAnsi="宋体" w:cs="宋体"/>
                <w:sz w:val="24"/>
                <w:highlight w:val="white"/>
              </w:rPr>
              <w:t>1.11.1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2F7CC2B">
            <w:pPr>
              <w:spacing w:line="440" w:lineRule="exact"/>
              <w:jc w:val="center"/>
              <w:rPr>
                <w:rFonts w:hint="eastAsia" w:ascii="宋体" w:hAnsi="宋体" w:cs="宋体"/>
                <w:sz w:val="24"/>
              </w:rPr>
            </w:pPr>
            <w:r>
              <w:rPr>
                <w:rFonts w:hint="eastAsia" w:ascii="宋体" w:hAnsi="宋体" w:cs="宋体"/>
                <w:sz w:val="24"/>
                <w:highlight w:val="white"/>
              </w:rPr>
              <w:t>招标人规定由分包人承担的工作</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70ECD30">
            <w:pPr>
              <w:spacing w:line="440" w:lineRule="exact"/>
              <w:rPr>
                <w:rFonts w:hint="eastAsia" w:ascii="宋体" w:hAnsi="宋体" w:cs="宋体"/>
                <w:sz w:val="24"/>
                <w:u w:val="single"/>
              </w:rPr>
            </w:pPr>
            <w:r>
              <w:rPr>
                <w:rFonts w:hint="eastAsia" w:ascii="宋体" w:hAnsi="宋体" w:cs="宋体"/>
                <w:sz w:val="24"/>
                <w:highlight w:val="white"/>
              </w:rPr>
              <w:t>分包内容要求：</w:t>
            </w:r>
            <w:bookmarkStart w:id="67" w:name="EB1a9b09c1ab97467a9e13b2c4ca9ec0b5"/>
            <w:bookmarkEnd w:id="67"/>
          </w:p>
          <w:p w14:paraId="46FE4796">
            <w:pPr>
              <w:spacing w:line="440" w:lineRule="exact"/>
              <w:rPr>
                <w:rFonts w:hint="eastAsia" w:ascii="宋体" w:hAnsi="宋体" w:cs="宋体"/>
                <w:sz w:val="24"/>
                <w:u w:val="single"/>
              </w:rPr>
            </w:pPr>
            <w:r>
              <w:rPr>
                <w:rFonts w:hint="eastAsia" w:ascii="宋体" w:hAnsi="宋体" w:cs="宋体"/>
                <w:sz w:val="24"/>
                <w:highlight w:val="white"/>
              </w:rPr>
              <w:t>对分包人的资质要求：</w:t>
            </w:r>
            <w:bookmarkStart w:id="68" w:name="EB0af6a403ba914da5b72152b5a8a4cb5b"/>
            <w:bookmarkEnd w:id="68"/>
          </w:p>
          <w:p w14:paraId="0CAD9D86">
            <w:pPr>
              <w:spacing w:line="440" w:lineRule="exact"/>
              <w:rPr>
                <w:rFonts w:hint="eastAsia" w:ascii="宋体" w:hAnsi="宋体" w:cs="宋体"/>
                <w:sz w:val="24"/>
                <w:u w:val="single"/>
              </w:rPr>
            </w:pPr>
            <w:r>
              <w:rPr>
                <w:rFonts w:hint="eastAsia" w:ascii="宋体" w:hAnsi="宋体"/>
                <w:sz w:val="24"/>
                <w:highlight w:val="white"/>
              </w:rPr>
              <w:t>注：不得要求投标人在投标文件中提供拟分包人的营业执照、资质证书、分包协议等证明文件。</w:t>
            </w:r>
          </w:p>
        </w:tc>
      </w:tr>
      <w:tr w14:paraId="6579B2A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1867307">
            <w:pPr>
              <w:spacing w:line="440" w:lineRule="exact"/>
              <w:jc w:val="center"/>
              <w:rPr>
                <w:rFonts w:hint="eastAsia" w:ascii="宋体" w:hAnsi="宋体" w:cs="宋体"/>
                <w:sz w:val="24"/>
              </w:rPr>
            </w:pPr>
            <w:r>
              <w:rPr>
                <w:rFonts w:hint="eastAsia" w:ascii="宋体" w:hAnsi="宋体" w:cs="宋体"/>
                <w:sz w:val="24"/>
                <w:highlight w:val="white"/>
              </w:rPr>
              <w:t>1.11.2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5D89BD1D">
            <w:pPr>
              <w:spacing w:line="440" w:lineRule="exact"/>
              <w:jc w:val="center"/>
              <w:rPr>
                <w:rFonts w:hint="eastAsia" w:ascii="宋体" w:hAnsi="宋体" w:cs="宋体"/>
                <w:sz w:val="24"/>
              </w:rPr>
            </w:pPr>
            <w:r>
              <w:rPr>
                <w:rFonts w:hint="eastAsia" w:ascii="宋体" w:hAnsi="宋体" w:cs="宋体"/>
                <w:sz w:val="24"/>
                <w:highlight w:val="white"/>
              </w:rPr>
              <w:t>投标人拟分包的工作</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4B40502">
            <w:pPr>
              <w:pStyle w:val="10"/>
              <w:topLinePunct/>
              <w:spacing w:line="400" w:lineRule="exact"/>
              <w:rPr>
                <w:rFonts w:hint="eastAsia" w:hAnsi="宋体" w:cs="宋体"/>
                <w:szCs w:val="24"/>
              </w:rPr>
            </w:pPr>
            <w:r>
              <w:rPr>
                <w:rFonts w:hint="eastAsia" w:hAnsi="宋体" w:cs="宋体"/>
                <w:color w:val="0000FF"/>
                <w:szCs w:val="24"/>
                <w:highlight w:val="white"/>
                <w:lang w:eastAsia="zh-CN"/>
              </w:rPr>
              <w:t>□</w:t>
            </w:r>
            <w:r>
              <w:rPr>
                <w:rFonts w:hint="eastAsia" w:hAnsi="宋体" w:cs="宋体"/>
                <w:szCs w:val="24"/>
                <w:highlight w:val="white"/>
              </w:rPr>
              <w:t>不允许</w:t>
            </w:r>
          </w:p>
          <w:p w14:paraId="09F07D98">
            <w:pPr>
              <w:spacing w:line="440" w:lineRule="exact"/>
              <w:rPr>
                <w:rFonts w:hint="eastAsia" w:ascii="宋体" w:hAnsi="宋体" w:eastAsia="宋体" w:cs="宋体"/>
                <w:color w:val="0000FF"/>
                <w:sz w:val="24"/>
                <w:highlight w:val="white"/>
                <w:lang w:val="en-US" w:eastAsia="zh-CN"/>
              </w:rPr>
            </w:pPr>
            <w:r>
              <w:rPr>
                <w:rFonts w:hint="eastAsia" w:ascii="宋体" w:hAnsi="宋体" w:cs="宋体"/>
                <w:color w:val="0000FF"/>
                <w:sz w:val="24"/>
                <w:highlight w:val="white"/>
                <w:lang w:eastAsia="zh-CN"/>
              </w:rPr>
              <w:t>☑</w:t>
            </w:r>
            <w:r>
              <w:rPr>
                <w:rFonts w:hint="eastAsia" w:ascii="宋体" w:hAnsi="宋体" w:cs="宋体"/>
                <w:sz w:val="24"/>
                <w:highlight w:val="white"/>
              </w:rPr>
              <w:t>允许，分包内容要求：</w:t>
            </w:r>
            <w:bookmarkStart w:id="69" w:name="EB424a32215bf94152929c07f6c2ff5426"/>
            <w:r>
              <w:rPr>
                <w:rFonts w:hint="eastAsia" w:ascii="宋体" w:hAnsi="宋体" w:eastAsia="宋体" w:cs="宋体"/>
                <w:color w:val="0000FF"/>
                <w:sz w:val="24"/>
                <w:highlight w:val="white"/>
                <w:lang w:val="en-US" w:eastAsia="zh-CN"/>
              </w:rPr>
              <w:t>投标人如在中标后将中标项目的部分非主体、非关键性工作进行分包的，应符合国家有关管理规定。</w:t>
            </w:r>
          </w:p>
          <w:bookmarkEnd w:id="69"/>
          <w:p w14:paraId="2774F405">
            <w:pPr>
              <w:spacing w:line="440" w:lineRule="exact"/>
              <w:ind w:firstLine="960" w:firstLineChars="400"/>
              <w:rPr>
                <w:rFonts w:hint="eastAsia" w:ascii="宋体" w:hAnsi="宋体" w:cs="宋体"/>
                <w:sz w:val="24"/>
                <w:u w:val="single"/>
              </w:rPr>
            </w:pPr>
            <w:r>
              <w:rPr>
                <w:rFonts w:hint="eastAsia" w:ascii="宋体" w:hAnsi="宋体" w:cs="宋体"/>
                <w:sz w:val="24"/>
                <w:highlight w:val="white"/>
              </w:rPr>
              <w:t>对分包人的资质要求：</w:t>
            </w:r>
            <w:bookmarkStart w:id="70" w:name="EB194264aecff54de287a6123e361ecf3a"/>
            <w:r>
              <w:rPr>
                <w:rFonts w:hint="eastAsia" w:ascii="宋体" w:hAnsi="宋体" w:eastAsia="宋体" w:cs="宋体"/>
                <w:color w:val="0000FF"/>
                <w:sz w:val="24"/>
                <w:highlight w:val="white"/>
                <w:lang w:val="en-US" w:eastAsia="zh-CN"/>
              </w:rPr>
              <w:t>应由具备相应专业分包资质的单位承包，并达到相关施工验收规范合格标准及通过相关主管部门的验收</w:t>
            </w:r>
            <w:r>
              <w:rPr>
                <w:rFonts w:hint="eastAsia" w:ascii="宋体" w:hAnsi="宋体" w:cs="宋体"/>
                <w:color w:val="0000FF"/>
                <w:sz w:val="24"/>
                <w:highlight w:val="white"/>
              </w:rPr>
              <w:t>。</w:t>
            </w:r>
            <w:bookmarkEnd w:id="70"/>
          </w:p>
          <w:p w14:paraId="258C6CB6">
            <w:pPr>
              <w:spacing w:line="440" w:lineRule="exact"/>
              <w:rPr>
                <w:rFonts w:hint="eastAsia" w:ascii="宋体" w:hAnsi="宋体" w:cs="宋体"/>
                <w:sz w:val="24"/>
                <w:u w:val="single"/>
              </w:rPr>
            </w:pPr>
            <w:r>
              <w:rPr>
                <w:rFonts w:hint="eastAsia" w:ascii="宋体" w:hAnsi="宋体"/>
                <w:sz w:val="24"/>
                <w:highlight w:val="white"/>
              </w:rPr>
              <w:t>注：不得要求投标人在投标文件中提供拟分包人的营业执照、资质证书、分包协议等证明文件。</w:t>
            </w:r>
          </w:p>
        </w:tc>
      </w:tr>
      <w:tr w14:paraId="17D7D15A">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6C98AD72">
            <w:pPr>
              <w:spacing w:line="440" w:lineRule="exact"/>
              <w:jc w:val="center"/>
              <w:rPr>
                <w:rFonts w:hint="eastAsia" w:ascii="宋体" w:hAnsi="宋体" w:cs="宋体"/>
                <w:sz w:val="24"/>
              </w:rPr>
            </w:pPr>
            <w:r>
              <w:rPr>
                <w:rFonts w:hint="eastAsia" w:ascii="宋体" w:hAnsi="宋体" w:cs="宋体"/>
                <w:sz w:val="24"/>
                <w:highlight w:val="white"/>
              </w:rPr>
              <w:t>1.12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00095EE">
            <w:pPr>
              <w:spacing w:line="440" w:lineRule="exact"/>
              <w:jc w:val="center"/>
              <w:rPr>
                <w:rFonts w:hint="eastAsia" w:ascii="宋体" w:hAnsi="宋体" w:cs="宋体"/>
                <w:sz w:val="24"/>
              </w:rPr>
            </w:pPr>
            <w:r>
              <w:rPr>
                <w:rFonts w:hint="eastAsia" w:ascii="宋体" w:hAnsi="宋体" w:cs="宋体"/>
                <w:sz w:val="24"/>
                <w:highlight w:val="white"/>
              </w:rPr>
              <w:t>偏离</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F595C8B">
            <w:pPr>
              <w:pStyle w:val="10"/>
              <w:topLinePunct/>
              <w:spacing w:line="400" w:lineRule="exact"/>
              <w:rPr>
                <w:rFonts w:hint="eastAsia" w:hAnsi="宋体" w:cs="宋体"/>
                <w:szCs w:val="24"/>
              </w:rPr>
            </w:pPr>
            <w:bookmarkStart w:id="71" w:name="EB7e94e33fb0b54e80bea9b1200a4f5d6e"/>
            <w:r>
              <w:rPr>
                <w:rFonts w:hint="eastAsia" w:hAnsi="宋体" w:cs="宋体"/>
                <w:color w:val="0000FF"/>
                <w:szCs w:val="24"/>
                <w:highlight w:val="white"/>
              </w:rPr>
              <w:t>☑</w:t>
            </w:r>
            <w:bookmarkEnd w:id="71"/>
            <w:r>
              <w:rPr>
                <w:rFonts w:hint="eastAsia" w:hAnsi="宋体" w:cs="宋体"/>
                <w:szCs w:val="24"/>
                <w:highlight w:val="white"/>
              </w:rPr>
              <w:t>不允许</w:t>
            </w:r>
          </w:p>
          <w:p w14:paraId="2AE521AD">
            <w:pPr>
              <w:pStyle w:val="10"/>
              <w:topLinePunct/>
              <w:spacing w:line="400" w:lineRule="exact"/>
              <w:rPr>
                <w:rFonts w:hint="eastAsia" w:hAnsi="宋体" w:cs="宋体"/>
                <w:szCs w:val="24"/>
              </w:rPr>
            </w:pPr>
            <w:bookmarkStart w:id="72" w:name="EB8dc973015ef74f56b9cc380fe44da545"/>
            <w:r>
              <w:rPr>
                <w:rFonts w:hint="eastAsia" w:hAnsi="宋体" w:cs="宋体"/>
                <w:color w:val="0000FF"/>
                <w:szCs w:val="24"/>
                <w:highlight w:val="white"/>
              </w:rPr>
              <w:t>□</w:t>
            </w:r>
            <w:bookmarkEnd w:id="72"/>
            <w:r>
              <w:rPr>
                <w:rFonts w:hint="eastAsia" w:hAnsi="宋体" w:cs="宋体"/>
                <w:szCs w:val="24"/>
                <w:highlight w:val="white"/>
              </w:rPr>
              <w:t>允许，允许偏离的内容、偏离范围和幅度</w:t>
            </w:r>
          </w:p>
          <w:p w14:paraId="32D509CA">
            <w:pPr>
              <w:pStyle w:val="10"/>
              <w:topLinePunct/>
              <w:spacing w:line="400" w:lineRule="exact"/>
              <w:rPr>
                <w:rFonts w:hint="eastAsia" w:hAnsi="宋体" w:cs="宋体"/>
                <w:szCs w:val="24"/>
                <w:highlight w:val="green"/>
              </w:rPr>
            </w:pPr>
            <w:bookmarkStart w:id="73" w:name="EBf6b523cc5ee14de8afdced1776ccef91"/>
            <w:bookmarkEnd w:id="73"/>
          </w:p>
        </w:tc>
      </w:tr>
      <w:tr w14:paraId="1A247C21">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0A1F97C">
            <w:pPr>
              <w:spacing w:line="440" w:lineRule="exact"/>
              <w:jc w:val="center"/>
              <w:rPr>
                <w:rFonts w:hint="eastAsia" w:ascii="宋体" w:hAnsi="宋体" w:cs="宋体"/>
                <w:sz w:val="24"/>
              </w:rPr>
            </w:pPr>
            <w:r>
              <w:rPr>
                <w:rFonts w:hint="eastAsia" w:ascii="宋体" w:hAnsi="宋体" w:cs="宋体"/>
                <w:sz w:val="24"/>
                <w:highlight w:val="white"/>
              </w:rPr>
              <w:t>2.1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80BFEFD">
            <w:pPr>
              <w:spacing w:line="440" w:lineRule="exact"/>
              <w:jc w:val="center"/>
              <w:rPr>
                <w:rFonts w:hint="eastAsia" w:ascii="宋体" w:hAnsi="宋体" w:cs="宋体"/>
                <w:sz w:val="24"/>
              </w:rPr>
            </w:pPr>
            <w:r>
              <w:rPr>
                <w:rFonts w:hint="eastAsia" w:ascii="宋体" w:hAnsi="宋体" w:cs="宋体"/>
                <w:sz w:val="24"/>
                <w:highlight w:val="white"/>
              </w:rPr>
              <w:t>构成招标文件的其他资料</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FBEE20C">
            <w:pPr>
              <w:spacing w:line="440" w:lineRule="exact"/>
              <w:rPr>
                <w:rFonts w:hint="eastAsia" w:ascii="宋体" w:hAnsi="宋体" w:cs="宋体"/>
                <w:sz w:val="24"/>
                <w:highlight w:val="green"/>
              </w:rPr>
            </w:pPr>
            <w:bookmarkStart w:id="74" w:name="EBf422086c32bb4ea1a48dc38a1a2d7a42"/>
            <w:r>
              <w:rPr>
                <w:rFonts w:hint="eastAsia" w:ascii="宋体" w:hAnsi="宋体" w:cs="宋体"/>
                <w:color w:val="0000FF"/>
                <w:sz w:val="24"/>
                <w:highlight w:val="white"/>
              </w:rPr>
              <w:t>招标文件澄清或补遗文件（如有）</w:t>
            </w:r>
            <w:bookmarkEnd w:id="74"/>
          </w:p>
        </w:tc>
      </w:tr>
      <w:tr w14:paraId="776E52E7">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569E46F">
            <w:pPr>
              <w:spacing w:line="440" w:lineRule="exact"/>
              <w:jc w:val="center"/>
              <w:rPr>
                <w:rFonts w:hint="eastAsia" w:ascii="宋体" w:hAnsi="宋体" w:cs="宋体"/>
                <w:sz w:val="24"/>
              </w:rPr>
            </w:pPr>
            <w:r>
              <w:rPr>
                <w:rFonts w:hint="eastAsia" w:ascii="宋体" w:hAnsi="宋体" w:cs="宋体"/>
                <w:sz w:val="24"/>
                <w:highlight w:val="white"/>
              </w:rPr>
              <w:t>2.2.1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144994DA">
            <w:pPr>
              <w:spacing w:line="440" w:lineRule="exact"/>
              <w:jc w:val="center"/>
              <w:rPr>
                <w:rFonts w:hint="eastAsia" w:ascii="宋体" w:hAnsi="宋体" w:cs="宋体"/>
                <w:sz w:val="24"/>
              </w:rPr>
            </w:pPr>
            <w:r>
              <w:rPr>
                <w:rFonts w:hint="eastAsia" w:ascii="宋体" w:hAnsi="宋体" w:cs="宋体"/>
                <w:sz w:val="24"/>
                <w:highlight w:val="white"/>
              </w:rPr>
              <w:t>投标人要求澄清招标文件的截止时间</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5FC75FD">
            <w:pPr>
              <w:adjustRightInd w:val="0"/>
              <w:snapToGrid w:val="0"/>
              <w:spacing w:line="360" w:lineRule="auto"/>
              <w:rPr>
                <w:rFonts w:ascii="宋体" w:hAnsi="宋体" w:cs="宋体"/>
                <w:sz w:val="24"/>
              </w:rPr>
            </w:pPr>
            <w:r>
              <w:rPr>
                <w:rFonts w:hint="eastAsia" w:ascii="宋体" w:hAnsi="宋体" w:cs="宋体"/>
                <w:sz w:val="24"/>
                <w:highlight w:val="white"/>
              </w:rPr>
              <w:t>时间：投标截止时间10日前。</w:t>
            </w:r>
          </w:p>
          <w:p w14:paraId="18280B28">
            <w:pPr>
              <w:spacing w:line="440" w:lineRule="exact"/>
              <w:rPr>
                <w:rFonts w:hint="eastAsia" w:ascii="宋体" w:hAnsi="宋体" w:cs="宋体"/>
                <w:sz w:val="24"/>
              </w:rPr>
            </w:pPr>
            <w:r>
              <w:rPr>
                <w:rFonts w:hint="eastAsia" w:ascii="宋体" w:hAnsi="宋体" w:cs="宋体"/>
                <w:sz w:val="24"/>
                <w:highlight w:val="white"/>
              </w:rPr>
              <w:t>形式：通过《全国公共资源交易平台（四川省·绵阳市）》向招标人提出。如有疑问，应在规定的时间前通过《全国公共资源交易平台（四川省·绵阳市）》向招标人提出需澄清的问题，要求招标人对招标文件予以澄清。</w:t>
            </w:r>
          </w:p>
        </w:tc>
      </w:tr>
      <w:tr w14:paraId="2BB2EF0C">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9E04E71">
            <w:pPr>
              <w:spacing w:line="440" w:lineRule="exact"/>
              <w:jc w:val="center"/>
              <w:rPr>
                <w:rFonts w:hint="eastAsia" w:ascii="宋体" w:hAnsi="宋体" w:cs="宋体"/>
                <w:sz w:val="24"/>
              </w:rPr>
            </w:pPr>
            <w:r>
              <w:rPr>
                <w:rFonts w:hint="eastAsia" w:ascii="宋体" w:hAnsi="宋体" w:cs="宋体"/>
                <w:sz w:val="24"/>
                <w:highlight w:val="white"/>
              </w:rPr>
              <w:t>2.2.2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61672C3">
            <w:pPr>
              <w:spacing w:line="440" w:lineRule="exact"/>
              <w:jc w:val="center"/>
              <w:rPr>
                <w:rFonts w:ascii="宋体" w:hAnsi="宋体" w:cs="宋体"/>
                <w:sz w:val="24"/>
              </w:rPr>
            </w:pPr>
            <w:r>
              <w:rPr>
                <w:rFonts w:hint="eastAsia" w:ascii="宋体" w:hAnsi="宋体" w:cs="宋体"/>
                <w:sz w:val="24"/>
                <w:highlight w:val="white"/>
              </w:rPr>
              <w:t>招标文件的澄清</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E7EB673">
            <w:pPr>
              <w:spacing w:line="440" w:lineRule="exact"/>
              <w:rPr>
                <w:rFonts w:hint="default" w:ascii="宋体" w:hAnsi="宋体" w:eastAsia="宋体" w:cs="宋体"/>
                <w:sz w:val="24"/>
                <w:lang w:val="en-US" w:eastAsia="zh-CN"/>
              </w:rPr>
            </w:pPr>
            <w:r>
              <w:rPr>
                <w:rFonts w:hint="eastAsia" w:ascii="宋体" w:hAnsi="宋体" w:cs="宋体"/>
                <w:sz w:val="24"/>
                <w:highlight w:val="white"/>
              </w:rPr>
              <w:t>投标截止时间：</w:t>
            </w:r>
            <w:bookmarkStart w:id="75" w:name="EBd3737b9b7dd14e9a87be772da22dde68"/>
            <w:r>
              <w:rPr>
                <w:rFonts w:hint="eastAsia" w:ascii="宋体" w:hAnsi="宋体" w:cs="宋体"/>
                <w:color w:val="0000FF"/>
                <w:sz w:val="24"/>
                <w:highlight w:val="white"/>
              </w:rPr>
              <w:t>2026-</w:t>
            </w:r>
            <w:r>
              <w:rPr>
                <w:rFonts w:hint="eastAsia" w:ascii="宋体" w:hAnsi="宋体" w:cs="宋体"/>
                <w:color w:val="0000FF"/>
                <w:sz w:val="24"/>
                <w:highlight w:val="white"/>
                <w:lang w:val="en-US" w:eastAsia="zh-CN"/>
              </w:rPr>
              <w:t xml:space="preserve">  </w:t>
            </w:r>
            <w:r>
              <w:rPr>
                <w:rFonts w:hint="eastAsia" w:ascii="宋体" w:hAnsi="宋体" w:cs="宋体"/>
                <w:color w:val="0000FF"/>
                <w:sz w:val="24"/>
                <w:highlight w:val="white"/>
              </w:rPr>
              <w:t>-</w:t>
            </w:r>
            <w:r>
              <w:rPr>
                <w:rFonts w:hint="eastAsia" w:ascii="宋体" w:hAnsi="宋体" w:cs="宋体"/>
                <w:color w:val="0000FF"/>
                <w:sz w:val="24"/>
                <w:highlight w:val="white"/>
                <w:lang w:val="en-US" w:eastAsia="zh-CN"/>
              </w:rPr>
              <w:t xml:space="preserve">  </w:t>
            </w:r>
            <w:r>
              <w:rPr>
                <w:rFonts w:hint="eastAsia" w:ascii="宋体" w:hAnsi="宋体" w:cs="宋体"/>
                <w:color w:val="0000FF"/>
                <w:sz w:val="24"/>
                <w:highlight w:val="white"/>
              </w:rPr>
              <w:t xml:space="preserve"> 09:</w:t>
            </w:r>
            <w:bookmarkEnd w:id="75"/>
            <w:r>
              <w:rPr>
                <w:rFonts w:hint="eastAsia" w:ascii="宋体" w:hAnsi="宋体" w:cs="宋体"/>
                <w:color w:val="0000FF"/>
                <w:sz w:val="24"/>
                <w:highlight w:val="white"/>
                <w:lang w:val="en-US" w:eastAsia="zh-CN"/>
              </w:rPr>
              <w:t xml:space="preserve">  </w:t>
            </w:r>
          </w:p>
          <w:p w14:paraId="5321230C">
            <w:pPr>
              <w:spacing w:line="440" w:lineRule="exact"/>
              <w:rPr>
                <w:rFonts w:hint="eastAsia" w:ascii="宋体" w:hAnsi="宋体" w:cs="宋体"/>
                <w:sz w:val="24"/>
              </w:rPr>
            </w:pPr>
            <w:r>
              <w:rPr>
                <w:rFonts w:hint="eastAsia" w:ascii="宋体" w:hAnsi="宋体" w:cs="宋体"/>
                <w:sz w:val="24"/>
                <w:highlight w:val="white"/>
              </w:rPr>
              <w:t>招标文件的澄清应于投标截止时间15日前，在《全国公共资源交易平台（四川省）》发布，</w:t>
            </w:r>
            <w:r>
              <w:rPr>
                <w:rFonts w:hint="eastAsia" w:ascii="宋体" w:hAnsi="宋体" w:cs="宋体"/>
                <w:b/>
                <w:bCs/>
                <w:sz w:val="28"/>
                <w:szCs w:val="28"/>
                <w:highlight w:val="white"/>
              </w:rPr>
              <w:t>涉及到评标办法修改的，应将修改后的招标文件作为附件上传，对招标文件的所有修改内容应在澄清文件正文中全部列出，新上传的招标文件中修改内容与澄清文件正文不一致的，以澄清文件正文为准</w:t>
            </w:r>
            <w:r>
              <w:rPr>
                <w:rFonts w:hint="eastAsia" w:ascii="宋体" w:hAnsi="宋体" w:cs="宋体"/>
                <w:sz w:val="24"/>
                <w:highlight w:val="white"/>
              </w:rPr>
              <w:t>。若澄清文件发出的时间距投标截止时间不足15日，则应延长投标截止时间（不影响投标文件编制的情形除外）。投标人应实时在《全国公共资源交易平台（四川省·绵阳市）》上查询澄清文件，投标人未下载澄清文件的，其后果由投标人承担。</w:t>
            </w:r>
          </w:p>
        </w:tc>
      </w:tr>
      <w:tr w14:paraId="36E39D2C">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115C458">
            <w:pPr>
              <w:spacing w:line="440" w:lineRule="exact"/>
              <w:jc w:val="center"/>
              <w:rPr>
                <w:rFonts w:hint="eastAsia" w:ascii="宋体" w:hAnsi="宋体" w:cs="宋体"/>
                <w:sz w:val="24"/>
              </w:rPr>
            </w:pPr>
            <w:r>
              <w:rPr>
                <w:rFonts w:hint="eastAsia" w:ascii="宋体" w:hAnsi="宋体" w:cs="宋体"/>
                <w:sz w:val="24"/>
                <w:highlight w:val="white"/>
              </w:rPr>
              <w:t>2.2.3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F075977">
            <w:pPr>
              <w:spacing w:line="440" w:lineRule="exact"/>
              <w:jc w:val="center"/>
              <w:rPr>
                <w:rFonts w:hint="eastAsia" w:ascii="宋体" w:hAnsi="宋体" w:cs="宋体"/>
                <w:sz w:val="24"/>
              </w:rPr>
            </w:pPr>
            <w:r>
              <w:rPr>
                <w:rFonts w:hint="eastAsia" w:ascii="宋体" w:hAnsi="宋体" w:cs="宋体"/>
                <w:sz w:val="24"/>
                <w:highlight w:val="white"/>
              </w:rPr>
              <w:t>投标人确认收到招标文件澄清的时间</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FDFC03C">
            <w:pPr>
              <w:spacing w:line="440" w:lineRule="exact"/>
              <w:rPr>
                <w:rFonts w:hint="eastAsia" w:ascii="宋体" w:hAnsi="宋体" w:cs="宋体"/>
                <w:sz w:val="24"/>
              </w:rPr>
            </w:pPr>
            <w:r>
              <w:rPr>
                <w:rFonts w:hint="eastAsia" w:ascii="宋体" w:hAnsi="宋体" w:cs="宋体"/>
                <w:sz w:val="24"/>
                <w:highlight w:val="white"/>
              </w:rPr>
              <w:t>自行查询，无需确认。</w:t>
            </w:r>
          </w:p>
        </w:tc>
      </w:tr>
      <w:tr w14:paraId="6D42057C">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CBF8D50">
            <w:pPr>
              <w:spacing w:line="440" w:lineRule="exact"/>
              <w:jc w:val="center"/>
              <w:rPr>
                <w:rFonts w:ascii="宋体" w:hAnsi="宋体" w:cs="宋体"/>
                <w:sz w:val="24"/>
              </w:rPr>
            </w:pPr>
            <w:r>
              <w:rPr>
                <w:rFonts w:hint="eastAsia" w:ascii="宋体" w:hAnsi="宋体" w:cs="宋体"/>
                <w:sz w:val="24"/>
                <w:highlight w:val="white"/>
              </w:rPr>
              <w:t>2.3.1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E5DAA11">
            <w:pPr>
              <w:spacing w:line="440" w:lineRule="exact"/>
              <w:jc w:val="center"/>
              <w:rPr>
                <w:rFonts w:ascii="宋体" w:hAnsi="宋体" w:cs="宋体"/>
                <w:sz w:val="24"/>
              </w:rPr>
            </w:pPr>
            <w:r>
              <w:rPr>
                <w:rFonts w:hint="eastAsia" w:ascii="宋体" w:hAnsi="宋体" w:cs="宋体"/>
                <w:sz w:val="24"/>
                <w:highlight w:val="white"/>
              </w:rPr>
              <w:t>招标文件的修改</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CC6DD53">
            <w:pPr>
              <w:spacing w:line="440" w:lineRule="exact"/>
              <w:rPr>
                <w:rFonts w:hint="eastAsia" w:ascii="宋体" w:hAnsi="宋体" w:cs="宋体"/>
                <w:sz w:val="24"/>
              </w:rPr>
            </w:pPr>
            <w:r>
              <w:rPr>
                <w:rFonts w:hint="eastAsia" w:ascii="宋体" w:hAnsi="宋体" w:cs="宋体"/>
                <w:sz w:val="24"/>
                <w:highlight w:val="white"/>
              </w:rPr>
              <w:t>招标文件的修改应于投标截止时间15日前，在《全国公共资源交易平台（四川省）》发布</w:t>
            </w:r>
            <w:r>
              <w:rPr>
                <w:rFonts w:hint="eastAsia" w:ascii="宋体" w:hAnsi="宋体" w:cs="宋体"/>
                <w:b/>
                <w:bCs/>
                <w:sz w:val="28"/>
                <w:szCs w:val="28"/>
                <w:highlight w:val="white"/>
              </w:rPr>
              <w:t>，涉及到评标办法修改的，应将修改后的招标文件作为附件上传，对招标文件的所有修改内容应在修改文件正文中全部列出，新上传的招标文件中修改内容与修改文件正文不一致的，以修改文件正文为准</w:t>
            </w:r>
            <w:r>
              <w:rPr>
                <w:rFonts w:hint="eastAsia" w:ascii="宋体" w:hAnsi="宋体" w:cs="宋体"/>
                <w:sz w:val="24"/>
                <w:highlight w:val="white"/>
              </w:rPr>
              <w:t>。若修改文件发出的时间距投标截止时间不足15日，则应延长投标截止时间（不影响投标文件编制的情形除外）。投标人应实时在《全国公共资源交易平台（四川省·绵阳市）》上查询修改文件，投标人未下载修改文件的，其后果由投标人承担。</w:t>
            </w:r>
          </w:p>
        </w:tc>
      </w:tr>
      <w:tr w14:paraId="10F44496">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BDB3AC1">
            <w:pPr>
              <w:spacing w:line="440" w:lineRule="exact"/>
              <w:jc w:val="center"/>
              <w:rPr>
                <w:rFonts w:hint="eastAsia" w:ascii="宋体" w:hAnsi="宋体" w:cs="宋体"/>
                <w:sz w:val="24"/>
              </w:rPr>
            </w:pPr>
            <w:r>
              <w:rPr>
                <w:rFonts w:hint="eastAsia" w:ascii="宋体" w:hAnsi="宋体" w:cs="宋体"/>
                <w:sz w:val="24"/>
                <w:highlight w:val="white"/>
              </w:rPr>
              <w:t>2.3.2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E51CADE">
            <w:pPr>
              <w:spacing w:line="440" w:lineRule="exact"/>
              <w:jc w:val="center"/>
              <w:rPr>
                <w:rFonts w:hint="eastAsia" w:ascii="宋体" w:hAnsi="宋体" w:cs="宋体"/>
                <w:sz w:val="24"/>
              </w:rPr>
            </w:pPr>
            <w:r>
              <w:rPr>
                <w:rFonts w:hint="eastAsia" w:ascii="宋体" w:hAnsi="宋体" w:cs="宋体"/>
                <w:sz w:val="24"/>
                <w:highlight w:val="white"/>
              </w:rPr>
              <w:t>投标人确认收到招标文件修改的时间</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8223BE5">
            <w:pPr>
              <w:spacing w:line="440" w:lineRule="exact"/>
              <w:rPr>
                <w:rFonts w:hint="eastAsia" w:ascii="宋体" w:hAnsi="宋体" w:cs="宋体"/>
                <w:sz w:val="24"/>
              </w:rPr>
            </w:pPr>
            <w:r>
              <w:rPr>
                <w:rFonts w:hint="eastAsia" w:ascii="宋体" w:hAnsi="宋体" w:cs="宋体"/>
                <w:sz w:val="24"/>
                <w:highlight w:val="white"/>
              </w:rPr>
              <w:t>自行查询，无需确认。</w:t>
            </w:r>
          </w:p>
        </w:tc>
      </w:tr>
      <w:tr w14:paraId="7253731D">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BF1438E">
            <w:pPr>
              <w:spacing w:line="440" w:lineRule="exact"/>
              <w:jc w:val="center"/>
              <w:rPr>
                <w:rFonts w:hint="eastAsia" w:ascii="宋体" w:hAnsi="宋体" w:cs="宋体"/>
                <w:sz w:val="24"/>
              </w:rPr>
            </w:pPr>
            <w:r>
              <w:rPr>
                <w:rFonts w:hint="eastAsia" w:ascii="宋体" w:hAnsi="宋体" w:cs="宋体"/>
                <w:sz w:val="24"/>
                <w:highlight w:val="white"/>
              </w:rPr>
              <w:t>3.1.1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1C22AF4">
            <w:pPr>
              <w:spacing w:line="440" w:lineRule="exact"/>
              <w:jc w:val="center"/>
              <w:rPr>
                <w:rFonts w:hint="eastAsia" w:ascii="宋体" w:hAnsi="宋体" w:cs="宋体"/>
                <w:sz w:val="24"/>
              </w:rPr>
            </w:pPr>
            <w:r>
              <w:rPr>
                <w:rFonts w:hint="eastAsia" w:ascii="宋体" w:hAnsi="宋体" w:cs="宋体"/>
                <w:sz w:val="24"/>
                <w:highlight w:val="white"/>
              </w:rPr>
              <w:t>构成投标文件的其他资料</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E721312">
            <w:pPr>
              <w:spacing w:line="440" w:lineRule="exact"/>
              <w:rPr>
                <w:rFonts w:hint="eastAsia" w:ascii="宋体" w:hAnsi="宋体" w:cs="宋体"/>
                <w:sz w:val="24"/>
                <w:highlight w:val="green"/>
              </w:rPr>
            </w:pPr>
            <w:bookmarkStart w:id="76" w:name="EBfe86f615d2cf4252816cf88b2f61b2b9"/>
            <w:r>
              <w:rPr>
                <w:rFonts w:hint="eastAsia" w:ascii="宋体" w:hAnsi="宋体" w:cs="宋体"/>
                <w:color w:val="0000FF"/>
                <w:sz w:val="24"/>
                <w:highlight w:val="white"/>
              </w:rPr>
              <w:t>投标人认为有必要提供的其他资料</w:t>
            </w:r>
            <w:bookmarkEnd w:id="76"/>
          </w:p>
        </w:tc>
      </w:tr>
      <w:tr w14:paraId="74680B4A">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7C784DF">
            <w:pPr>
              <w:spacing w:line="440" w:lineRule="exact"/>
              <w:jc w:val="center"/>
              <w:rPr>
                <w:rFonts w:hint="eastAsia" w:ascii="宋体" w:hAnsi="宋体" w:cs="宋体"/>
                <w:sz w:val="24"/>
              </w:rPr>
            </w:pPr>
            <w:r>
              <w:rPr>
                <w:rFonts w:hint="eastAsia" w:ascii="宋体" w:hAnsi="宋体" w:cs="宋体"/>
                <w:sz w:val="24"/>
                <w:highlight w:val="white"/>
              </w:rPr>
              <w:t>3.2.4</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D22660F">
            <w:pPr>
              <w:spacing w:line="440" w:lineRule="exact"/>
              <w:jc w:val="center"/>
              <w:rPr>
                <w:rFonts w:hint="eastAsia" w:ascii="宋体" w:hAnsi="宋体" w:cs="宋体"/>
                <w:sz w:val="24"/>
              </w:rPr>
            </w:pPr>
            <w:r>
              <w:rPr>
                <w:rFonts w:hint="eastAsia" w:ascii="宋体" w:hAnsi="宋体" w:cs="宋体"/>
                <w:sz w:val="24"/>
                <w:highlight w:val="white"/>
              </w:rPr>
              <w:t>最高投标限价或其计算方法</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50ADE29">
            <w:pPr>
              <w:spacing w:line="440" w:lineRule="exact"/>
              <w:rPr>
                <w:rFonts w:hint="eastAsia" w:ascii="宋体" w:hAnsi="宋体" w:cs="宋体"/>
                <w:sz w:val="24"/>
              </w:rPr>
            </w:pPr>
            <w:bookmarkStart w:id="77" w:name="EBf0c07584feae4f689de212f3c3d8804f"/>
            <w:r>
              <w:rPr>
                <w:rFonts w:hint="eastAsia" w:ascii="宋体" w:hAnsi="宋体" w:cs="宋体"/>
                <w:color w:val="0000FF"/>
                <w:sz w:val="24"/>
                <w:highlight w:val="white"/>
              </w:rPr>
              <w:t>☑</w:t>
            </w:r>
            <w:bookmarkEnd w:id="77"/>
            <w:r>
              <w:rPr>
                <w:rFonts w:hint="eastAsia" w:ascii="宋体" w:hAnsi="宋体" w:cs="宋体"/>
                <w:sz w:val="24"/>
                <w:highlight w:val="white"/>
              </w:rPr>
              <w:t>总价合同</w:t>
            </w:r>
          </w:p>
          <w:p w14:paraId="7E5F162E">
            <w:pPr>
              <w:spacing w:line="440" w:lineRule="exact"/>
              <w:rPr>
                <w:rFonts w:hint="eastAsia" w:ascii="宋体" w:hAnsi="宋体" w:cs="宋体"/>
                <w:sz w:val="24"/>
              </w:rPr>
            </w:pPr>
            <w:commentRangeStart w:id="0"/>
            <w:r>
              <w:rPr>
                <w:rFonts w:hint="eastAsia" w:ascii="宋体" w:hAnsi="宋体" w:cs="宋体"/>
                <w:sz w:val="24"/>
                <w:highlight w:val="white"/>
              </w:rPr>
              <w:t>招标控制价：</w:t>
            </w:r>
            <w:bookmarkStart w:id="78" w:name="EB1418b4e587294014b2bbfeb38a9bf906"/>
            <w:r>
              <w:rPr>
                <w:rFonts w:hint="eastAsia" w:ascii="宋体" w:hAnsi="宋体" w:cs="宋体"/>
                <w:sz w:val="24"/>
                <w:highlight w:val="white"/>
                <w:lang w:val="en-US" w:eastAsia="zh-CN"/>
              </w:rPr>
              <w:t>57751793.16</w:t>
            </w:r>
            <w:bookmarkEnd w:id="78"/>
            <w:r>
              <w:rPr>
                <w:rFonts w:hint="eastAsia" w:ascii="宋体" w:hAnsi="宋体" w:cs="宋体"/>
                <w:sz w:val="24"/>
                <w:highlight w:val="white"/>
              </w:rPr>
              <w:t>元</w:t>
            </w:r>
            <w:commentRangeEnd w:id="0"/>
            <w:r>
              <w:commentReference w:id="0"/>
            </w:r>
          </w:p>
          <w:p w14:paraId="794F814D">
            <w:pPr>
              <w:spacing w:line="440" w:lineRule="exact"/>
              <w:rPr>
                <w:rFonts w:hint="eastAsia" w:ascii="宋体" w:hAnsi="宋体" w:cs="宋体"/>
                <w:sz w:val="24"/>
              </w:rPr>
            </w:pPr>
            <w:bookmarkStart w:id="79" w:name="EB14b57afe96b8419c8e2da1efba7256d3"/>
            <w:r>
              <w:rPr>
                <w:rFonts w:hint="eastAsia" w:ascii="宋体" w:hAnsi="宋体" w:cs="宋体"/>
                <w:color w:val="0000FF"/>
                <w:sz w:val="24"/>
                <w:highlight w:val="white"/>
              </w:rPr>
              <w:t>□</w:t>
            </w:r>
            <w:bookmarkEnd w:id="79"/>
            <w:r>
              <w:rPr>
                <w:rFonts w:hint="eastAsia" w:ascii="宋体" w:hAnsi="宋体" w:cs="宋体"/>
                <w:sz w:val="24"/>
                <w:highlight w:val="white"/>
              </w:rPr>
              <w:t>总价与单价组合式合同</w:t>
            </w:r>
          </w:p>
          <w:p w14:paraId="5A6E0E08">
            <w:pPr>
              <w:spacing w:line="440" w:lineRule="exact"/>
              <w:rPr>
                <w:rFonts w:hint="eastAsia" w:ascii="宋体" w:hAnsi="宋体" w:cs="宋体"/>
                <w:sz w:val="24"/>
              </w:rPr>
            </w:pPr>
            <w:r>
              <w:rPr>
                <w:rFonts w:hint="eastAsia" w:ascii="宋体" w:hAnsi="宋体" w:cs="宋体"/>
                <w:sz w:val="24"/>
                <w:highlight w:val="white"/>
              </w:rPr>
              <w:t>招标控制价：</w:t>
            </w:r>
            <w:bookmarkStart w:id="80" w:name="EBdb1f37e015a84ea1b4cb899508143c02"/>
            <w:bookmarkEnd w:id="80"/>
            <w:r>
              <w:rPr>
                <w:rFonts w:hint="eastAsia" w:ascii="宋体" w:hAnsi="宋体" w:cs="宋体"/>
                <w:sz w:val="24"/>
                <w:highlight w:val="white"/>
              </w:rPr>
              <w:t>元</w:t>
            </w:r>
          </w:p>
          <w:p w14:paraId="6693A583">
            <w:pPr>
              <w:spacing w:line="440" w:lineRule="exact"/>
              <w:rPr>
                <w:rFonts w:ascii="宋体" w:hAnsi="宋体" w:cs="宋体"/>
                <w:sz w:val="24"/>
              </w:rPr>
            </w:pPr>
            <w:r>
              <w:rPr>
                <w:rFonts w:hint="eastAsia" w:ascii="宋体" w:hAnsi="宋体" w:cs="宋体"/>
                <w:sz w:val="24"/>
                <w:highlight w:val="white"/>
              </w:rPr>
              <w:t>其中，总价部分招标控制价：</w:t>
            </w:r>
            <w:bookmarkStart w:id="81" w:name="EBc037d3f36f50477a91702cffe3ad2046"/>
            <w:bookmarkEnd w:id="81"/>
            <w:r>
              <w:rPr>
                <w:rFonts w:hint="eastAsia" w:ascii="宋体" w:hAnsi="宋体" w:cs="宋体"/>
                <w:sz w:val="24"/>
                <w:highlight w:val="white"/>
              </w:rPr>
              <w:t>元，单价部分招标控制价：</w:t>
            </w:r>
            <w:bookmarkStart w:id="82" w:name="EBebf16323e6794a3eb47eb47d19c1461c"/>
            <w:bookmarkEnd w:id="82"/>
            <w:r>
              <w:rPr>
                <w:rFonts w:hint="eastAsia" w:ascii="宋体" w:hAnsi="宋体" w:cs="宋体"/>
                <w:sz w:val="24"/>
                <w:highlight w:val="white"/>
              </w:rPr>
              <w:t>元。</w:t>
            </w:r>
          </w:p>
        </w:tc>
      </w:tr>
      <w:tr w14:paraId="3AEBEA1C">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6333806">
            <w:pPr>
              <w:spacing w:line="440" w:lineRule="exact"/>
              <w:jc w:val="center"/>
              <w:rPr>
                <w:rFonts w:hint="eastAsia" w:ascii="宋体" w:hAnsi="宋体" w:cs="宋体"/>
                <w:sz w:val="24"/>
              </w:rPr>
            </w:pPr>
            <w:r>
              <w:rPr>
                <w:rFonts w:hint="eastAsia" w:ascii="宋体" w:hAnsi="宋体" w:cs="宋体"/>
                <w:sz w:val="24"/>
                <w:highlight w:val="white"/>
              </w:rPr>
              <w:t>3.2.5</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89A9DD4">
            <w:pPr>
              <w:spacing w:line="440" w:lineRule="exact"/>
              <w:jc w:val="center"/>
              <w:rPr>
                <w:rFonts w:hint="eastAsia" w:ascii="宋体" w:hAnsi="宋体" w:cs="宋体"/>
                <w:sz w:val="24"/>
              </w:rPr>
            </w:pPr>
            <w:r>
              <w:rPr>
                <w:rFonts w:hint="eastAsia" w:ascii="宋体" w:hAnsi="宋体" w:cs="宋体"/>
                <w:sz w:val="24"/>
                <w:highlight w:val="white"/>
              </w:rPr>
              <w:t>投标报价的</w:t>
            </w:r>
          </w:p>
          <w:p w14:paraId="74657BD4">
            <w:pPr>
              <w:spacing w:line="440" w:lineRule="exact"/>
              <w:jc w:val="center"/>
              <w:rPr>
                <w:rFonts w:hint="eastAsia" w:ascii="宋体" w:hAnsi="宋体" w:cs="宋体"/>
                <w:sz w:val="24"/>
              </w:rPr>
            </w:pPr>
            <w:r>
              <w:rPr>
                <w:rFonts w:hint="eastAsia" w:ascii="宋体" w:hAnsi="宋体" w:cs="宋体"/>
                <w:sz w:val="24"/>
                <w:highlight w:val="white"/>
              </w:rPr>
              <w:t>其他要求</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9D3D3E2">
            <w:pPr>
              <w:spacing w:line="440" w:lineRule="exact"/>
              <w:rPr>
                <w:rFonts w:hint="eastAsia" w:ascii="宋体" w:hAnsi="宋体" w:cs="宋体"/>
                <w:sz w:val="24"/>
              </w:rPr>
            </w:pPr>
            <w:r>
              <w:rPr>
                <w:rFonts w:hint="eastAsia" w:ascii="宋体" w:hAnsi="宋体" w:cs="宋体"/>
                <w:sz w:val="24"/>
                <w:highlight w:val="white"/>
              </w:rPr>
              <w:t>投标总价扉页应按规定签字、盖章，投标报价实质性表格应完整，安全文明施工费、暂列金额、暂估费用应按招标清单公布的金额填报。（上述要求不适用于总价与单价组合式合同中的单价部分不要求投标人对项目清单的各项费用进行报价的）。</w:t>
            </w:r>
          </w:p>
          <w:p w14:paraId="6AB5ADD7">
            <w:pPr>
              <w:spacing w:line="440" w:lineRule="exact"/>
              <w:rPr>
                <w:rFonts w:hint="eastAsia" w:ascii="宋体" w:hAnsi="宋体" w:cs="宋体"/>
                <w:sz w:val="24"/>
              </w:rPr>
            </w:pPr>
            <w:bookmarkStart w:id="83" w:name="EBc3836795461c4e5b8dcbbf1bd5a60b5f"/>
            <w:r>
              <w:rPr>
                <w:rFonts w:hint="eastAsia" w:ascii="宋体" w:hAnsi="宋体" w:cs="宋体"/>
                <w:color w:val="0000FF"/>
                <w:sz w:val="24"/>
                <w:highlight w:val="white"/>
              </w:rPr>
              <w:t>□</w:t>
            </w:r>
            <w:bookmarkEnd w:id="83"/>
            <w:r>
              <w:rPr>
                <w:rFonts w:hint="eastAsia" w:ascii="宋体" w:hAnsi="宋体" w:cs="宋体"/>
                <w:sz w:val="24"/>
                <w:highlight w:val="white"/>
              </w:rPr>
              <w:t>总价与单价组合式合同中的单价部分不要求投标人对项目清单的各项费用进行报价，投标人仅需填报单价部分的投标总价。项目实施过程中按投标总价（扣除安全文明施工费、暂列金额和暂估费用等）与招标控制价相应价格的下浮率，对项目清单价格同比下浮并结合合同约定确定价格。</w:t>
            </w:r>
          </w:p>
          <w:p w14:paraId="6F97C191">
            <w:pPr>
              <w:spacing w:line="440" w:lineRule="exact"/>
              <w:rPr>
                <w:rFonts w:hint="eastAsia" w:ascii="宋体" w:hAnsi="宋体" w:cs="宋体"/>
                <w:sz w:val="24"/>
                <w:highlight w:val="green"/>
              </w:rPr>
            </w:pPr>
            <w:r>
              <w:rPr>
                <w:rFonts w:hint="eastAsia" w:ascii="宋体" w:hAnsi="宋体" w:cs="宋体"/>
                <w:sz w:val="24"/>
                <w:highlight w:val="white"/>
              </w:rPr>
              <w:t>其他：</w:t>
            </w:r>
            <w:bookmarkStart w:id="84" w:name="EB08634d3131884a62ab5efda4c5ddb840"/>
            <w:r>
              <w:rPr>
                <w:rFonts w:hint="eastAsia" w:ascii="宋体" w:hAnsi="宋体" w:cs="宋体"/>
                <w:color w:val="0000FF"/>
                <w:sz w:val="24"/>
                <w:highlight w:val="white"/>
              </w:rPr>
              <w:t>：</w:t>
            </w:r>
            <w:r>
              <w:rPr>
                <w:rFonts w:hint="eastAsia" w:ascii="宋体" w:hAnsi="宋体" w:cs="宋体"/>
                <w:color w:val="0000FF"/>
                <w:sz w:val="24"/>
                <w:highlight w:val="white"/>
              </w:rPr>
              <w:t>1.投标人结合企业自身情况及管理经验进行报价，报价不得高于最高限价。2.本项目投标最高限价暂定为:</w:t>
            </w:r>
            <w:r>
              <w:rPr>
                <w:rFonts w:hint="eastAsia" w:ascii="宋体" w:hAnsi="宋体" w:cs="宋体"/>
                <w:color w:val="0000FF"/>
                <w:sz w:val="24"/>
                <w:highlight w:val="white"/>
                <w:lang w:val="en-US" w:eastAsia="zh-CN"/>
              </w:rPr>
              <w:t>57751793.16</w:t>
            </w:r>
            <w:r>
              <w:rPr>
                <w:color w:val="0000FF"/>
              </w:rPr>
              <w:commentReference w:id="1"/>
            </w:r>
            <w:r>
              <w:rPr>
                <w:rFonts w:hint="eastAsia" w:ascii="宋体" w:hAnsi="宋体" w:cs="宋体"/>
                <w:color w:val="0000FF"/>
                <w:sz w:val="24"/>
                <w:highlight w:val="white"/>
              </w:rPr>
              <w:t>元（其中</w:t>
            </w:r>
            <w:r>
              <w:rPr>
                <w:rFonts w:hint="eastAsia" w:ascii="宋体" w:hAnsi="宋体" w:cs="宋体"/>
                <w:color w:val="0000FF"/>
                <w:sz w:val="24"/>
                <w:highlight w:val="white"/>
                <w:lang w:val="en-US" w:eastAsia="zh-CN"/>
              </w:rPr>
              <w:t>建筑工程费</w:t>
            </w:r>
            <w:r>
              <w:rPr>
                <w:rFonts w:hint="eastAsia" w:ascii="宋体" w:hAnsi="宋体" w:cs="宋体"/>
                <w:color w:val="0000FF"/>
                <w:sz w:val="24"/>
                <w:highlight w:val="white"/>
              </w:rPr>
              <w:t>暂定为：</w:t>
            </w:r>
            <w:commentRangeStart w:id="2"/>
            <w:r>
              <w:rPr>
                <w:rFonts w:hint="eastAsia" w:ascii="宋体" w:hAnsi="宋体" w:cs="宋体"/>
                <w:color w:val="0000FF"/>
                <w:sz w:val="24"/>
                <w:highlight w:val="white"/>
                <w:lang w:val="en-US" w:eastAsia="zh-CN"/>
              </w:rPr>
              <w:t>57316793.16</w:t>
            </w:r>
            <w:r>
              <w:rPr>
                <w:rFonts w:hint="eastAsia" w:ascii="宋体" w:hAnsi="宋体" w:cs="宋体"/>
                <w:color w:val="0000FF"/>
                <w:sz w:val="24"/>
                <w:highlight w:val="white"/>
              </w:rPr>
              <w:t>元，设计费最高限价暂定为：</w:t>
            </w:r>
            <w:r>
              <w:rPr>
                <w:rFonts w:hint="eastAsia" w:ascii="宋体" w:hAnsi="宋体" w:cs="宋体"/>
                <w:color w:val="0000FF"/>
                <w:sz w:val="24"/>
                <w:highlight w:val="white"/>
                <w:lang w:val="en-US" w:eastAsia="zh-CN"/>
              </w:rPr>
              <w:t>435000.00</w:t>
            </w:r>
            <w:r>
              <w:rPr>
                <w:rFonts w:hint="eastAsia" w:ascii="宋体" w:hAnsi="宋体" w:cs="宋体"/>
                <w:color w:val="0000FF"/>
                <w:sz w:val="24"/>
                <w:highlight w:val="white"/>
              </w:rPr>
              <w:t>元）</w:t>
            </w:r>
            <w:commentRangeEnd w:id="2"/>
            <w:r>
              <w:rPr>
                <w:color w:val="0000FF"/>
              </w:rPr>
              <w:commentReference w:id="2"/>
            </w:r>
            <w:r>
              <w:rPr>
                <w:rFonts w:hint="eastAsia" w:ascii="宋体" w:hAnsi="宋体" w:cs="宋体"/>
                <w:color w:val="0000FF"/>
                <w:sz w:val="24"/>
                <w:highlight w:val="white"/>
              </w:rPr>
              <w:t>。为了符合电子评标</w:t>
            </w:r>
            <w:r>
              <w:rPr>
                <w:rFonts w:hint="eastAsia" w:ascii="宋体" w:hAnsi="宋体" w:cs="宋体"/>
                <w:color w:val="0000FF"/>
                <w:sz w:val="24"/>
                <w:highlight w:val="white"/>
              </w:rPr>
              <w:t>格式要求，投标人投标时采用金额形式进行报价，在投标函中第1条的投标报价填写两部分（</w:t>
            </w:r>
            <w:r>
              <w:rPr>
                <w:rFonts w:hint="eastAsia" w:ascii="宋体" w:hAnsi="宋体" w:cs="宋体"/>
                <w:color w:val="0000FF"/>
                <w:sz w:val="24"/>
                <w:highlight w:val="white"/>
                <w:lang w:val="en-US" w:eastAsia="zh-CN"/>
              </w:rPr>
              <w:t>建筑工程费</w:t>
            </w:r>
            <w:r>
              <w:rPr>
                <w:rFonts w:hint="eastAsia" w:ascii="宋体" w:hAnsi="宋体" w:cs="宋体"/>
                <w:color w:val="0000FF"/>
                <w:sz w:val="24"/>
                <w:highlight w:val="white"/>
              </w:rPr>
              <w:t>+设计费）组成的合计总额；在投标文件格式五、价格清单投标报价构成中需要分别列出这两部分（</w:t>
            </w:r>
            <w:r>
              <w:rPr>
                <w:rFonts w:hint="eastAsia" w:ascii="宋体" w:hAnsi="宋体" w:cs="宋体"/>
                <w:color w:val="0000FF"/>
                <w:sz w:val="24"/>
                <w:highlight w:val="white"/>
                <w:lang w:val="en-US" w:eastAsia="zh-CN"/>
              </w:rPr>
              <w:t>建筑工程费</w:t>
            </w:r>
            <w:r>
              <w:rPr>
                <w:rFonts w:hint="eastAsia" w:ascii="宋体" w:hAnsi="宋体" w:cs="宋体"/>
                <w:color w:val="0000FF"/>
                <w:sz w:val="24"/>
                <w:highlight w:val="white"/>
              </w:rPr>
              <w:t>+设计费）各自的报价金额（格式自拟）。3.投标文件格式五、价格清单投标报价构成中两部分各自的报价金额合计应等于投标函中第1条的投标报价，</w:t>
            </w:r>
            <w:r>
              <w:rPr>
                <w:rFonts w:hint="eastAsia" w:ascii="宋体" w:hAnsi="宋体" w:cs="宋体"/>
                <w:color w:val="0000FF"/>
                <w:sz w:val="24"/>
                <w:highlight w:val="white"/>
                <w:lang w:val="en-US" w:eastAsia="zh-CN"/>
              </w:rPr>
              <w:t>各分项报价均不得高于招标文件给定的分项报价</w:t>
            </w:r>
            <w:r>
              <w:rPr>
                <w:rFonts w:hint="eastAsia" w:ascii="宋体" w:hAnsi="宋体" w:cs="宋体"/>
                <w:color w:val="0000FF"/>
                <w:sz w:val="24"/>
                <w:highlight w:val="white"/>
              </w:rPr>
              <w:t>，否则为无效标。</w:t>
            </w:r>
            <w:bookmarkEnd w:id="84"/>
          </w:p>
        </w:tc>
      </w:tr>
      <w:tr w14:paraId="48FA169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2C28A79">
            <w:pPr>
              <w:spacing w:line="440" w:lineRule="exact"/>
              <w:jc w:val="center"/>
              <w:rPr>
                <w:rFonts w:hint="eastAsia" w:ascii="宋体" w:hAnsi="宋体" w:cs="宋体"/>
                <w:sz w:val="24"/>
              </w:rPr>
            </w:pPr>
            <w:r>
              <w:rPr>
                <w:rFonts w:hint="eastAsia" w:ascii="宋体" w:hAnsi="宋体" w:cs="宋体"/>
                <w:sz w:val="24"/>
                <w:highlight w:val="white"/>
              </w:rPr>
              <w:t>3.3.1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52F9445">
            <w:pPr>
              <w:spacing w:line="440" w:lineRule="exact"/>
              <w:jc w:val="center"/>
              <w:rPr>
                <w:rFonts w:hint="eastAsia" w:ascii="宋体" w:hAnsi="宋体" w:cs="宋体"/>
                <w:sz w:val="24"/>
              </w:rPr>
            </w:pPr>
            <w:r>
              <w:rPr>
                <w:rFonts w:hint="eastAsia" w:ascii="宋体" w:hAnsi="宋体" w:cs="宋体"/>
                <w:sz w:val="24"/>
                <w:highlight w:val="white"/>
              </w:rPr>
              <w:t>投标有效期</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BC76BC1">
            <w:pPr>
              <w:adjustRightInd w:val="0"/>
              <w:snapToGrid w:val="0"/>
              <w:spacing w:line="360" w:lineRule="auto"/>
              <w:rPr>
                <w:rFonts w:ascii="宋体" w:hAnsi="宋体" w:cs="宋体"/>
                <w:sz w:val="24"/>
              </w:rPr>
            </w:pPr>
            <w:bookmarkStart w:id="85" w:name="EB2f3a677afe4f4ff38963c61e8745ebb0"/>
            <w:r>
              <w:rPr>
                <w:rFonts w:hint="eastAsia" w:ascii="宋体" w:hAnsi="宋体" w:cs="宋体"/>
                <w:color w:val="0000FF"/>
                <w:sz w:val="24"/>
                <w:highlight w:val="white"/>
              </w:rPr>
              <w:t>90</w:t>
            </w:r>
            <w:bookmarkEnd w:id="85"/>
            <w:r>
              <w:rPr>
                <w:rFonts w:hint="eastAsia" w:ascii="宋体" w:hAnsi="宋体" w:cs="宋体"/>
                <w:sz w:val="24"/>
                <w:highlight w:val="white"/>
              </w:rPr>
              <w:t>日历天（从投标截止之日起计算）</w:t>
            </w:r>
          </w:p>
          <w:p w14:paraId="34BA8FC8">
            <w:pPr>
              <w:spacing w:line="440" w:lineRule="exact"/>
              <w:rPr>
                <w:rFonts w:hint="eastAsia" w:ascii="宋体" w:hAnsi="宋体" w:cs="宋体"/>
                <w:sz w:val="24"/>
              </w:rPr>
            </w:pPr>
            <w:r>
              <w:rPr>
                <w:rFonts w:hint="eastAsia" w:ascii="宋体" w:hAnsi="宋体" w:cs="宋体"/>
                <w:sz w:val="24"/>
                <w:highlight w:val="white"/>
              </w:rPr>
              <w:t>注:在原投标有效期内未完成评标和签订合同的,招标人应当通知所有投标人延长投标有效期;拒绝延长投标有效期的投标人有权收回投标保证金;没有拒绝延长投标有效期的投标人自动延长其投标担保的有效期,但不得修改投标文件的实质性内容。因延长投标有效期造成投标人损失的,招标人应当给予补偿,但因不可抗力需延长投标有效期的除外。</w:t>
            </w:r>
          </w:p>
        </w:tc>
      </w:tr>
      <w:tr w14:paraId="4A7F5A55">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B060988">
            <w:pPr>
              <w:spacing w:line="440" w:lineRule="exact"/>
              <w:jc w:val="center"/>
              <w:rPr>
                <w:rFonts w:hint="eastAsia" w:ascii="宋体" w:hAnsi="宋体" w:cs="宋体"/>
                <w:sz w:val="24"/>
              </w:rPr>
            </w:pPr>
            <w:r>
              <w:rPr>
                <w:rFonts w:hint="eastAsia" w:ascii="宋体" w:hAnsi="宋体" w:cs="宋体"/>
                <w:sz w:val="24"/>
                <w:highlight w:val="white"/>
              </w:rPr>
              <w:t>3.4.1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1B9CCBDA">
            <w:pPr>
              <w:spacing w:line="440" w:lineRule="exact"/>
              <w:jc w:val="center"/>
              <w:rPr>
                <w:rFonts w:hint="eastAsia" w:ascii="宋体" w:hAnsi="宋体" w:cs="宋体"/>
                <w:sz w:val="24"/>
              </w:rPr>
            </w:pPr>
            <w:r>
              <w:rPr>
                <w:rFonts w:hint="eastAsia" w:ascii="宋体" w:hAnsi="宋体" w:cs="宋体"/>
                <w:sz w:val="24"/>
                <w:highlight w:val="white"/>
              </w:rPr>
              <w:t>投标保证金</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FEE21C7">
            <w:pPr>
              <w:spacing w:line="360" w:lineRule="auto"/>
              <w:rPr>
                <w:rFonts w:hint="eastAsia" w:ascii="宋体" w:hAnsi="宋体" w:cs="宋体"/>
                <w:sz w:val="24"/>
              </w:rPr>
            </w:pPr>
            <w:r>
              <w:rPr>
                <w:rFonts w:hint="eastAsia" w:ascii="宋体" w:hAnsi="宋体" w:cs="宋体"/>
                <w:sz w:val="24"/>
                <w:highlight w:val="white"/>
              </w:rPr>
              <w:t>1.投标保证金的金额：</w:t>
            </w:r>
            <w:r>
              <w:rPr>
                <w:rFonts w:hint="eastAsia" w:ascii="宋体" w:hAnsi="宋体" w:cs="宋体"/>
                <w:color w:val="0000FF"/>
                <w:sz w:val="24"/>
                <w:highlight w:val="white"/>
                <w:lang w:val="en-US" w:eastAsia="zh-CN"/>
              </w:rPr>
              <w:t>50</w:t>
            </w:r>
            <w:r>
              <w:rPr>
                <w:rFonts w:hint="eastAsia" w:ascii="宋体" w:hAnsi="宋体" w:cs="宋体"/>
                <w:sz w:val="24"/>
                <w:highlight w:val="white"/>
              </w:rPr>
              <w:t>万元。</w:t>
            </w:r>
          </w:p>
          <w:p w14:paraId="1FD8D460">
            <w:pPr>
              <w:spacing w:line="360" w:lineRule="auto"/>
              <w:rPr>
                <w:rFonts w:hint="eastAsia" w:ascii="宋体" w:hAnsi="宋体" w:cs="宋体"/>
                <w:sz w:val="24"/>
              </w:rPr>
            </w:pPr>
            <w:r>
              <w:rPr>
                <w:rFonts w:hint="eastAsia" w:ascii="宋体" w:hAnsi="宋体" w:cs="宋体"/>
                <w:sz w:val="24"/>
                <w:highlight w:val="white"/>
              </w:rPr>
              <w:t>2.投标人可以选择下列两种形式之一提交：</w:t>
            </w:r>
          </w:p>
          <w:p w14:paraId="27242A23">
            <w:pPr>
              <w:spacing w:line="360" w:lineRule="auto"/>
              <w:rPr>
                <w:rFonts w:hint="eastAsia" w:ascii="宋体" w:hAnsi="宋体" w:cs="宋体"/>
                <w:sz w:val="24"/>
              </w:rPr>
            </w:pPr>
            <w:r>
              <w:rPr>
                <w:rFonts w:hint="eastAsia" w:ascii="宋体" w:hAnsi="宋体" w:cs="宋体"/>
                <w:sz w:val="24"/>
                <w:highlight w:val="white"/>
              </w:rPr>
              <w:t>（1）现金转账：投标人应根据报名回执上载明的投标保证金收款账户名、账号、开户银行、应交金额等要求交纳保证金，应从其基本账户将投标保证金一次性转至报名回执上的收款账号，投标保证金应在投标截止时间前递交（以到账时间为准）。</w:t>
            </w:r>
          </w:p>
          <w:p w14:paraId="44901DAB">
            <w:pPr>
              <w:spacing w:line="360" w:lineRule="auto"/>
              <w:rPr>
                <w:rFonts w:hint="eastAsia" w:ascii="宋体" w:hAnsi="宋体" w:cs="宋体"/>
                <w:sz w:val="24"/>
              </w:rPr>
            </w:pPr>
            <w:r>
              <w:rPr>
                <w:rFonts w:hint="eastAsia" w:ascii="宋体" w:hAnsi="宋体" w:cs="宋体"/>
                <w:sz w:val="24"/>
                <w:highlight w:val="white"/>
              </w:rPr>
              <w:t>（2）以银行电子保函或专业担保公司电子保函或电子保险合同形式提交。投标人应在投标截止时间前通过：《全国公共资源交易平台（四川省•绵阳市）》电子交易系统申办电子保函或电子保险合同。</w:t>
            </w:r>
          </w:p>
          <w:p w14:paraId="72CF2E47">
            <w:pPr>
              <w:spacing w:line="360" w:lineRule="auto"/>
              <w:rPr>
                <w:rFonts w:hint="eastAsia" w:ascii="宋体" w:hAnsi="宋体" w:cs="宋体"/>
                <w:sz w:val="24"/>
              </w:rPr>
            </w:pPr>
            <w:r>
              <w:rPr>
                <w:rFonts w:hint="eastAsia" w:ascii="宋体" w:hAnsi="宋体" w:cs="宋体"/>
                <w:sz w:val="24"/>
                <w:highlight w:val="white"/>
              </w:rPr>
              <w:t>电子保函或电子保险合同的生效时间最迟不晚于投标截止时间，在投标有效期内保持有效。</w:t>
            </w:r>
          </w:p>
        </w:tc>
      </w:tr>
      <w:tr w14:paraId="6364BD4F">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328AE54">
            <w:pPr>
              <w:spacing w:line="360" w:lineRule="auto"/>
              <w:jc w:val="center"/>
              <w:rPr>
                <w:rFonts w:hint="eastAsia" w:ascii="宋体" w:hAnsi="宋体" w:cs="宋体"/>
                <w:sz w:val="24"/>
              </w:rPr>
            </w:pPr>
            <w:r>
              <w:rPr>
                <w:rFonts w:hint="eastAsia" w:ascii="宋体" w:hAnsi="宋体" w:cs="宋体"/>
                <w:sz w:val="24"/>
                <w:highlight w:val="white"/>
              </w:rPr>
              <w:t>3.4.3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50D67EE1">
            <w:pPr>
              <w:spacing w:line="360" w:lineRule="auto"/>
              <w:jc w:val="center"/>
              <w:rPr>
                <w:rFonts w:hint="eastAsia" w:ascii="宋体" w:hAnsi="宋体" w:cs="宋体"/>
                <w:sz w:val="24"/>
              </w:rPr>
            </w:pPr>
            <w:r>
              <w:rPr>
                <w:rFonts w:hint="eastAsia" w:ascii="宋体" w:hAnsi="宋体" w:cs="宋体"/>
                <w:sz w:val="24"/>
                <w:highlight w:val="white"/>
              </w:rPr>
              <w:t>投标保证金的退还</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D78B1F1">
            <w:pPr>
              <w:adjustRightInd w:val="0"/>
              <w:snapToGrid w:val="0"/>
              <w:spacing w:line="360" w:lineRule="auto"/>
              <w:rPr>
                <w:rFonts w:hint="eastAsia" w:ascii="宋体" w:hAnsi="宋体" w:cs="宋体"/>
                <w:sz w:val="24"/>
              </w:rPr>
            </w:pPr>
            <w:bookmarkStart w:id="86" w:name="EB90d2fe5e03314ce0aaa058c70fa46685"/>
            <w:r>
              <w:rPr>
                <w:rFonts w:hint="eastAsia" w:ascii="宋体" w:hAnsi="宋体"/>
                <w:color w:val="0000FF"/>
                <w:sz w:val="28"/>
                <w:szCs w:val="28"/>
                <w:highlight w:val="white"/>
              </w:rPr>
              <w:t>□</w:t>
            </w:r>
            <w:bookmarkEnd w:id="86"/>
            <w:r>
              <w:rPr>
                <w:rFonts w:hint="eastAsia" w:ascii="宋体" w:hAnsi="宋体" w:cs="宋体"/>
                <w:sz w:val="24"/>
                <w:highlight w:val="white"/>
              </w:rPr>
              <w:t>不适用（不要求投标人提交投标保证金的）</w:t>
            </w:r>
          </w:p>
          <w:p w14:paraId="71C47273">
            <w:pPr>
              <w:spacing w:line="360" w:lineRule="auto"/>
              <w:rPr>
                <w:rFonts w:hint="eastAsia" w:ascii="宋体" w:hAnsi="宋体" w:cs="宋体"/>
                <w:sz w:val="24"/>
              </w:rPr>
            </w:pPr>
            <w:bookmarkStart w:id="87" w:name="EBfc278d55302648b29be2ea945c2ba307"/>
            <w:r>
              <w:rPr>
                <w:rFonts w:hint="eastAsia" w:ascii="宋体" w:hAnsi="宋体"/>
                <w:color w:val="0000FF"/>
                <w:sz w:val="28"/>
                <w:szCs w:val="28"/>
                <w:highlight w:val="white"/>
              </w:rPr>
              <w:t>☑</w:t>
            </w:r>
            <w:bookmarkEnd w:id="87"/>
            <w:r>
              <w:rPr>
                <w:rFonts w:hint="eastAsia" w:ascii="宋体" w:hAnsi="宋体" w:cs="宋体"/>
                <w:sz w:val="24"/>
                <w:highlight w:val="white"/>
              </w:rPr>
              <w:t>在线提交的投标保证金，招标人最迟应当在书面合同签订后5日内向中标人和未中标的投标人退还投标保证金到投标人的基本账户，退还投标保证金时通过</w:t>
            </w:r>
            <w:bookmarkStart w:id="88" w:name="EBb265c4fd9cd445b9906feab304c0d4f9"/>
            <w:r>
              <w:rPr>
                <w:rFonts w:hint="eastAsia" w:ascii="宋体" w:hAnsi="宋体" w:cs="宋体"/>
                <w:color w:val="0000FF"/>
                <w:sz w:val="24"/>
                <w:highlight w:val="white"/>
              </w:rPr>
              <w:t>绵阳市公共资源交易中心</w:t>
            </w:r>
            <w:bookmarkEnd w:id="88"/>
            <w:r>
              <w:rPr>
                <w:rFonts w:hint="eastAsia" w:ascii="宋体" w:hAnsi="宋体" w:cs="宋体"/>
                <w:sz w:val="24"/>
                <w:highlight w:val="white"/>
              </w:rPr>
              <w:t>系统原路径退还。</w:t>
            </w:r>
          </w:p>
          <w:p w14:paraId="0702F05F">
            <w:pPr>
              <w:spacing w:line="360" w:lineRule="auto"/>
              <w:ind w:firstLine="480" w:firstLineChars="200"/>
              <w:rPr>
                <w:rFonts w:hint="eastAsia" w:ascii="宋体" w:hAnsi="宋体" w:cs="宋体"/>
                <w:sz w:val="24"/>
              </w:rPr>
            </w:pPr>
            <w:r>
              <w:rPr>
                <w:rFonts w:hint="eastAsia" w:ascii="宋体" w:hAnsi="宋体" w:cs="宋体"/>
                <w:sz w:val="24"/>
                <w:highlight w:val="white"/>
              </w:rPr>
              <w:t>超过投标有效期的项目，招标人（或招标代理机构）仍不向绵阳市公共资源交易服务中心提交保证金退还确认书的，绵阳市公共资源交易服务中心有权将投标保证金原路退还到投标人的基本账户，由此产生的纠纷，由招标人（招标代理机构）自行承担。</w:t>
            </w:r>
          </w:p>
        </w:tc>
      </w:tr>
      <w:tr w14:paraId="17F51DAF">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91E2B94">
            <w:pPr>
              <w:spacing w:line="440" w:lineRule="exact"/>
              <w:jc w:val="center"/>
              <w:rPr>
                <w:rFonts w:hint="eastAsia" w:ascii="宋体" w:hAnsi="宋体" w:cs="宋体"/>
                <w:sz w:val="24"/>
              </w:rPr>
            </w:pPr>
            <w:r>
              <w:rPr>
                <w:rFonts w:hint="eastAsia" w:ascii="宋体" w:hAnsi="宋体" w:cs="宋体"/>
                <w:sz w:val="24"/>
                <w:highlight w:val="white"/>
              </w:rPr>
              <w:t>3.4.4</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4E76242">
            <w:pPr>
              <w:spacing w:line="360" w:lineRule="auto"/>
              <w:jc w:val="center"/>
              <w:rPr>
                <w:rFonts w:hint="eastAsia" w:ascii="宋体" w:hAnsi="宋体" w:cs="宋体"/>
                <w:sz w:val="24"/>
              </w:rPr>
            </w:pPr>
            <w:r>
              <w:rPr>
                <w:rFonts w:hint="eastAsia" w:ascii="宋体" w:hAnsi="宋体"/>
                <w:sz w:val="24"/>
                <w:highlight w:val="white"/>
              </w:rPr>
              <w:t>投标保证金不予退还的情形</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5BACBD7">
            <w:pPr>
              <w:adjustRightInd w:val="0"/>
              <w:snapToGrid w:val="0"/>
              <w:spacing w:line="360" w:lineRule="auto"/>
              <w:rPr>
                <w:rFonts w:ascii="宋体" w:hAnsi="宋体" w:cs="宋体"/>
                <w:sz w:val="24"/>
              </w:rPr>
            </w:pPr>
            <w:r>
              <w:rPr>
                <w:rFonts w:hint="eastAsia" w:ascii="宋体" w:hAnsi="宋体" w:cs="宋体"/>
                <w:sz w:val="24"/>
                <w:highlight w:val="white"/>
              </w:rPr>
              <w:t>在投标活动中，投标人串通投标、弄虚作假、隐瞒限制投标情形，确定中标人前放弃中标候选人资格的，中标人在收到中标通知书后，无正当理由拒签合同协议书的，投标保证金也不予退还。</w:t>
            </w:r>
          </w:p>
          <w:p w14:paraId="72C3580D">
            <w:pPr>
              <w:spacing w:line="360" w:lineRule="auto"/>
              <w:rPr>
                <w:rFonts w:hint="eastAsia" w:ascii="宋体" w:hAnsi="宋体" w:cs="宋体"/>
                <w:sz w:val="24"/>
              </w:rPr>
            </w:pPr>
            <w:r>
              <w:rPr>
                <w:rFonts w:hint="eastAsia" w:ascii="宋体" w:hAnsi="宋体" w:cs="宋体"/>
                <w:sz w:val="24"/>
                <w:highlight w:val="white"/>
              </w:rPr>
              <w:t>其他情形：</w:t>
            </w:r>
            <w:bookmarkStart w:id="89" w:name="EBb4421865466c4b28931a764d788d2d85"/>
            <w:r>
              <w:rPr>
                <w:rFonts w:hint="eastAsia" w:ascii="宋体" w:hAnsi="宋体" w:eastAsia="宋体" w:cs="宋体"/>
                <w:color w:val="0000FF"/>
                <w:sz w:val="24"/>
                <w:highlight w:val="white"/>
                <w:lang w:val="en-US" w:eastAsia="zh-CN"/>
              </w:rPr>
              <w:t>法律法规规定的其他情形</w:t>
            </w:r>
            <w:r>
              <w:rPr>
                <w:rFonts w:hint="eastAsia" w:ascii="宋体" w:hAnsi="宋体" w:cs="宋体"/>
                <w:color w:val="0000FF"/>
                <w:sz w:val="24"/>
                <w:highlight w:val="white"/>
              </w:rPr>
              <w:t>。</w:t>
            </w:r>
            <w:bookmarkEnd w:id="89"/>
          </w:p>
        </w:tc>
      </w:tr>
      <w:tr w14:paraId="68E7837F">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6617994">
            <w:pPr>
              <w:spacing w:line="440" w:lineRule="exact"/>
              <w:jc w:val="center"/>
              <w:rPr>
                <w:rFonts w:hint="eastAsia" w:ascii="宋体" w:hAnsi="宋体" w:cs="宋体"/>
                <w:sz w:val="24"/>
              </w:rPr>
            </w:pPr>
            <w:r>
              <w:rPr>
                <w:rFonts w:hint="eastAsia" w:ascii="宋体" w:hAnsi="宋体" w:cs="宋体"/>
                <w:sz w:val="24"/>
                <w:highlight w:val="white"/>
              </w:rPr>
              <w:t>3.5.2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84705DE">
            <w:pPr>
              <w:spacing w:line="440" w:lineRule="exact"/>
              <w:jc w:val="center"/>
              <w:rPr>
                <w:rFonts w:hint="eastAsia" w:ascii="宋体" w:hAnsi="宋体" w:cs="宋体"/>
                <w:sz w:val="24"/>
              </w:rPr>
            </w:pPr>
            <w:r>
              <w:rPr>
                <w:rFonts w:hint="eastAsia" w:ascii="宋体" w:hAnsi="宋体" w:cs="宋体"/>
                <w:sz w:val="24"/>
                <w:highlight w:val="white"/>
              </w:rPr>
              <w:t>近年财务状况</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86614B1">
            <w:pPr>
              <w:adjustRightInd w:val="0"/>
              <w:snapToGrid w:val="0"/>
              <w:spacing w:line="360" w:lineRule="auto"/>
              <w:rPr>
                <w:rFonts w:ascii="宋体" w:hAnsi="宋体" w:cs="宋体"/>
                <w:sz w:val="24"/>
              </w:rPr>
            </w:pPr>
            <w:bookmarkStart w:id="90" w:name="EB18aa472ea0564f51b17c8e65c896181d"/>
            <w:r>
              <w:rPr>
                <w:rFonts w:hint="eastAsia" w:ascii="宋体" w:hAnsi="宋体"/>
                <w:color w:val="0000FF"/>
                <w:sz w:val="28"/>
                <w:szCs w:val="28"/>
                <w:highlight w:val="white"/>
              </w:rPr>
              <w:t>☑</w:t>
            </w:r>
            <w:bookmarkEnd w:id="90"/>
            <w:r>
              <w:rPr>
                <w:rFonts w:hint="eastAsia" w:ascii="宋体" w:hAnsi="宋体" w:cs="宋体"/>
                <w:sz w:val="24"/>
                <w:highlight w:val="white"/>
              </w:rPr>
              <w:t>无</w:t>
            </w:r>
          </w:p>
          <w:p w14:paraId="64AEA6C4">
            <w:pPr>
              <w:spacing w:line="440" w:lineRule="exact"/>
              <w:rPr>
                <w:rFonts w:hint="eastAsia" w:ascii="宋体" w:hAnsi="宋体" w:cs="宋体"/>
                <w:sz w:val="24"/>
              </w:rPr>
            </w:pPr>
            <w:bookmarkStart w:id="91" w:name="EBe446aee96a9741a7a652f10b898e0748"/>
            <w:r>
              <w:rPr>
                <w:rFonts w:hint="eastAsia" w:ascii="宋体" w:hAnsi="宋体"/>
                <w:color w:val="0000FF"/>
                <w:sz w:val="28"/>
                <w:szCs w:val="28"/>
                <w:highlight w:val="white"/>
              </w:rPr>
              <w:t>□</w:t>
            </w:r>
            <w:bookmarkEnd w:id="91"/>
            <w:r>
              <w:rPr>
                <w:rFonts w:hint="eastAsia" w:ascii="宋体" w:hAnsi="宋体" w:cs="宋体"/>
                <w:sz w:val="24"/>
                <w:highlight w:val="white"/>
              </w:rPr>
              <w:t>有，具体要求：近</w:t>
            </w:r>
            <w:bookmarkStart w:id="92" w:name="EB5a96d527b33e4574a3f16cdacde4a82f"/>
            <w:bookmarkEnd w:id="92"/>
            <w:r>
              <w:rPr>
                <w:rFonts w:hint="eastAsia" w:ascii="宋体" w:hAnsi="宋体" w:cs="宋体"/>
                <w:sz w:val="24"/>
                <w:highlight w:val="white"/>
              </w:rPr>
              <w:t>年</w:t>
            </w:r>
          </w:p>
        </w:tc>
      </w:tr>
      <w:tr w14:paraId="2A024B87">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659F4845">
            <w:pPr>
              <w:spacing w:line="440" w:lineRule="exact"/>
              <w:jc w:val="center"/>
              <w:rPr>
                <w:rFonts w:hint="eastAsia" w:ascii="宋体" w:hAnsi="宋体" w:cs="宋体"/>
                <w:sz w:val="24"/>
              </w:rPr>
            </w:pPr>
            <w:r>
              <w:rPr>
                <w:rFonts w:hint="eastAsia" w:ascii="宋体" w:hAnsi="宋体" w:cs="宋体"/>
                <w:sz w:val="24"/>
                <w:highlight w:val="white"/>
              </w:rPr>
              <w:t>3.5.3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C4119F8">
            <w:pPr>
              <w:spacing w:line="440" w:lineRule="exact"/>
              <w:jc w:val="center"/>
              <w:rPr>
                <w:rFonts w:hint="eastAsia" w:ascii="宋体" w:hAnsi="宋体" w:cs="宋体"/>
                <w:sz w:val="24"/>
              </w:rPr>
            </w:pPr>
            <w:r>
              <w:rPr>
                <w:rFonts w:hint="eastAsia" w:ascii="宋体" w:hAnsi="宋体" w:cs="宋体"/>
                <w:sz w:val="24"/>
                <w:highlight w:val="white"/>
              </w:rPr>
              <w:t>近年完成的类似项目</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55FC786">
            <w:pPr>
              <w:widowControl/>
              <w:adjustRightInd w:val="0"/>
              <w:snapToGrid w:val="0"/>
              <w:spacing w:line="360" w:lineRule="auto"/>
              <w:rPr>
                <w:rFonts w:ascii="宋体" w:hAnsi="宋体" w:cs="Arial"/>
                <w:kern w:val="0"/>
                <w:sz w:val="24"/>
              </w:rPr>
            </w:pPr>
            <w:bookmarkStart w:id="93" w:name="EB846b1c74038145ada1d9ecbd74d27ece"/>
            <w:r>
              <w:rPr>
                <w:rFonts w:hint="eastAsia" w:ascii="宋体" w:hAnsi="宋体" w:cs="Arial"/>
                <w:color w:val="0000FF"/>
                <w:kern w:val="0"/>
                <w:sz w:val="28"/>
                <w:szCs w:val="28"/>
                <w:highlight w:val="white"/>
              </w:rPr>
              <w:t>☑</w:t>
            </w:r>
            <w:bookmarkEnd w:id="93"/>
            <w:r>
              <w:rPr>
                <w:rFonts w:hint="eastAsia" w:ascii="宋体" w:hAnsi="宋体" w:cs="Arial"/>
                <w:kern w:val="0"/>
                <w:sz w:val="24"/>
                <w:highlight w:val="white"/>
              </w:rPr>
              <w:t>无</w:t>
            </w:r>
          </w:p>
          <w:p w14:paraId="3385FBA4">
            <w:pPr>
              <w:spacing w:line="440" w:lineRule="exact"/>
              <w:rPr>
                <w:rFonts w:hint="eastAsia" w:ascii="宋体" w:hAnsi="宋体" w:cs="宋体"/>
                <w:sz w:val="24"/>
              </w:rPr>
            </w:pPr>
            <w:bookmarkStart w:id="94" w:name="EB7cbc993cc08b4d01bf5365d8716a2af2"/>
            <w:r>
              <w:rPr>
                <w:rFonts w:hint="eastAsia" w:ascii="宋体" w:hAnsi="宋体" w:cs="Arial"/>
                <w:color w:val="0000FF"/>
                <w:kern w:val="0"/>
                <w:sz w:val="28"/>
                <w:szCs w:val="28"/>
                <w:highlight w:val="white"/>
              </w:rPr>
              <w:t>□</w:t>
            </w:r>
            <w:bookmarkEnd w:id="94"/>
            <w:r>
              <w:rPr>
                <w:rFonts w:hint="eastAsia" w:ascii="宋体" w:hAnsi="宋体" w:cs="Arial"/>
                <w:kern w:val="0"/>
                <w:sz w:val="24"/>
                <w:highlight w:val="white"/>
              </w:rPr>
              <w:t>有</w:t>
            </w:r>
            <w:r>
              <w:rPr>
                <w:rFonts w:hint="eastAsia" w:ascii="宋体" w:hAnsi="宋体" w:cs="宋体"/>
                <w:kern w:val="0"/>
                <w:sz w:val="24"/>
                <w:highlight w:val="white"/>
              </w:rPr>
              <w:t>，具体要求：</w:t>
            </w:r>
            <w:bookmarkStart w:id="95" w:name="EB1bbd1c1a9fba4ed795d79620177caf74"/>
            <w:bookmarkEnd w:id="95"/>
            <w:r>
              <w:rPr>
                <w:rFonts w:hint="eastAsia" w:ascii="宋体" w:hAnsi="宋体" w:cs="宋体"/>
                <w:kern w:val="0"/>
                <w:sz w:val="24"/>
                <w:highlight w:val="white"/>
              </w:rPr>
              <w:t>至投标截止时间</w:t>
            </w:r>
          </w:p>
        </w:tc>
      </w:tr>
      <w:tr w14:paraId="019084D3">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004F462">
            <w:pPr>
              <w:spacing w:line="440" w:lineRule="exact"/>
              <w:jc w:val="center"/>
              <w:rPr>
                <w:rFonts w:hint="eastAsia" w:ascii="宋体" w:hAnsi="宋体" w:cs="宋体"/>
                <w:sz w:val="24"/>
              </w:rPr>
            </w:pPr>
            <w:r>
              <w:rPr>
                <w:rFonts w:hint="eastAsia" w:ascii="宋体" w:hAnsi="宋体" w:cs="宋体"/>
                <w:sz w:val="24"/>
                <w:highlight w:val="white"/>
              </w:rPr>
              <w:t>3.5.5</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6AE922C">
            <w:pPr>
              <w:spacing w:line="440" w:lineRule="exact"/>
              <w:jc w:val="center"/>
              <w:rPr>
                <w:rFonts w:hint="eastAsia" w:ascii="宋体" w:hAnsi="宋体" w:cs="宋体"/>
                <w:sz w:val="24"/>
              </w:rPr>
            </w:pPr>
            <w:r>
              <w:rPr>
                <w:rFonts w:hint="eastAsia" w:ascii="宋体" w:hAnsi="宋体" w:cs="宋体"/>
                <w:sz w:val="24"/>
                <w:highlight w:val="white"/>
              </w:rPr>
              <w:t>近年发生的重大诉讼及仲裁情况</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56D9827D">
            <w:pPr>
              <w:spacing w:line="360" w:lineRule="auto"/>
              <w:rPr>
                <w:rFonts w:ascii="宋体" w:hAnsi="宋体" w:cs="Arial"/>
                <w:kern w:val="0"/>
                <w:sz w:val="28"/>
                <w:szCs w:val="28"/>
              </w:rPr>
            </w:pPr>
            <w:bookmarkStart w:id="96" w:name="EB6f270fed6cbf465b865b3c72cc00656f"/>
            <w:r>
              <w:rPr>
                <w:rFonts w:hint="eastAsia" w:ascii="宋体" w:hAnsi="宋体" w:cs="Arial"/>
                <w:color w:val="0000FF"/>
                <w:kern w:val="0"/>
                <w:sz w:val="28"/>
                <w:szCs w:val="28"/>
                <w:highlight w:val="white"/>
              </w:rPr>
              <w:t>☑</w:t>
            </w:r>
            <w:bookmarkEnd w:id="96"/>
            <w:r>
              <w:rPr>
                <w:rFonts w:hint="eastAsia" w:ascii="宋体" w:hAnsi="宋体" w:cs="Arial"/>
                <w:kern w:val="0"/>
                <w:sz w:val="24"/>
                <w:highlight w:val="white"/>
              </w:rPr>
              <w:t>本次投标不提供</w:t>
            </w:r>
          </w:p>
          <w:p w14:paraId="181C00A5">
            <w:pPr>
              <w:spacing w:line="440" w:lineRule="exact"/>
              <w:rPr>
                <w:rFonts w:hint="eastAsia" w:ascii="宋体" w:hAnsi="宋体" w:cs="宋体"/>
                <w:sz w:val="24"/>
              </w:rPr>
            </w:pPr>
            <w:bookmarkStart w:id="97" w:name="EB4492922bf5ce4971a21965efae4f9083"/>
            <w:r>
              <w:rPr>
                <w:rFonts w:hint="eastAsia" w:ascii="宋体" w:hAnsi="宋体" w:cs="Arial"/>
                <w:color w:val="0000FF"/>
                <w:kern w:val="0"/>
                <w:sz w:val="28"/>
                <w:szCs w:val="28"/>
                <w:highlight w:val="white"/>
              </w:rPr>
              <w:t>□</w:t>
            </w:r>
            <w:bookmarkEnd w:id="97"/>
            <w:r>
              <w:rPr>
                <w:rFonts w:hint="eastAsia" w:ascii="宋体" w:hAnsi="宋体" w:cs="宋体"/>
                <w:sz w:val="24"/>
                <w:highlight w:val="white"/>
              </w:rPr>
              <w:t>具体要求：</w:t>
            </w:r>
            <w:bookmarkStart w:id="98" w:name="EB88000aa6ebbd4497a6cf5b029c8c84cd"/>
            <w:bookmarkEnd w:id="98"/>
            <w:r>
              <w:rPr>
                <w:rFonts w:hint="eastAsia" w:ascii="宋体" w:hAnsi="宋体" w:cs="宋体"/>
                <w:sz w:val="24"/>
                <w:highlight w:val="white"/>
              </w:rPr>
              <w:t>至投标截止时间</w:t>
            </w:r>
          </w:p>
        </w:tc>
      </w:tr>
      <w:tr w14:paraId="2F18F8E5">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16E7424">
            <w:pPr>
              <w:spacing w:line="440" w:lineRule="exact"/>
              <w:jc w:val="center"/>
              <w:rPr>
                <w:rFonts w:hint="eastAsia" w:ascii="宋体" w:hAnsi="宋体" w:cs="宋体"/>
                <w:sz w:val="24"/>
              </w:rPr>
            </w:pPr>
            <w:r>
              <w:rPr>
                <w:rFonts w:hint="eastAsia" w:ascii="宋体" w:hAnsi="宋体" w:cs="宋体"/>
                <w:sz w:val="24"/>
                <w:highlight w:val="white"/>
              </w:rPr>
              <w:t>3.6</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8C6E9ED">
            <w:pPr>
              <w:spacing w:line="440" w:lineRule="exact"/>
              <w:jc w:val="center"/>
              <w:rPr>
                <w:rFonts w:hint="eastAsia" w:ascii="宋体" w:hAnsi="宋体" w:cs="宋体"/>
                <w:sz w:val="24"/>
              </w:rPr>
            </w:pPr>
            <w:r>
              <w:rPr>
                <w:rFonts w:hint="eastAsia" w:ascii="宋体" w:hAnsi="宋体" w:cs="宋体"/>
                <w:sz w:val="24"/>
                <w:highlight w:val="white"/>
              </w:rPr>
              <w:t>是否允许递交备选投标方案</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E10CDC6">
            <w:pPr>
              <w:spacing w:line="360" w:lineRule="auto"/>
              <w:rPr>
                <w:rFonts w:hint="eastAsia" w:ascii="宋体" w:hAnsi="宋体" w:cs="宋体"/>
                <w:sz w:val="24"/>
              </w:rPr>
            </w:pPr>
            <w:bookmarkStart w:id="99" w:name="EB6a3e96a5cb25461ea784558d6799a83b"/>
            <w:r>
              <w:rPr>
                <w:rFonts w:hint="eastAsia" w:ascii="宋体" w:hAnsi="宋体" w:cs="宋体"/>
                <w:color w:val="0000FF"/>
                <w:sz w:val="24"/>
                <w:highlight w:val="white"/>
              </w:rPr>
              <w:t>☑</w:t>
            </w:r>
            <w:bookmarkEnd w:id="99"/>
            <w:r>
              <w:rPr>
                <w:rFonts w:hint="eastAsia" w:ascii="宋体" w:hAnsi="宋体" w:cs="宋体"/>
                <w:sz w:val="24"/>
                <w:highlight w:val="white"/>
              </w:rPr>
              <w:t>不允许</w:t>
            </w:r>
          </w:p>
          <w:p w14:paraId="63BBB010">
            <w:pPr>
              <w:spacing w:line="440" w:lineRule="exact"/>
              <w:rPr>
                <w:rFonts w:hint="eastAsia" w:ascii="宋体" w:hAnsi="宋体" w:cs="宋体"/>
                <w:sz w:val="24"/>
              </w:rPr>
            </w:pPr>
            <w:bookmarkStart w:id="100" w:name="EBc39c505c28354bc3808deb1e9150e75f"/>
            <w:r>
              <w:rPr>
                <w:rFonts w:hint="eastAsia" w:ascii="宋体" w:hAnsi="宋体" w:cs="宋体"/>
                <w:color w:val="0000FF"/>
                <w:sz w:val="24"/>
                <w:highlight w:val="white"/>
              </w:rPr>
              <w:t>□</w:t>
            </w:r>
            <w:bookmarkEnd w:id="100"/>
            <w:r>
              <w:rPr>
                <w:rFonts w:hint="eastAsia" w:ascii="宋体" w:hAnsi="宋体" w:cs="宋体"/>
                <w:sz w:val="24"/>
                <w:highlight w:val="white"/>
              </w:rPr>
              <w:t>允许</w:t>
            </w:r>
          </w:p>
        </w:tc>
      </w:tr>
      <w:tr w14:paraId="24A2803B">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43900C1">
            <w:pPr>
              <w:spacing w:line="360" w:lineRule="auto"/>
              <w:jc w:val="center"/>
              <w:rPr>
                <w:rFonts w:hint="eastAsia" w:ascii="宋体" w:hAnsi="宋体" w:cs="宋体"/>
                <w:sz w:val="24"/>
              </w:rPr>
            </w:pPr>
            <w:r>
              <w:rPr>
                <w:rFonts w:hint="eastAsia" w:ascii="宋体" w:hAnsi="宋体"/>
                <w:sz w:val="24"/>
                <w:highlight w:val="white"/>
              </w:rPr>
              <w:t>3.7.1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55002CC8">
            <w:pPr>
              <w:spacing w:line="360" w:lineRule="auto"/>
              <w:jc w:val="center"/>
              <w:rPr>
                <w:rFonts w:hint="eastAsia" w:ascii="宋体" w:hAnsi="宋体" w:cs="宋体"/>
                <w:sz w:val="24"/>
              </w:rPr>
            </w:pPr>
            <w:r>
              <w:rPr>
                <w:rFonts w:hint="eastAsia" w:ascii="宋体" w:hAnsi="宋体"/>
                <w:sz w:val="24"/>
                <w:highlight w:val="white"/>
              </w:rPr>
              <w:t>投标文件格式</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4BCE471">
            <w:pPr>
              <w:adjustRightInd w:val="0"/>
              <w:snapToGrid w:val="0"/>
              <w:spacing w:line="360" w:lineRule="auto"/>
              <w:rPr>
                <w:rFonts w:ascii="宋体" w:hAnsi="宋体" w:cs="宋体"/>
                <w:sz w:val="24"/>
              </w:rPr>
            </w:pPr>
            <w:r>
              <w:rPr>
                <w:rFonts w:hint="eastAsia" w:ascii="宋体" w:hAnsi="宋体" w:cs="宋体"/>
                <w:sz w:val="24"/>
                <w:highlight w:val="white"/>
              </w:rPr>
              <w:t>（1）不得对招标文件规定的投标文件格式的内容进行改变原意或影响投标实质性的删减或修改。</w:t>
            </w:r>
          </w:p>
          <w:p w14:paraId="2B2728B8">
            <w:pPr>
              <w:adjustRightInd w:val="0"/>
              <w:snapToGrid w:val="0"/>
              <w:spacing w:line="360" w:lineRule="auto"/>
              <w:rPr>
                <w:rFonts w:ascii="宋体" w:hAnsi="宋体" w:cs="宋体"/>
                <w:sz w:val="24"/>
              </w:rPr>
            </w:pPr>
            <w:r>
              <w:rPr>
                <w:rFonts w:hint="eastAsia" w:ascii="宋体" w:hAnsi="宋体" w:cs="宋体"/>
                <w:sz w:val="24"/>
                <w:highlight w:val="white"/>
              </w:rPr>
              <w:t>（2）投标人可以在投标文件格式内容之外另行说明和增加相关内容，作为投标文件的组成部分。另行说明或自行增加的内容、以及按投标文件格式在空格（下划线）由投标人填写的内容，不得与招标文件的强制性审查标准和禁止性规定相抵触。</w:t>
            </w:r>
          </w:p>
          <w:p w14:paraId="11C6C563">
            <w:pPr>
              <w:adjustRightInd w:val="0"/>
              <w:snapToGrid w:val="0"/>
              <w:spacing w:line="360" w:lineRule="auto"/>
              <w:rPr>
                <w:rFonts w:ascii="宋体" w:hAnsi="宋体" w:cs="宋体"/>
                <w:sz w:val="24"/>
              </w:rPr>
            </w:pPr>
            <w:r>
              <w:rPr>
                <w:rFonts w:hint="eastAsia" w:ascii="宋体" w:hAnsi="宋体" w:cs="宋体"/>
                <w:sz w:val="24"/>
                <w:highlight w:val="white"/>
              </w:rPr>
              <w:t>（3）按投标文件格式在空格（下划线）由投标人填写的内容，不需要填写的，可以在空格中用“/”标示，也可以不填（空白）。</w:t>
            </w:r>
          </w:p>
          <w:p w14:paraId="28EF7BBA">
            <w:pPr>
              <w:adjustRightInd w:val="0"/>
              <w:snapToGrid w:val="0"/>
              <w:spacing w:line="360" w:lineRule="auto"/>
              <w:rPr>
                <w:rFonts w:ascii="宋体" w:hAnsi="宋体" w:cs="宋体"/>
                <w:sz w:val="24"/>
              </w:rPr>
            </w:pPr>
            <w:r>
              <w:rPr>
                <w:rFonts w:hint="eastAsia" w:ascii="宋体" w:hAnsi="宋体" w:cs="宋体"/>
                <w:sz w:val="24"/>
                <w:highlight w:val="white"/>
              </w:rPr>
              <w:t>（4）投标文件应对招标文件提出的所有实质性要求和条件作出实质性响应，并且实质性响应的内容不得互相矛盾。</w:t>
            </w:r>
          </w:p>
          <w:p w14:paraId="7C51570F">
            <w:pPr>
              <w:adjustRightInd w:val="0"/>
              <w:snapToGrid w:val="0"/>
              <w:spacing w:line="360" w:lineRule="auto"/>
              <w:rPr>
                <w:rFonts w:ascii="宋体" w:hAnsi="宋体" w:cs="宋体"/>
                <w:sz w:val="24"/>
              </w:rPr>
            </w:pPr>
            <w:r>
              <w:rPr>
                <w:rFonts w:hint="eastAsia" w:ascii="宋体" w:hAnsi="宋体" w:cs="宋体"/>
                <w:sz w:val="24"/>
                <w:highlight w:val="white"/>
              </w:rPr>
              <w:t>（5）投标文件所附证明材料应清晰可辨。</w:t>
            </w:r>
          </w:p>
          <w:p w14:paraId="75061CA2">
            <w:pPr>
              <w:spacing w:line="360" w:lineRule="auto"/>
              <w:rPr>
                <w:rFonts w:hint="eastAsia" w:ascii="宋体" w:hAnsi="宋体" w:cs="宋体"/>
                <w:sz w:val="24"/>
              </w:rPr>
            </w:pPr>
            <w:r>
              <w:rPr>
                <w:rFonts w:hint="eastAsia" w:ascii="宋体" w:hAnsi="宋体" w:cs="宋体"/>
                <w:sz w:val="24"/>
                <w:highlight w:val="white"/>
              </w:rPr>
              <w:t>（</w:t>
            </w:r>
            <w:r>
              <w:rPr>
                <w:rFonts w:ascii="宋体" w:hAnsi="宋体" w:cs="宋体"/>
                <w:sz w:val="24"/>
                <w:highlight w:val="white"/>
              </w:rPr>
              <w:t>6</w:t>
            </w:r>
            <w:r>
              <w:rPr>
                <w:rFonts w:hint="eastAsia" w:ascii="宋体" w:hAnsi="宋体" w:cs="宋体"/>
                <w:sz w:val="24"/>
                <w:highlight w:val="white"/>
              </w:rPr>
              <w:t>）投标文件应为使用符合系统要求的投标文件制作工具制作生成的MYTF格式文件。</w:t>
            </w:r>
          </w:p>
        </w:tc>
      </w:tr>
      <w:tr w14:paraId="35F5317F">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BEC4364">
            <w:pPr>
              <w:spacing w:line="440" w:lineRule="exact"/>
              <w:jc w:val="center"/>
              <w:rPr>
                <w:rFonts w:hint="eastAsia" w:ascii="宋体" w:hAnsi="宋体" w:cs="宋体"/>
                <w:sz w:val="24"/>
              </w:rPr>
            </w:pPr>
            <w:r>
              <w:rPr>
                <w:rFonts w:hint="eastAsia" w:ascii="宋体" w:hAnsi="宋体" w:cs="宋体"/>
                <w:sz w:val="24"/>
                <w:highlight w:val="white"/>
              </w:rPr>
              <w:t>3.7.3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3AD2D537">
            <w:pPr>
              <w:spacing w:line="440" w:lineRule="exact"/>
              <w:jc w:val="center"/>
              <w:rPr>
                <w:rFonts w:hint="eastAsia" w:ascii="宋体" w:hAnsi="宋体" w:cs="宋体"/>
                <w:sz w:val="24"/>
              </w:rPr>
            </w:pPr>
            <w:r>
              <w:rPr>
                <w:rFonts w:hint="eastAsia" w:ascii="宋体" w:hAnsi="宋体" w:cs="宋体"/>
                <w:sz w:val="24"/>
                <w:highlight w:val="white"/>
              </w:rPr>
              <w:t>签字或盖章要求</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AB35E10">
            <w:pPr>
              <w:adjustRightInd w:val="0"/>
              <w:snapToGrid w:val="0"/>
              <w:spacing w:line="360" w:lineRule="auto"/>
              <w:rPr>
                <w:rFonts w:hint="eastAsia" w:ascii="宋体" w:hAnsi="宋体" w:cs="宋体"/>
                <w:sz w:val="24"/>
              </w:rPr>
            </w:pPr>
            <w:r>
              <w:rPr>
                <w:rFonts w:hint="eastAsia" w:ascii="宋体" w:hAnsi="宋体" w:cs="宋体"/>
                <w:sz w:val="24"/>
                <w:highlight w:val="white"/>
              </w:rPr>
              <w:t xml:space="preserve">（1）数据电文形式投标文件中所有要求签字的地方应使用电子签章。过渡期内（指未全面实行电子签章期间），可以使用直接录入内容并上传用不褪色的墨水（签字笔）由本人亲笔手写签字 (包括姓和名)的扫描件，不得用盖章（如签名章、签字章等）代替，也不得由他人代签。由法定代表人签字的，应附法定代表人身份证明，由代理人签字的，应附授权委托书。身份证明或授权委托书应符合招标文件中“投标文件格式”的规定。  </w:t>
            </w:r>
          </w:p>
          <w:p w14:paraId="131CE084">
            <w:pPr>
              <w:adjustRightInd w:val="0"/>
              <w:snapToGrid w:val="0"/>
              <w:spacing w:line="360" w:lineRule="auto"/>
              <w:rPr>
                <w:rFonts w:hint="eastAsia" w:ascii="宋体" w:hAnsi="宋体" w:cs="宋体"/>
                <w:sz w:val="24"/>
              </w:rPr>
            </w:pPr>
            <w:r>
              <w:rPr>
                <w:rFonts w:hint="eastAsia" w:ascii="宋体" w:hAnsi="宋体" w:cs="宋体"/>
                <w:sz w:val="24"/>
                <w:highlight w:val="white"/>
              </w:rPr>
              <w:t>（2）投标文件所有要求盖章的地方均应</w:t>
            </w:r>
            <w:r>
              <w:rPr>
                <w:rFonts w:ascii="宋体" w:hAnsi="宋体" w:cs="宋体"/>
                <w:sz w:val="24"/>
                <w:highlight w:val="white"/>
              </w:rPr>
              <w:t xml:space="preserve"> </w:t>
            </w:r>
            <w:r>
              <w:rPr>
                <w:rFonts w:hint="eastAsia" w:ascii="宋体" w:hAnsi="宋体" w:cs="宋体"/>
                <w:sz w:val="24"/>
                <w:highlight w:val="white"/>
              </w:rPr>
              <w:t>使用单位法定名称印章</w:t>
            </w:r>
            <w:r>
              <w:rPr>
                <w:rFonts w:ascii="宋体" w:hAnsi="宋体" w:cs="宋体"/>
                <w:sz w:val="24"/>
                <w:highlight w:val="white"/>
              </w:rPr>
              <w:t>,</w:t>
            </w:r>
            <w:r>
              <w:rPr>
                <w:rFonts w:hint="eastAsia" w:ascii="宋体" w:hAnsi="宋体" w:cs="宋体"/>
                <w:sz w:val="24"/>
                <w:highlight w:val="white"/>
              </w:rPr>
              <w:t>不得使用专用印章</w:t>
            </w:r>
            <w:r>
              <w:rPr>
                <w:rFonts w:ascii="宋体" w:hAnsi="宋体" w:cs="宋体"/>
                <w:sz w:val="24"/>
                <w:highlight w:val="white"/>
              </w:rPr>
              <w:t>(</w:t>
            </w:r>
            <w:r>
              <w:rPr>
                <w:rFonts w:hint="eastAsia" w:ascii="宋体" w:hAnsi="宋体" w:cs="宋体"/>
                <w:sz w:val="24"/>
                <w:highlight w:val="white"/>
              </w:rPr>
              <w:t>如经济合同章、投标专用章等</w:t>
            </w:r>
            <w:r>
              <w:rPr>
                <w:rFonts w:ascii="宋体" w:hAnsi="宋体" w:cs="宋体"/>
                <w:sz w:val="24"/>
                <w:highlight w:val="white"/>
              </w:rPr>
              <w:t>)</w:t>
            </w:r>
            <w:r>
              <w:rPr>
                <w:rFonts w:hint="eastAsia" w:ascii="宋体" w:hAnsi="宋体" w:cs="宋体"/>
                <w:sz w:val="24"/>
                <w:highlight w:val="white"/>
              </w:rPr>
              <w:t>或直属</w:t>
            </w:r>
            <w:r>
              <w:rPr>
                <w:rFonts w:ascii="宋体" w:hAnsi="宋体" w:cs="宋体"/>
                <w:sz w:val="24"/>
                <w:highlight w:val="white"/>
              </w:rPr>
              <w:t>(</w:t>
            </w:r>
            <w:r>
              <w:rPr>
                <w:rFonts w:hint="eastAsia" w:ascii="宋体" w:hAnsi="宋体" w:cs="宋体"/>
                <w:sz w:val="24"/>
                <w:highlight w:val="white"/>
              </w:rPr>
              <w:t>下属</w:t>
            </w:r>
            <w:r>
              <w:rPr>
                <w:rFonts w:ascii="宋体" w:hAnsi="宋体" w:cs="宋体"/>
                <w:sz w:val="24"/>
                <w:highlight w:val="white"/>
              </w:rPr>
              <w:t>)</w:t>
            </w:r>
            <w:r>
              <w:rPr>
                <w:rFonts w:hint="eastAsia" w:ascii="宋体" w:hAnsi="宋体" w:cs="宋体"/>
                <w:sz w:val="24"/>
                <w:highlight w:val="white"/>
              </w:rPr>
              <w:t xml:space="preserve">单位印章代替。 </w:t>
            </w:r>
          </w:p>
          <w:p w14:paraId="7E78A7E2">
            <w:pPr>
              <w:spacing w:line="440" w:lineRule="exact"/>
              <w:rPr>
                <w:rFonts w:hint="eastAsia" w:ascii="宋体" w:hAnsi="宋体" w:cs="宋体"/>
                <w:sz w:val="24"/>
              </w:rPr>
            </w:pPr>
            <w:r>
              <w:rPr>
                <w:rFonts w:hint="eastAsia" w:ascii="宋体" w:hAnsi="宋体" w:cs="宋体"/>
                <w:sz w:val="24"/>
                <w:highlight w:val="white"/>
              </w:rPr>
              <w:t>（3）数据电文形式投标文件所有要求盖章的地方，除投标总价扉页、联合体协议书外，均应加盖投标人（联合体投标的，为联合体牵头人）电子印章，投标总价扉页和联合体协议书上传签字、盖章的扫描件。联合体其他成员的中小企业声明函上传盖章的扫描件。</w:t>
            </w:r>
          </w:p>
        </w:tc>
      </w:tr>
      <w:tr w14:paraId="0EA936D2">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DD03594">
            <w:pPr>
              <w:spacing w:line="360" w:lineRule="auto"/>
              <w:jc w:val="center"/>
              <w:rPr>
                <w:rFonts w:hint="eastAsia" w:ascii="宋体" w:hAnsi="宋体"/>
                <w:sz w:val="24"/>
              </w:rPr>
            </w:pPr>
            <w:r>
              <w:rPr>
                <w:rFonts w:hint="eastAsia" w:ascii="宋体" w:hAnsi="宋体"/>
                <w:sz w:val="24"/>
                <w:highlight w:val="white"/>
              </w:rPr>
              <w:t>4.1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08B8B78">
            <w:pPr>
              <w:spacing w:line="360" w:lineRule="auto"/>
              <w:jc w:val="center"/>
              <w:rPr>
                <w:rFonts w:ascii="宋体" w:hAnsi="宋体"/>
                <w:sz w:val="24"/>
              </w:rPr>
            </w:pPr>
            <w:r>
              <w:rPr>
                <w:rFonts w:hint="eastAsia" w:ascii="宋体" w:hAnsi="宋体"/>
                <w:sz w:val="24"/>
                <w:highlight w:val="white"/>
              </w:rPr>
              <w:t>投标文件</w:t>
            </w:r>
            <w:r>
              <w:rPr>
                <w:rFonts w:ascii="宋体" w:hAnsi="宋体"/>
                <w:sz w:val="24"/>
                <w:highlight w:val="white"/>
              </w:rPr>
              <w:t>加密</w:t>
            </w:r>
          </w:p>
          <w:p w14:paraId="5BADF211">
            <w:pPr>
              <w:spacing w:line="360" w:lineRule="auto"/>
              <w:jc w:val="center"/>
              <w:rPr>
                <w:rFonts w:hint="eastAsia" w:ascii="宋体" w:hAnsi="宋体"/>
                <w:sz w:val="24"/>
              </w:rPr>
            </w:pPr>
            <w:r>
              <w:rPr>
                <w:rFonts w:ascii="宋体" w:hAnsi="宋体"/>
                <w:sz w:val="24"/>
                <w:highlight w:val="white"/>
              </w:rPr>
              <w:t>要求</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53CD739">
            <w:pPr>
              <w:spacing w:line="360" w:lineRule="auto"/>
              <w:rPr>
                <w:rFonts w:hint="eastAsia" w:ascii="宋体" w:hAnsi="宋体" w:cs="宋体"/>
                <w:sz w:val="24"/>
              </w:rPr>
            </w:pPr>
            <w:r>
              <w:rPr>
                <w:rFonts w:hint="eastAsia" w:ascii="宋体" w:hAnsi="宋体" w:cs="宋体"/>
                <w:sz w:val="24"/>
                <w:highlight w:val="white"/>
              </w:rPr>
              <w:t>在线递交的</w:t>
            </w:r>
            <w:r>
              <w:rPr>
                <w:rFonts w:hint="eastAsia" w:ascii="宋体" w:hAnsi="宋体" w:cs="宋体"/>
                <w:sz w:val="24"/>
                <w:highlight w:val="white"/>
                <w:lang w:val="zh-CN"/>
              </w:rPr>
              <w:t>数据电文形式投标文件</w:t>
            </w:r>
            <w:r>
              <w:rPr>
                <w:rFonts w:hint="eastAsia" w:ascii="宋体" w:hAnsi="宋体" w:cs="宋体"/>
                <w:sz w:val="24"/>
                <w:highlight w:val="white"/>
              </w:rPr>
              <w:t>，</w:t>
            </w:r>
            <w:r>
              <w:rPr>
                <w:rFonts w:hint="eastAsia" w:ascii="宋体" w:hAnsi="宋体" w:cs="宋体"/>
                <w:sz w:val="24"/>
                <w:highlight w:val="white"/>
                <w:lang w:val="zh-CN"/>
              </w:rPr>
              <w:t>须经投标人数字证书签名加密</w:t>
            </w:r>
            <w:r>
              <w:rPr>
                <w:rFonts w:hint="eastAsia" w:ascii="宋体" w:hAnsi="宋体" w:cs="宋体"/>
                <w:sz w:val="24"/>
                <w:highlight w:val="white"/>
              </w:rPr>
              <w:t>。</w:t>
            </w:r>
          </w:p>
        </w:tc>
      </w:tr>
      <w:tr w14:paraId="0B4F79F7">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ECECE33">
            <w:pPr>
              <w:spacing w:line="440" w:lineRule="exact"/>
              <w:jc w:val="center"/>
              <w:rPr>
                <w:rFonts w:hint="eastAsia" w:ascii="宋体" w:hAnsi="宋体" w:cs="宋体"/>
                <w:sz w:val="24"/>
              </w:rPr>
            </w:pPr>
            <w:r>
              <w:rPr>
                <w:rFonts w:hint="eastAsia" w:ascii="宋体" w:hAnsi="宋体" w:cs="宋体"/>
                <w:sz w:val="24"/>
                <w:highlight w:val="white"/>
              </w:rPr>
              <w:t>4.2.2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A5F592E">
            <w:pPr>
              <w:spacing w:line="440" w:lineRule="exact"/>
              <w:jc w:val="center"/>
              <w:rPr>
                <w:rFonts w:hint="eastAsia" w:ascii="宋体" w:hAnsi="宋体" w:cs="宋体"/>
                <w:sz w:val="24"/>
              </w:rPr>
            </w:pPr>
            <w:r>
              <w:rPr>
                <w:rFonts w:hint="eastAsia" w:ascii="宋体" w:hAnsi="宋体" w:cs="宋体"/>
                <w:sz w:val="24"/>
                <w:highlight w:val="white"/>
              </w:rPr>
              <w:t>递交投标文件地点</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4AA92AC">
            <w:pPr>
              <w:spacing w:line="440" w:lineRule="exact"/>
              <w:rPr>
                <w:rFonts w:hint="eastAsia" w:ascii="宋体" w:hAnsi="宋体" w:cs="宋体"/>
                <w:sz w:val="24"/>
              </w:rPr>
            </w:pPr>
            <w:r>
              <w:rPr>
                <w:rFonts w:hint="eastAsia" w:ascii="宋体" w:hAnsi="宋体"/>
                <w:sz w:val="24"/>
                <w:highlight w:val="white"/>
              </w:rPr>
              <w:t>投标人应在投标截止时间前在线递交经投标人数字证书加密制作的数据电文形式投标文件，不接受现场递交。</w:t>
            </w:r>
          </w:p>
        </w:tc>
      </w:tr>
      <w:tr w14:paraId="43D43BDD">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right w:val="single" w:color="auto" w:sz="4" w:space="0"/>
            </w:tcBorders>
            <w:noWrap w:val="0"/>
            <w:vAlign w:val="center"/>
          </w:tcPr>
          <w:p w14:paraId="440AF9C4">
            <w:pPr>
              <w:spacing w:line="440" w:lineRule="exact"/>
              <w:jc w:val="center"/>
              <w:rPr>
                <w:rFonts w:hint="eastAsia" w:ascii="宋体" w:hAnsi="宋体" w:cs="宋体"/>
                <w:sz w:val="24"/>
              </w:rPr>
            </w:pPr>
            <w:r>
              <w:rPr>
                <w:rFonts w:hint="eastAsia" w:ascii="宋体" w:hAnsi="宋体" w:cs="宋体"/>
                <w:sz w:val="24"/>
                <w:highlight w:val="white"/>
              </w:rPr>
              <w:t>5.1</w:t>
            </w:r>
          </w:p>
        </w:tc>
        <w:tc>
          <w:tcPr>
            <w:tcW w:w="1143" w:type="pct"/>
            <w:tcBorders>
              <w:top w:val="single" w:color="auto" w:sz="4" w:space="0"/>
              <w:left w:val="single" w:color="auto" w:sz="4" w:space="0"/>
              <w:right w:val="single" w:color="auto" w:sz="4" w:space="0"/>
            </w:tcBorders>
            <w:noWrap w:val="0"/>
            <w:vAlign w:val="center"/>
          </w:tcPr>
          <w:p w14:paraId="7FCA94A8">
            <w:pPr>
              <w:spacing w:line="440" w:lineRule="exact"/>
              <w:jc w:val="center"/>
              <w:rPr>
                <w:rFonts w:hint="eastAsia" w:ascii="宋体" w:hAnsi="宋体" w:cs="宋体"/>
                <w:sz w:val="24"/>
              </w:rPr>
            </w:pPr>
            <w:r>
              <w:rPr>
                <w:rFonts w:hint="eastAsia" w:ascii="宋体" w:hAnsi="宋体" w:cs="宋体"/>
                <w:sz w:val="24"/>
                <w:highlight w:val="white"/>
              </w:rPr>
              <w:t>开标时间和地点</w:t>
            </w:r>
          </w:p>
        </w:tc>
        <w:tc>
          <w:tcPr>
            <w:tcW w:w="3266" w:type="pct"/>
            <w:tcBorders>
              <w:top w:val="single" w:color="auto" w:sz="4" w:space="0"/>
              <w:left w:val="single" w:color="auto" w:sz="4" w:space="0"/>
              <w:right w:val="single" w:color="auto" w:sz="4" w:space="0"/>
            </w:tcBorders>
            <w:noWrap w:val="0"/>
            <w:vAlign w:val="center"/>
          </w:tcPr>
          <w:p w14:paraId="46B34CCF">
            <w:pPr>
              <w:adjustRightInd w:val="0"/>
              <w:snapToGrid w:val="0"/>
              <w:spacing w:line="360" w:lineRule="auto"/>
              <w:rPr>
                <w:rFonts w:ascii="宋体" w:hAnsi="宋体" w:cs="宋体"/>
                <w:sz w:val="24"/>
              </w:rPr>
            </w:pPr>
            <w:r>
              <w:rPr>
                <w:rFonts w:hint="eastAsia" w:ascii="宋体" w:hAnsi="宋体" w:cs="宋体"/>
                <w:sz w:val="24"/>
                <w:highlight w:val="white"/>
              </w:rPr>
              <w:t>开标时间：同投标截止时间</w:t>
            </w:r>
          </w:p>
          <w:p w14:paraId="1A2B1018">
            <w:pPr>
              <w:adjustRightInd w:val="0"/>
              <w:snapToGrid w:val="0"/>
              <w:spacing w:line="360" w:lineRule="auto"/>
              <w:rPr>
                <w:rFonts w:hint="eastAsia" w:ascii="宋体" w:hAnsi="宋体" w:cs="宋体"/>
                <w:sz w:val="24"/>
              </w:rPr>
            </w:pPr>
            <w:r>
              <w:rPr>
                <w:rFonts w:hint="eastAsia" w:ascii="宋体" w:hAnsi="宋体" w:cs="宋体"/>
                <w:sz w:val="24"/>
                <w:highlight w:val="white"/>
              </w:rPr>
              <w:t>开标地点：投标时间截止后，招标人或其委托代理机构在开标系统中进入线上开标环节。投标人登录《全国公共资源交易平台（四川省·绵阳市）》电子交易系统，参与在线开标。</w:t>
            </w:r>
          </w:p>
        </w:tc>
      </w:tr>
      <w:tr w14:paraId="6BA09064">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right w:val="single" w:color="auto" w:sz="4" w:space="0"/>
            </w:tcBorders>
            <w:noWrap w:val="0"/>
            <w:vAlign w:val="center"/>
          </w:tcPr>
          <w:p w14:paraId="1D5F06CA">
            <w:pPr>
              <w:spacing w:line="440" w:lineRule="exact"/>
              <w:jc w:val="center"/>
              <w:rPr>
                <w:rFonts w:hint="eastAsia" w:ascii="宋体" w:hAnsi="宋体" w:cs="宋体"/>
                <w:sz w:val="24"/>
              </w:rPr>
            </w:pPr>
            <w:r>
              <w:rPr>
                <w:rFonts w:hint="eastAsia" w:ascii="宋体" w:hAnsi="宋体" w:cs="宋体"/>
                <w:sz w:val="24"/>
                <w:highlight w:val="white"/>
              </w:rPr>
              <w:t>5.2</w:t>
            </w:r>
          </w:p>
        </w:tc>
        <w:tc>
          <w:tcPr>
            <w:tcW w:w="1143" w:type="pct"/>
            <w:tcBorders>
              <w:top w:val="single" w:color="auto" w:sz="4" w:space="0"/>
              <w:left w:val="single" w:color="auto" w:sz="4" w:space="0"/>
              <w:right w:val="single" w:color="auto" w:sz="4" w:space="0"/>
            </w:tcBorders>
            <w:noWrap w:val="0"/>
            <w:vAlign w:val="center"/>
          </w:tcPr>
          <w:p w14:paraId="7B8D151D">
            <w:pPr>
              <w:spacing w:line="440" w:lineRule="exact"/>
              <w:jc w:val="center"/>
              <w:rPr>
                <w:rFonts w:hint="eastAsia" w:ascii="宋体" w:hAnsi="宋体" w:cs="宋体"/>
                <w:sz w:val="24"/>
              </w:rPr>
            </w:pPr>
            <w:r>
              <w:rPr>
                <w:rFonts w:hint="eastAsia" w:ascii="宋体" w:hAnsi="宋体" w:cs="宋体"/>
                <w:sz w:val="24"/>
                <w:highlight w:val="white"/>
              </w:rPr>
              <w:t>开标程序</w:t>
            </w:r>
          </w:p>
        </w:tc>
        <w:tc>
          <w:tcPr>
            <w:tcW w:w="3266" w:type="pct"/>
            <w:tcBorders>
              <w:top w:val="single" w:color="auto" w:sz="4" w:space="0"/>
              <w:left w:val="single" w:color="auto" w:sz="4" w:space="0"/>
              <w:right w:val="single" w:color="auto" w:sz="4" w:space="0"/>
            </w:tcBorders>
            <w:noWrap w:val="0"/>
            <w:vAlign w:val="center"/>
          </w:tcPr>
          <w:p w14:paraId="11B5F981">
            <w:pPr>
              <w:widowControl/>
              <w:spacing w:line="360" w:lineRule="auto"/>
              <w:rPr>
                <w:rFonts w:hint="eastAsia" w:ascii="宋体" w:hAnsi="宋体" w:cs="宋体"/>
                <w:sz w:val="24"/>
              </w:rPr>
            </w:pPr>
            <w:r>
              <w:rPr>
                <w:rFonts w:hint="eastAsia" w:ascii="宋体" w:hAnsi="宋体" w:cs="宋体"/>
                <w:sz w:val="24"/>
                <w:highlight w:val="white"/>
              </w:rPr>
              <w:t>（1）投标截止时间前，投标人登录《全国公共资源交易平台（四川省·绵阳市）》电子交易系统。</w:t>
            </w:r>
          </w:p>
          <w:p w14:paraId="36A89144">
            <w:pPr>
              <w:widowControl/>
              <w:adjustRightInd w:val="0"/>
              <w:snapToGrid w:val="0"/>
              <w:spacing w:line="360" w:lineRule="auto"/>
              <w:rPr>
                <w:rFonts w:hint="eastAsia" w:ascii="宋体" w:hAnsi="宋体" w:cs="宋体"/>
                <w:sz w:val="24"/>
              </w:rPr>
            </w:pPr>
            <w:r>
              <w:rPr>
                <w:rFonts w:hint="eastAsia" w:ascii="宋体" w:hAnsi="宋体" w:cs="宋体"/>
                <w:sz w:val="24"/>
                <w:highlight w:val="white"/>
              </w:rPr>
              <w:t>（2）投标截止时间后，招标人或其委托招标代理机构在开标系统中组织线上开标，系统将自动展示所有参与项目的投标人名单、投标保证金递交情况等相关信息。在四川省公共资源交易信息网“曝光台”查询公告信息，对处于被禁止参与投标期限内企业的投标文件，予以拒绝接收。</w:t>
            </w:r>
          </w:p>
          <w:p w14:paraId="2A829E60">
            <w:pPr>
              <w:adjustRightInd w:val="0"/>
              <w:snapToGrid w:val="0"/>
              <w:spacing w:line="360" w:lineRule="auto"/>
              <w:rPr>
                <w:rFonts w:ascii="宋体" w:hAnsi="宋体" w:cs="宋体"/>
                <w:sz w:val="24"/>
              </w:rPr>
            </w:pPr>
            <w:r>
              <w:rPr>
                <w:rFonts w:hint="eastAsia" w:ascii="宋体" w:hAnsi="宋体" w:cs="宋体"/>
                <w:sz w:val="24"/>
                <w:highlight w:val="white"/>
              </w:rPr>
              <w:t>（3）投标文件解密。</w:t>
            </w:r>
          </w:p>
          <w:p w14:paraId="3CCBD5E5">
            <w:pPr>
              <w:adjustRightInd w:val="0"/>
              <w:snapToGrid w:val="0"/>
              <w:spacing w:line="360" w:lineRule="auto"/>
              <w:rPr>
                <w:rFonts w:ascii="宋体" w:hAnsi="宋体" w:cs="宋体"/>
                <w:sz w:val="24"/>
              </w:rPr>
            </w:pPr>
            <w:r>
              <w:rPr>
                <w:rFonts w:hint="eastAsia" w:ascii="宋体" w:hAnsi="宋体" w:cs="宋体"/>
                <w:sz w:val="24"/>
                <w:highlight w:val="white"/>
              </w:rPr>
              <w:t>（4）系统展示各投标人名称、投标报价等内容。</w:t>
            </w:r>
          </w:p>
          <w:p w14:paraId="68E9787E">
            <w:pPr>
              <w:adjustRightInd w:val="0"/>
              <w:snapToGrid w:val="0"/>
              <w:spacing w:line="360" w:lineRule="auto"/>
              <w:rPr>
                <w:rFonts w:ascii="宋体" w:hAnsi="宋体" w:cs="宋体"/>
                <w:sz w:val="24"/>
              </w:rPr>
            </w:pPr>
            <w:r>
              <w:rPr>
                <w:rFonts w:hint="eastAsia" w:ascii="宋体" w:hAnsi="宋体"/>
                <w:sz w:val="24"/>
                <w:highlight w:val="white"/>
              </w:rPr>
              <w:t>（5）</w:t>
            </w:r>
            <w:r>
              <w:rPr>
                <w:rFonts w:hint="eastAsia" w:ascii="宋体" w:hAnsi="宋体" w:cs="宋体"/>
                <w:sz w:val="24"/>
                <w:highlight w:val="white"/>
              </w:rPr>
              <w:t>将招标文件、投标文件导入电子辅助评标系统。</w:t>
            </w:r>
          </w:p>
          <w:p w14:paraId="47BD871B">
            <w:pPr>
              <w:adjustRightInd w:val="0"/>
              <w:snapToGrid w:val="0"/>
              <w:spacing w:line="360" w:lineRule="auto"/>
              <w:rPr>
                <w:rFonts w:ascii="宋体" w:hAnsi="宋体" w:cs="宋体"/>
                <w:sz w:val="24"/>
              </w:rPr>
            </w:pPr>
            <w:r>
              <w:rPr>
                <w:rFonts w:hint="eastAsia" w:ascii="宋体" w:hAnsi="宋体" w:cs="宋体"/>
                <w:sz w:val="24"/>
                <w:highlight w:val="white"/>
              </w:rPr>
              <w:t>（6）提出异议，处理异议。</w:t>
            </w:r>
          </w:p>
          <w:p w14:paraId="7D70F255">
            <w:pPr>
              <w:adjustRightInd w:val="0"/>
              <w:snapToGrid w:val="0"/>
              <w:spacing w:line="360" w:lineRule="auto"/>
              <w:rPr>
                <w:rFonts w:ascii="宋体" w:hAnsi="宋体" w:cs="宋体"/>
                <w:sz w:val="24"/>
              </w:rPr>
            </w:pPr>
            <w:r>
              <w:rPr>
                <w:rFonts w:hint="eastAsia" w:ascii="宋体" w:hAnsi="宋体" w:cs="宋体"/>
                <w:sz w:val="24"/>
                <w:highlight w:val="white"/>
              </w:rPr>
              <w:t>（7）生成开标记录表，开标结束。</w:t>
            </w:r>
          </w:p>
          <w:p w14:paraId="2F43F2AB">
            <w:pPr>
              <w:adjustRightInd w:val="0"/>
              <w:snapToGrid w:val="0"/>
              <w:spacing w:line="360" w:lineRule="auto"/>
              <w:ind w:firstLine="480" w:firstLineChars="200"/>
              <w:rPr>
                <w:rFonts w:ascii="宋体" w:hAnsi="宋体" w:cs="宋体"/>
                <w:sz w:val="24"/>
              </w:rPr>
            </w:pPr>
            <w:r>
              <w:rPr>
                <w:rFonts w:hint="eastAsia" w:ascii="宋体" w:hAnsi="宋体" w:cs="宋体"/>
                <w:sz w:val="24"/>
                <w:highlight w:val="white"/>
              </w:rPr>
              <w:t>投标人最迟应在完成上述第（5）项程序后10分钟内在线提出异议，招标人或其委托代理机构在线即时答复处理。如投标人未提出异议的，视为其认可开标过程、开标内容和开标结果。</w:t>
            </w:r>
          </w:p>
          <w:p w14:paraId="12DED539">
            <w:pPr>
              <w:adjustRightInd w:val="0"/>
              <w:snapToGrid w:val="0"/>
              <w:spacing w:line="360" w:lineRule="auto"/>
              <w:rPr>
                <w:rFonts w:hint="eastAsia" w:ascii="宋体" w:hAnsi="宋体" w:cs="宋体"/>
                <w:sz w:val="24"/>
              </w:rPr>
            </w:pPr>
            <w:r>
              <w:rPr>
                <w:rFonts w:hint="eastAsia" w:ascii="宋体" w:hAnsi="宋体" w:cs="宋体"/>
                <w:sz w:val="24"/>
                <w:highlight w:val="white"/>
              </w:rPr>
              <w:t>因投标人原因造成投标文件未解密的，视为撤销其投标文件；因投标人之外的原因造成投标文件未解密的，视为撤回其投标文件。</w:t>
            </w:r>
          </w:p>
          <w:p w14:paraId="689756BF">
            <w:pPr>
              <w:adjustRightInd w:val="0"/>
              <w:snapToGrid w:val="0"/>
              <w:spacing w:line="360" w:lineRule="auto"/>
              <w:rPr>
                <w:rFonts w:hint="eastAsia" w:ascii="宋体" w:hAnsi="宋体" w:cs="宋体"/>
                <w:sz w:val="24"/>
              </w:rPr>
            </w:pPr>
            <w:r>
              <w:rPr>
                <w:rFonts w:hint="eastAsia" w:ascii="宋体" w:hAnsi="宋体" w:cs="宋体"/>
                <w:sz w:val="24"/>
                <w:highlight w:val="white"/>
              </w:rPr>
              <w:t>已导入电子开标系统但无法导入电子评标系统的，招标人（或招标代理机构）做好开标记录，其投标文件由评标委员会作否决处理。</w:t>
            </w:r>
          </w:p>
        </w:tc>
      </w:tr>
      <w:tr w14:paraId="49BC60A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CD1FC33">
            <w:pPr>
              <w:spacing w:line="440" w:lineRule="exact"/>
              <w:jc w:val="center"/>
              <w:rPr>
                <w:rFonts w:hint="eastAsia" w:ascii="宋体" w:hAnsi="宋体" w:cs="宋体"/>
                <w:sz w:val="24"/>
              </w:rPr>
            </w:pPr>
            <w:r>
              <w:rPr>
                <w:rFonts w:hint="eastAsia" w:ascii="宋体" w:hAnsi="宋体" w:cs="宋体"/>
                <w:sz w:val="24"/>
                <w:highlight w:val="white"/>
              </w:rPr>
              <w:t>6.1.1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7AA9D8D">
            <w:pPr>
              <w:spacing w:line="440" w:lineRule="exact"/>
              <w:jc w:val="center"/>
              <w:rPr>
                <w:rFonts w:hint="eastAsia" w:ascii="宋体" w:hAnsi="宋体" w:cs="宋体"/>
                <w:sz w:val="24"/>
              </w:rPr>
            </w:pPr>
            <w:r>
              <w:rPr>
                <w:rFonts w:hint="eastAsia" w:ascii="宋体" w:hAnsi="宋体" w:cs="宋体"/>
                <w:sz w:val="24"/>
                <w:highlight w:val="white"/>
              </w:rPr>
              <w:t>评标委员会的组建</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E164A3D">
            <w:pPr>
              <w:adjustRightInd w:val="0"/>
              <w:snapToGrid w:val="0"/>
              <w:spacing w:line="360" w:lineRule="auto"/>
              <w:rPr>
                <w:rFonts w:ascii="宋体" w:hAnsi="宋体" w:cs="宋体"/>
                <w:sz w:val="24"/>
              </w:rPr>
            </w:pPr>
            <w:r>
              <w:rPr>
                <w:rFonts w:hint="eastAsia" w:ascii="宋体" w:hAnsi="宋体" w:cs="宋体"/>
                <w:sz w:val="24"/>
                <w:highlight w:val="white"/>
              </w:rPr>
              <w:t>评标委员会构成：共计</w:t>
            </w:r>
            <w:r>
              <w:rPr>
                <w:rFonts w:hint="eastAsia" w:ascii="宋体" w:hAnsi="宋体" w:cs="宋体"/>
                <w:color w:val="0000FF"/>
                <w:sz w:val="24"/>
                <w:highlight w:val="white"/>
                <w:lang w:val="en-US" w:eastAsia="zh-CN"/>
              </w:rPr>
              <w:t>9</w:t>
            </w:r>
            <w:r>
              <w:rPr>
                <w:rFonts w:hint="eastAsia" w:ascii="宋体" w:hAnsi="宋体" w:cs="宋体"/>
                <w:sz w:val="24"/>
                <w:highlight w:val="white"/>
              </w:rPr>
              <w:t>人。</w:t>
            </w:r>
          </w:p>
          <w:p w14:paraId="0D6E5E2C">
            <w:pPr>
              <w:adjustRightInd w:val="0"/>
              <w:snapToGrid w:val="0"/>
              <w:spacing w:line="360" w:lineRule="auto"/>
              <w:ind w:firstLine="480" w:firstLineChars="200"/>
              <w:rPr>
                <w:rFonts w:ascii="宋体" w:hAnsi="宋体" w:cs="宋体"/>
                <w:sz w:val="24"/>
              </w:rPr>
            </w:pPr>
            <w:r>
              <w:rPr>
                <w:rFonts w:hint="eastAsia" w:ascii="宋体" w:hAnsi="宋体" w:cs="宋体"/>
                <w:sz w:val="24"/>
                <w:highlight w:val="white"/>
              </w:rPr>
              <w:t>其中：招标人代表</w:t>
            </w:r>
            <w:r>
              <w:rPr>
                <w:rFonts w:hint="eastAsia" w:ascii="宋体" w:hAnsi="宋体" w:cs="宋体"/>
                <w:color w:val="0000FF"/>
                <w:sz w:val="24"/>
                <w:highlight w:val="white"/>
                <w:lang w:val="en-US" w:eastAsia="zh-CN"/>
              </w:rPr>
              <w:t>3</w:t>
            </w:r>
            <w:r>
              <w:rPr>
                <w:rFonts w:hint="eastAsia" w:ascii="宋体" w:hAnsi="宋体" w:cs="宋体"/>
                <w:sz w:val="24"/>
                <w:highlight w:val="white"/>
              </w:rPr>
              <w:t>人，评标专家</w:t>
            </w:r>
            <w:r>
              <w:rPr>
                <w:rFonts w:hint="eastAsia" w:ascii="宋体" w:hAnsi="宋体" w:cs="宋体"/>
                <w:color w:val="0000FF"/>
                <w:sz w:val="24"/>
                <w:highlight w:val="white"/>
                <w:lang w:val="en-US" w:eastAsia="zh-CN"/>
              </w:rPr>
              <w:t>6</w:t>
            </w:r>
            <w:r>
              <w:rPr>
                <w:rFonts w:hint="eastAsia" w:ascii="宋体" w:hAnsi="宋体" w:cs="宋体"/>
                <w:sz w:val="24"/>
                <w:highlight w:val="white"/>
              </w:rPr>
              <w:t>人；</w:t>
            </w:r>
          </w:p>
          <w:p w14:paraId="738E8406">
            <w:pPr>
              <w:adjustRightInd w:val="0"/>
              <w:snapToGrid w:val="0"/>
              <w:spacing w:line="360" w:lineRule="auto"/>
              <w:ind w:firstLine="480" w:firstLineChars="200"/>
              <w:rPr>
                <w:rFonts w:hint="eastAsia" w:ascii="宋体" w:hAnsi="宋体" w:cs="宋体"/>
                <w:sz w:val="24"/>
              </w:rPr>
            </w:pPr>
            <w:r>
              <w:rPr>
                <w:rFonts w:hint="eastAsia" w:ascii="宋体" w:hAnsi="宋体" w:cs="宋体"/>
                <w:sz w:val="24"/>
                <w:highlight w:val="white"/>
              </w:rPr>
              <w:t>评标专家确定方式：评标委员会的组成和评标专家的确定方式按川办发（〔2021〕54号）、川办规（〔2022〕8号）等文件规定执行。</w:t>
            </w:r>
          </w:p>
          <w:p w14:paraId="7AFF106D">
            <w:pPr>
              <w:spacing w:line="440" w:lineRule="exact"/>
              <w:rPr>
                <w:rFonts w:hint="eastAsia" w:ascii="宋体" w:hAnsi="宋体" w:cs="宋体"/>
                <w:sz w:val="24"/>
              </w:rPr>
            </w:pPr>
            <w:r>
              <w:rPr>
                <w:rFonts w:hint="eastAsia" w:ascii="宋体" w:hAnsi="宋体" w:cs="宋体"/>
                <w:sz w:val="24"/>
                <w:highlight w:val="white"/>
              </w:rPr>
              <w:t>注：评标委员会组建时，可增加评标委员会人数，但招标人代表人数不能增加。</w:t>
            </w:r>
          </w:p>
        </w:tc>
      </w:tr>
      <w:tr w14:paraId="29E9E5F3">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D889E10">
            <w:pPr>
              <w:spacing w:line="440" w:lineRule="exact"/>
              <w:jc w:val="center"/>
              <w:rPr>
                <w:rFonts w:hint="eastAsia" w:ascii="宋体" w:hAnsi="宋体" w:cs="宋体"/>
                <w:sz w:val="24"/>
              </w:rPr>
            </w:pPr>
            <w:r>
              <w:rPr>
                <w:rFonts w:hint="eastAsia" w:ascii="宋体" w:hAnsi="宋体" w:cs="宋体"/>
                <w:sz w:val="24"/>
                <w:highlight w:val="white"/>
              </w:rPr>
              <w:t>7.1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34E72C13">
            <w:pPr>
              <w:spacing w:line="440" w:lineRule="exact"/>
              <w:jc w:val="center"/>
              <w:rPr>
                <w:rFonts w:hint="eastAsia" w:ascii="宋体" w:hAnsi="宋体" w:cs="宋体"/>
                <w:sz w:val="24"/>
              </w:rPr>
            </w:pPr>
            <w:r>
              <w:rPr>
                <w:rFonts w:hint="eastAsia" w:ascii="宋体" w:hAnsi="宋体" w:cs="宋体"/>
                <w:sz w:val="24"/>
                <w:highlight w:val="white"/>
              </w:rPr>
              <w:t>是否授权评标委员会确定中标人</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3AF7E10">
            <w:pPr>
              <w:spacing w:line="360" w:lineRule="auto"/>
              <w:rPr>
                <w:rFonts w:hint="eastAsia" w:ascii="宋体" w:hAnsi="宋体"/>
                <w:sz w:val="24"/>
              </w:rPr>
            </w:pPr>
            <w:r>
              <w:rPr>
                <w:rFonts w:hint="eastAsia" w:ascii="宋体" w:hAnsi="宋体"/>
                <w:sz w:val="24"/>
                <w:highlight w:val="white"/>
              </w:rPr>
              <w:t>否，本项目采用中标候选人评定分离机制，评标委员会完成投标文件评审后，以不排序方式向招标人推荐中标候选人3人，并逐一出具评审意见，相关评审意见应针对性阐述中标候选人投标文件的优点、不足、可能存在的风险等，不得泛泛而谈。当有效投标人为2人时，可推荐2人，不足2人时，评标委员会不推荐中标候选人，本次招标失败。</w:t>
            </w:r>
          </w:p>
        </w:tc>
      </w:tr>
      <w:tr w14:paraId="643AA07B">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right w:val="single" w:color="auto" w:sz="4" w:space="0"/>
            </w:tcBorders>
            <w:noWrap w:val="0"/>
            <w:vAlign w:val="center"/>
          </w:tcPr>
          <w:p w14:paraId="67E5F2B5">
            <w:pPr>
              <w:spacing w:line="440" w:lineRule="exact"/>
              <w:jc w:val="center"/>
              <w:rPr>
                <w:rFonts w:hint="eastAsia" w:ascii="宋体" w:hAnsi="宋体" w:cs="宋体"/>
                <w:sz w:val="24"/>
              </w:rPr>
            </w:pPr>
            <w:r>
              <w:rPr>
                <w:rFonts w:hint="eastAsia" w:ascii="宋体" w:hAnsi="宋体" w:cs="宋体"/>
                <w:sz w:val="24"/>
                <w:highlight w:val="white"/>
              </w:rPr>
              <w:t>7.2</w:t>
            </w:r>
          </w:p>
        </w:tc>
        <w:tc>
          <w:tcPr>
            <w:tcW w:w="1143" w:type="pct"/>
            <w:tcBorders>
              <w:top w:val="single" w:color="auto" w:sz="4" w:space="0"/>
              <w:left w:val="single" w:color="auto" w:sz="4" w:space="0"/>
              <w:right w:val="single" w:color="auto" w:sz="4" w:space="0"/>
            </w:tcBorders>
            <w:noWrap w:val="0"/>
            <w:vAlign w:val="center"/>
          </w:tcPr>
          <w:p w14:paraId="47E75DDE">
            <w:pPr>
              <w:spacing w:line="440" w:lineRule="exact"/>
              <w:jc w:val="center"/>
              <w:rPr>
                <w:rFonts w:hint="eastAsia" w:ascii="宋体" w:hAnsi="宋体" w:cs="宋体"/>
                <w:sz w:val="24"/>
              </w:rPr>
            </w:pPr>
            <w:r>
              <w:rPr>
                <w:rFonts w:hint="eastAsia" w:ascii="宋体" w:hAnsi="宋体" w:cs="宋体"/>
                <w:sz w:val="24"/>
                <w:highlight w:val="white"/>
              </w:rPr>
              <w:t>中标候选人公示媒介及期限</w:t>
            </w:r>
          </w:p>
        </w:tc>
        <w:tc>
          <w:tcPr>
            <w:tcW w:w="3266" w:type="pct"/>
            <w:tcBorders>
              <w:top w:val="single" w:color="auto" w:sz="4" w:space="0"/>
              <w:left w:val="single" w:color="auto" w:sz="4" w:space="0"/>
              <w:right w:val="single" w:color="auto" w:sz="4" w:space="0"/>
            </w:tcBorders>
            <w:noWrap w:val="0"/>
            <w:vAlign w:val="center"/>
          </w:tcPr>
          <w:p w14:paraId="7055A4BA">
            <w:pPr>
              <w:adjustRightInd w:val="0"/>
              <w:snapToGrid w:val="0"/>
              <w:spacing w:line="360" w:lineRule="auto"/>
              <w:rPr>
                <w:rFonts w:hint="eastAsia" w:ascii="宋体" w:hAnsi="宋体" w:cs="宋体"/>
                <w:sz w:val="24"/>
              </w:rPr>
            </w:pPr>
            <w:r>
              <w:rPr>
                <w:rFonts w:hint="eastAsia" w:ascii="宋体" w:hAnsi="宋体" w:cs="宋体"/>
                <w:sz w:val="24"/>
                <w:highlight w:val="white"/>
              </w:rPr>
              <w:t>中标候选人公示期限：不少于3日，公示期最后一日应为工作日。</w:t>
            </w:r>
          </w:p>
          <w:p w14:paraId="351255B8">
            <w:pPr>
              <w:spacing w:line="440" w:lineRule="exact"/>
              <w:rPr>
                <w:rFonts w:hint="eastAsia" w:ascii="宋体" w:hAnsi="宋体" w:cs="宋体"/>
                <w:sz w:val="24"/>
              </w:rPr>
            </w:pPr>
            <w:r>
              <w:rPr>
                <w:rFonts w:hint="eastAsia" w:ascii="宋体" w:hAnsi="宋体" w:cs="宋体"/>
                <w:sz w:val="24"/>
                <w:highlight w:val="white"/>
              </w:rPr>
              <w:t>定标结果公示期限：定标结束后，招标人应在3日内将定标结果通过四川省公共资源交易信息网等指定媒介进行公示，公示期不少于3日。</w:t>
            </w:r>
          </w:p>
        </w:tc>
      </w:tr>
      <w:tr w14:paraId="7FA52932">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CB92838">
            <w:pPr>
              <w:spacing w:line="440" w:lineRule="exact"/>
              <w:jc w:val="center"/>
              <w:rPr>
                <w:rFonts w:hint="eastAsia" w:ascii="宋体" w:hAnsi="宋体" w:cs="宋体"/>
                <w:sz w:val="24"/>
              </w:rPr>
            </w:pPr>
            <w:r>
              <w:rPr>
                <w:rFonts w:hint="eastAsia" w:ascii="宋体" w:hAnsi="宋体" w:cs="宋体"/>
                <w:sz w:val="24"/>
                <w:highlight w:val="white"/>
              </w:rPr>
              <w:t>7.4.1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B7DCD86">
            <w:pPr>
              <w:spacing w:line="440" w:lineRule="exact"/>
              <w:jc w:val="center"/>
              <w:rPr>
                <w:rFonts w:hint="eastAsia" w:ascii="宋体" w:hAnsi="宋体" w:cs="宋体"/>
                <w:sz w:val="24"/>
              </w:rPr>
            </w:pPr>
            <w:r>
              <w:rPr>
                <w:rFonts w:hint="eastAsia" w:ascii="宋体" w:hAnsi="宋体" w:cs="宋体"/>
                <w:sz w:val="24"/>
                <w:highlight w:val="white"/>
              </w:rPr>
              <w:t>履约担保</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303070F">
            <w:pPr>
              <w:spacing w:line="360" w:lineRule="auto"/>
              <w:rPr>
                <w:rFonts w:ascii="宋体" w:hAnsi="宋体"/>
                <w:sz w:val="24"/>
              </w:rPr>
            </w:pPr>
            <w:r>
              <w:rPr>
                <w:rFonts w:hint="eastAsia" w:ascii="宋体" w:hAnsi="宋体"/>
                <w:sz w:val="24"/>
                <w:highlight w:val="white"/>
              </w:rPr>
              <w:t>履约保证金=暂定合同价（扣除招标暂定部分）的</w:t>
            </w:r>
            <w:bookmarkStart w:id="101" w:name="EBc6e6beea43044d598b5c7a879a67e4e1"/>
            <w:r>
              <w:rPr>
                <w:rFonts w:hint="eastAsia" w:ascii="宋体" w:hAnsi="宋体"/>
                <w:color w:val="0000FF"/>
                <w:sz w:val="24"/>
                <w:highlight w:val="white"/>
              </w:rPr>
              <w:t>10</w:t>
            </w:r>
            <w:bookmarkEnd w:id="101"/>
            <w:r>
              <w:rPr>
                <w:rFonts w:hint="eastAsia" w:ascii="宋体" w:hAnsi="宋体"/>
                <w:sz w:val="24"/>
                <w:highlight w:val="white"/>
              </w:rPr>
              <w:t>%。</w:t>
            </w:r>
          </w:p>
          <w:p w14:paraId="5ACE6B55">
            <w:pPr>
              <w:adjustRightInd w:val="0"/>
              <w:snapToGrid w:val="0"/>
              <w:spacing w:line="360" w:lineRule="auto"/>
              <w:rPr>
                <w:rFonts w:ascii="宋体" w:hAnsi="宋体" w:cs="宋体"/>
                <w:sz w:val="24"/>
              </w:rPr>
            </w:pPr>
            <w:r>
              <w:rPr>
                <w:rFonts w:hint="eastAsia" w:ascii="宋体" w:hAnsi="宋体" w:cs="宋体"/>
                <w:sz w:val="24"/>
                <w:highlight w:val="white"/>
              </w:rPr>
              <w:t>投标人可以选用下列形式之一提交履约保证金：</w:t>
            </w:r>
          </w:p>
          <w:p w14:paraId="0BE251FA">
            <w:pPr>
              <w:spacing w:line="440" w:lineRule="exact"/>
              <w:rPr>
                <w:rFonts w:hint="eastAsia" w:ascii="宋体" w:hAnsi="宋体"/>
                <w:sz w:val="24"/>
              </w:rPr>
            </w:pPr>
            <w:r>
              <w:rPr>
                <w:rFonts w:hint="eastAsia" w:ascii="宋体" w:hAnsi="宋体"/>
                <w:sz w:val="24"/>
                <w:highlight w:val="white"/>
              </w:rPr>
              <w:t>（1）以现金或者支票形式全额提交。采用该形式的履约担保必须通过中标人基本账户以银行转账方式提交。</w:t>
            </w:r>
          </w:p>
          <w:p w14:paraId="60CE4CC5">
            <w:pPr>
              <w:spacing w:line="440" w:lineRule="exact"/>
              <w:rPr>
                <w:rFonts w:hint="eastAsia" w:ascii="宋体" w:hAnsi="宋体"/>
                <w:sz w:val="24"/>
              </w:rPr>
            </w:pPr>
            <w:r>
              <w:rPr>
                <w:rFonts w:hint="eastAsia" w:ascii="宋体" w:hAnsi="宋体"/>
                <w:sz w:val="24"/>
                <w:highlight w:val="white"/>
              </w:rPr>
              <w:t>（2）以银行保函或专业担保公司保函或保险合同形式全额提交。采用该形式的履约担保必须提供银行出具的保函或保险公司出具的保险合同或专业担保公司出具的保函原件。</w:t>
            </w:r>
          </w:p>
          <w:p w14:paraId="6F8F4C1D">
            <w:pPr>
              <w:spacing w:line="440" w:lineRule="exact"/>
              <w:rPr>
                <w:rFonts w:hint="eastAsia" w:ascii="宋体" w:hAnsi="宋体"/>
                <w:sz w:val="24"/>
              </w:rPr>
            </w:pPr>
            <w:r>
              <w:rPr>
                <w:rFonts w:hint="eastAsia" w:ascii="宋体" w:hAnsi="宋体"/>
                <w:sz w:val="24"/>
                <w:highlight w:val="white"/>
              </w:rPr>
              <w:t>（3）以现金或者支票、银行保函或专业担保公司保函或保险合同形式组合提交。采用现金或者支票形式的履约担保必须通过中标人基本账户以银行转账方式提交；采用银行保函或专业担保公司保函或保险合同形式的履约担保必须提供银行出具的保函或专业担保公司出具的保函或保险公司出具的保险合同原件。</w:t>
            </w:r>
          </w:p>
          <w:p w14:paraId="31A42305">
            <w:pPr>
              <w:spacing w:line="440" w:lineRule="exact"/>
              <w:rPr>
                <w:rFonts w:hint="eastAsia" w:ascii="宋体" w:hAnsi="宋体" w:cs="宋体"/>
                <w:sz w:val="24"/>
              </w:rPr>
            </w:pPr>
            <w:r>
              <w:rPr>
                <w:rFonts w:hint="eastAsia" w:ascii="宋体" w:hAnsi="宋体"/>
                <w:sz w:val="24"/>
                <w:highlight w:val="white"/>
              </w:rPr>
              <w:t>注：《四川省住房和城乡建设厅 中国银行保险监督管理委员会四川监管局关于深入推进建设工程保证保险工作的通知》（川建行规〔2019〕8号）规定：“严格落实国务院清理规范工程建设领域保证金的工作要求，积极推行工程担保制度，支持银行业金融机构、专业担保公司、保险机构作为工程担保保证人开展工程担保业务。建筑企业可以银行保函、专业担保公司担保函、保证保险等方式替代现金缴纳各类保证金，任何单位不得无故拒绝。”</w:t>
            </w:r>
          </w:p>
        </w:tc>
      </w:tr>
      <w:tr w14:paraId="5C045CFB">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C7102F3">
            <w:pPr>
              <w:spacing w:line="440" w:lineRule="exact"/>
              <w:jc w:val="center"/>
              <w:rPr>
                <w:rFonts w:hint="eastAsia" w:ascii="宋体" w:hAnsi="宋体" w:cs="宋体"/>
                <w:b/>
                <w:sz w:val="24"/>
              </w:rPr>
            </w:pPr>
            <w:r>
              <w:rPr>
                <w:rFonts w:hint="eastAsia" w:ascii="宋体" w:hAnsi="宋体" w:cs="宋体"/>
                <w:b/>
                <w:sz w:val="24"/>
                <w:highlight w:val="white"/>
              </w:rPr>
              <w:t>9</w:t>
            </w:r>
          </w:p>
        </w:tc>
        <w:tc>
          <w:tcPr>
            <w:tcW w:w="4409" w:type="pct"/>
            <w:gridSpan w:val="2"/>
            <w:tcBorders>
              <w:top w:val="single" w:color="auto" w:sz="4" w:space="0"/>
              <w:left w:val="single" w:color="auto" w:sz="4" w:space="0"/>
              <w:bottom w:val="single" w:color="auto" w:sz="4" w:space="0"/>
              <w:right w:val="single" w:color="auto" w:sz="4" w:space="0"/>
            </w:tcBorders>
            <w:noWrap w:val="0"/>
            <w:vAlign w:val="center"/>
          </w:tcPr>
          <w:p w14:paraId="4FAA0863">
            <w:pPr>
              <w:spacing w:line="440" w:lineRule="exact"/>
              <w:jc w:val="center"/>
              <w:rPr>
                <w:rFonts w:hint="eastAsia" w:ascii="宋体" w:hAnsi="宋体" w:cs="宋体"/>
                <w:b/>
                <w:sz w:val="24"/>
              </w:rPr>
            </w:pPr>
            <w:r>
              <w:rPr>
                <w:rFonts w:hint="eastAsia" w:ascii="宋体" w:hAnsi="宋体" w:cs="宋体"/>
                <w:b/>
                <w:sz w:val="24"/>
                <w:highlight w:val="white"/>
              </w:rPr>
              <w:t>需要补充的其他内容</w:t>
            </w:r>
          </w:p>
        </w:tc>
      </w:tr>
      <w:tr w14:paraId="2B45A572">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B2F5C0F">
            <w:pPr>
              <w:spacing w:line="360" w:lineRule="auto"/>
              <w:jc w:val="center"/>
              <w:rPr>
                <w:rFonts w:hint="eastAsia" w:ascii="宋体" w:hAnsi="宋体" w:cs="宋体"/>
                <w:b/>
                <w:sz w:val="24"/>
              </w:rPr>
            </w:pPr>
            <w:r>
              <w:rPr>
                <w:rFonts w:hint="eastAsia" w:ascii="宋体" w:hAnsi="宋体"/>
                <w:sz w:val="24"/>
                <w:highlight w:val="white"/>
              </w:rPr>
              <w:t>9.1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129F8F6A">
            <w:pPr>
              <w:spacing w:line="360" w:lineRule="auto"/>
              <w:jc w:val="center"/>
              <w:rPr>
                <w:rFonts w:hint="eastAsia" w:ascii="宋体" w:hAnsi="宋体" w:cs="宋体"/>
                <w:b/>
                <w:sz w:val="24"/>
              </w:rPr>
            </w:pPr>
            <w:r>
              <w:rPr>
                <w:rFonts w:hint="eastAsia" w:ascii="宋体" w:hAnsi="宋体"/>
                <w:sz w:val="24"/>
                <w:highlight w:val="white"/>
              </w:rPr>
              <w:t>编页码</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6528E4C">
            <w:pPr>
              <w:spacing w:line="360" w:lineRule="auto"/>
              <w:rPr>
                <w:rFonts w:hint="eastAsia" w:ascii="宋体" w:hAnsi="宋体" w:cs="宋体"/>
                <w:b/>
                <w:sz w:val="24"/>
              </w:rPr>
            </w:pPr>
            <w:r>
              <w:rPr>
                <w:rFonts w:hint="eastAsia" w:ascii="宋体" w:hAnsi="宋体"/>
                <w:sz w:val="24"/>
                <w:highlight w:val="white"/>
              </w:rPr>
              <w:t>不需要。</w:t>
            </w:r>
          </w:p>
        </w:tc>
      </w:tr>
      <w:tr w14:paraId="761AD67F">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DBAE566">
            <w:pPr>
              <w:spacing w:line="360" w:lineRule="auto"/>
              <w:jc w:val="center"/>
              <w:rPr>
                <w:rFonts w:hint="eastAsia" w:ascii="宋体" w:hAnsi="宋体" w:cs="宋体"/>
                <w:b/>
                <w:sz w:val="24"/>
              </w:rPr>
            </w:pPr>
            <w:r>
              <w:rPr>
                <w:rFonts w:hint="eastAsia" w:ascii="宋体" w:hAnsi="宋体"/>
                <w:sz w:val="24"/>
                <w:highlight w:val="white"/>
              </w:rPr>
              <w:t>9.2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0946564">
            <w:pPr>
              <w:spacing w:line="360" w:lineRule="auto"/>
              <w:jc w:val="center"/>
              <w:rPr>
                <w:rFonts w:hint="eastAsia" w:ascii="宋体" w:hAnsi="宋体" w:cs="宋体"/>
                <w:b/>
                <w:sz w:val="24"/>
              </w:rPr>
            </w:pPr>
            <w:r>
              <w:rPr>
                <w:rFonts w:hint="eastAsia" w:ascii="宋体" w:hAnsi="宋体"/>
                <w:sz w:val="24"/>
                <w:highlight w:val="white"/>
              </w:rPr>
              <w:t>招标代理服务费</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0C5A9429">
            <w:pPr>
              <w:adjustRightInd w:val="0"/>
              <w:snapToGrid w:val="0"/>
              <w:spacing w:line="360" w:lineRule="auto"/>
              <w:rPr>
                <w:rFonts w:ascii="宋体" w:hAnsi="宋体" w:cs="宋体"/>
                <w:sz w:val="24"/>
              </w:rPr>
            </w:pPr>
            <w:bookmarkStart w:id="102" w:name="EB05d4ed389d1f4a98890eca76c7c2136c"/>
            <w:r>
              <w:rPr>
                <w:rFonts w:hint="eastAsia" w:ascii="宋体" w:hAnsi="宋体"/>
                <w:color w:val="0000FF"/>
                <w:sz w:val="24"/>
                <w:highlight w:val="white"/>
              </w:rPr>
              <w:t>□</w:t>
            </w:r>
            <w:bookmarkEnd w:id="102"/>
            <w:r>
              <w:rPr>
                <w:rFonts w:hint="eastAsia" w:ascii="宋体" w:hAnsi="宋体" w:cs="宋体"/>
                <w:sz w:val="24"/>
                <w:highlight w:val="white"/>
              </w:rPr>
              <w:t>不适合(自行招标)。</w:t>
            </w:r>
          </w:p>
          <w:p w14:paraId="44F5BD85">
            <w:pPr>
              <w:adjustRightInd w:val="0"/>
              <w:snapToGrid w:val="0"/>
              <w:spacing w:line="360" w:lineRule="auto"/>
              <w:rPr>
                <w:rFonts w:ascii="宋体" w:hAnsi="宋体" w:cs="宋体"/>
                <w:sz w:val="24"/>
              </w:rPr>
            </w:pPr>
            <w:bookmarkStart w:id="103" w:name="EB123e77d2cf88429aafd0e8d91ca88578"/>
            <w:r>
              <w:rPr>
                <w:rFonts w:hint="eastAsia" w:ascii="宋体" w:hAnsi="宋体"/>
                <w:color w:val="0000FF"/>
                <w:sz w:val="24"/>
                <w:highlight w:val="white"/>
              </w:rPr>
              <w:t>□</w:t>
            </w:r>
            <w:bookmarkEnd w:id="103"/>
            <w:r>
              <w:rPr>
                <w:rFonts w:hint="eastAsia" w:ascii="宋体" w:hAnsi="宋体" w:cs="宋体"/>
                <w:sz w:val="24"/>
                <w:highlight w:val="white"/>
              </w:rPr>
              <w:t>招标人支付。</w:t>
            </w:r>
          </w:p>
          <w:p w14:paraId="20937BC9">
            <w:pPr>
              <w:spacing w:line="360" w:lineRule="auto"/>
              <w:rPr>
                <w:rFonts w:hint="eastAsia" w:ascii="宋体" w:hAnsi="宋体" w:cs="宋体"/>
                <w:b/>
                <w:sz w:val="24"/>
              </w:rPr>
            </w:pPr>
            <w:bookmarkStart w:id="104" w:name="EB90f27c9514e245db90573808e8e5d7b1"/>
            <w:r>
              <w:rPr>
                <w:rFonts w:hint="eastAsia" w:ascii="宋体" w:hAnsi="宋体"/>
                <w:color w:val="0000FF"/>
                <w:sz w:val="24"/>
                <w:highlight w:val="white"/>
              </w:rPr>
              <w:t>☑</w:t>
            </w:r>
            <w:bookmarkEnd w:id="104"/>
            <w:r>
              <w:rPr>
                <w:rFonts w:hint="eastAsia" w:ascii="宋体" w:hAnsi="宋体" w:cs="宋体"/>
                <w:sz w:val="24"/>
                <w:highlight w:val="white"/>
              </w:rPr>
              <w:t>中标的投标人支付，支付标准：</w:t>
            </w:r>
            <w:r>
              <w:rPr>
                <w:rFonts w:hint="eastAsia" w:ascii="宋体" w:hAnsi="宋体" w:cs="宋体"/>
                <w:color w:val="0000FF"/>
                <w:sz w:val="24"/>
                <w:highlight w:val="white"/>
                <w:lang w:val="en-US" w:eastAsia="zh-CN"/>
              </w:rPr>
              <w:t>固定价4.5万元</w:t>
            </w:r>
            <w:r>
              <w:rPr>
                <w:rFonts w:hint="eastAsia" w:ascii="宋体" w:hAnsi="宋体" w:cs="宋体"/>
                <w:sz w:val="24"/>
                <w:highlight w:val="white"/>
              </w:rPr>
              <w:t>（按照招标代理合同约定填写）。</w:t>
            </w:r>
          </w:p>
        </w:tc>
      </w:tr>
      <w:tr w14:paraId="60846089">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C22FBF9">
            <w:pPr>
              <w:spacing w:line="360" w:lineRule="auto"/>
              <w:jc w:val="center"/>
              <w:rPr>
                <w:rFonts w:hint="eastAsia" w:ascii="宋体" w:hAnsi="宋体" w:cs="宋体"/>
                <w:b/>
                <w:sz w:val="24"/>
              </w:rPr>
            </w:pPr>
            <w:r>
              <w:rPr>
                <w:rFonts w:hint="eastAsia" w:ascii="宋体" w:hAnsi="宋体"/>
                <w:sz w:val="24"/>
                <w:highlight w:val="white"/>
              </w:rPr>
              <w:t>9.3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1F37A76">
            <w:pPr>
              <w:spacing w:line="360" w:lineRule="auto"/>
              <w:jc w:val="center"/>
              <w:rPr>
                <w:rFonts w:hint="eastAsia" w:ascii="宋体" w:hAnsi="宋体" w:cs="宋体"/>
                <w:b/>
                <w:sz w:val="24"/>
              </w:rPr>
            </w:pPr>
            <w:r>
              <w:rPr>
                <w:rFonts w:hint="eastAsia" w:ascii="宋体" w:hAnsi="宋体"/>
                <w:sz w:val="24"/>
                <w:highlight w:val="white"/>
              </w:rPr>
              <w:t>报价唯一</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AE242F4">
            <w:pPr>
              <w:spacing w:line="360" w:lineRule="auto"/>
              <w:rPr>
                <w:rFonts w:hint="eastAsia" w:ascii="宋体" w:hAnsi="宋体" w:cs="宋体"/>
                <w:b/>
                <w:sz w:val="24"/>
              </w:rPr>
            </w:pPr>
            <w:r>
              <w:rPr>
                <w:rFonts w:hint="eastAsia" w:ascii="宋体" w:hAnsi="宋体" w:cs="宋体"/>
                <w:sz w:val="24"/>
                <w:highlight w:val="white"/>
              </w:rPr>
              <w:t>只能有一个报价，任何有选择和保留的报价将不予接受。</w:t>
            </w:r>
          </w:p>
        </w:tc>
      </w:tr>
      <w:tr w14:paraId="55EDF3B7">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8702BA4">
            <w:pPr>
              <w:spacing w:line="360" w:lineRule="auto"/>
              <w:jc w:val="center"/>
              <w:rPr>
                <w:rFonts w:hint="eastAsia" w:ascii="宋体" w:hAnsi="宋体" w:cs="宋体"/>
                <w:b/>
                <w:sz w:val="24"/>
              </w:rPr>
            </w:pPr>
            <w:r>
              <w:rPr>
                <w:rFonts w:hint="eastAsia" w:ascii="宋体" w:hAnsi="宋体"/>
                <w:sz w:val="24"/>
                <w:highlight w:val="white"/>
              </w:rPr>
              <w:t>9.4</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CBDF40F">
            <w:pPr>
              <w:spacing w:line="360" w:lineRule="auto"/>
              <w:jc w:val="center"/>
              <w:rPr>
                <w:rFonts w:hint="eastAsia" w:ascii="宋体" w:hAnsi="宋体" w:cs="宋体"/>
                <w:b/>
                <w:sz w:val="24"/>
              </w:rPr>
            </w:pPr>
            <w:r>
              <w:rPr>
                <w:rFonts w:hint="eastAsia" w:ascii="宋体" w:hAnsi="宋体"/>
                <w:sz w:val="24"/>
                <w:highlight w:val="white"/>
              </w:rPr>
              <w:t>低于成本报价</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5A1BBE53">
            <w:pPr>
              <w:spacing w:line="360" w:lineRule="auto"/>
              <w:rPr>
                <w:rFonts w:hint="eastAsia" w:ascii="宋体" w:hAnsi="宋体" w:cs="宋体"/>
                <w:sz w:val="24"/>
              </w:rPr>
            </w:pPr>
            <w:r>
              <w:rPr>
                <w:rFonts w:hint="eastAsia" w:ascii="宋体" w:hAnsi="宋体" w:cs="宋体"/>
                <w:sz w:val="24"/>
                <w:highlight w:val="white"/>
              </w:rPr>
              <w:t>在评标过程中，评标委员会发现投标人的报价明显低于其他投标报价，使得其投标报价可能低于其个别成本的，应当要求该投标人作出书面说明,</w:t>
            </w:r>
            <w:r>
              <w:rPr>
                <w:rFonts w:hint="eastAsia"/>
                <w:highlight w:val="white"/>
              </w:rPr>
              <w:t xml:space="preserve"> </w:t>
            </w:r>
            <w:r>
              <w:rPr>
                <w:rFonts w:hint="eastAsia" w:ascii="宋体" w:hAnsi="宋体" w:cs="宋体"/>
                <w:sz w:val="24"/>
                <w:highlight w:val="white"/>
              </w:rPr>
              <w:t>评标委员会应从发包人要求和投标报价构成等方面综合考虑对投标人是否低于其个别成本进行认定，评标委员会经评审认为其不低于成本的，应当书面说明理由。投标人不能说明或者评标委员会认为说明不合理的，由评标委员会认定该投标人以低于成本报价竞标，其投标应作否决处理。</w:t>
            </w:r>
          </w:p>
          <w:p w14:paraId="49A57AFC">
            <w:pPr>
              <w:adjustRightInd w:val="0"/>
              <w:snapToGrid w:val="0"/>
              <w:spacing w:line="360" w:lineRule="auto"/>
              <w:rPr>
                <w:rFonts w:hint="eastAsia" w:ascii="宋体" w:hAnsi="宋体" w:cs="宋体"/>
                <w:sz w:val="24"/>
              </w:rPr>
            </w:pPr>
            <w:r>
              <w:rPr>
                <w:rFonts w:hint="eastAsia" w:ascii="宋体" w:hAnsi="宋体" w:cs="宋体"/>
                <w:sz w:val="24"/>
                <w:highlight w:val="white"/>
              </w:rPr>
              <w:t>启动低于成本评审的具体标准：</w:t>
            </w:r>
          </w:p>
          <w:p w14:paraId="04AF403C">
            <w:pPr>
              <w:adjustRightInd w:val="0"/>
              <w:snapToGrid w:val="0"/>
              <w:spacing w:line="360" w:lineRule="auto"/>
              <w:rPr>
                <w:rFonts w:hint="eastAsia" w:ascii="宋体" w:hAnsi="宋体" w:cs="宋体"/>
                <w:sz w:val="24"/>
                <w:u w:val="single"/>
              </w:rPr>
            </w:pPr>
            <w:bookmarkStart w:id="105" w:name="EBb82426db911d4c5ba016b46e3f8f2f3e"/>
            <w:r>
              <w:rPr>
                <w:rFonts w:hint="eastAsia" w:ascii="宋体" w:hAnsi="宋体" w:cs="宋体"/>
                <w:color w:val="0000FF"/>
                <w:sz w:val="24"/>
                <w:highlight w:val="white"/>
              </w:rPr>
              <w:t>满足下列条件之一时，启动低于成本评审的具体标准：（1）投标人的投标报价低于最高限价85%的；（2）投标人的投标报价低于最高限价的90%且低于所有投标人的投标报价（指投标文件全部内容经过详细评审而未被否决的投标人）算术平均值的95%。</w:t>
            </w:r>
            <w:bookmarkEnd w:id="105"/>
          </w:p>
          <w:p w14:paraId="018471EA">
            <w:pPr>
              <w:spacing w:line="360" w:lineRule="auto"/>
              <w:rPr>
                <w:rFonts w:hint="eastAsia" w:ascii="宋体" w:hAnsi="宋体" w:cs="宋体"/>
                <w:b/>
                <w:sz w:val="24"/>
              </w:rPr>
            </w:pPr>
            <w:r>
              <w:rPr>
                <w:rFonts w:hint="eastAsia" w:ascii="宋体" w:hAnsi="宋体" w:cs="宋体"/>
                <w:sz w:val="24"/>
                <w:highlight w:val="white"/>
              </w:rPr>
              <w:t>评标委员会全体成员半数以上认为该投标人不能合理说明的，认定该投标人以低于成本报价竞标，其投标应作否决处理。持有异议的评标委员会成员可以书面方式阐述其不同意见和理由，拒绝签字且不陈述其不同意见和理由的，视为同意。</w:t>
            </w:r>
          </w:p>
        </w:tc>
      </w:tr>
      <w:tr w14:paraId="30F56C8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744C0AC">
            <w:pPr>
              <w:spacing w:line="360" w:lineRule="auto"/>
              <w:jc w:val="center"/>
              <w:rPr>
                <w:rFonts w:hint="eastAsia" w:ascii="宋体" w:hAnsi="宋体" w:cs="宋体"/>
                <w:b/>
                <w:sz w:val="24"/>
              </w:rPr>
            </w:pPr>
            <w:r>
              <w:rPr>
                <w:rFonts w:hint="eastAsia" w:ascii="宋体" w:hAnsi="宋体"/>
                <w:sz w:val="24"/>
                <w:highlight w:val="white"/>
              </w:rPr>
              <w:t>9.5</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8819DF0">
            <w:pPr>
              <w:spacing w:line="360" w:lineRule="auto"/>
              <w:jc w:val="center"/>
              <w:rPr>
                <w:rFonts w:hint="eastAsia" w:ascii="宋体" w:hAnsi="宋体" w:cs="宋体"/>
                <w:b/>
                <w:sz w:val="24"/>
              </w:rPr>
            </w:pPr>
            <w:r>
              <w:rPr>
                <w:rFonts w:hint="eastAsia" w:ascii="宋体" w:hAnsi="宋体"/>
                <w:sz w:val="24"/>
                <w:highlight w:val="white"/>
              </w:rPr>
              <w:t>中标价</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B739E26">
            <w:pPr>
              <w:spacing w:line="360" w:lineRule="auto"/>
              <w:rPr>
                <w:rFonts w:ascii="宋体" w:hAnsi="宋体"/>
                <w:sz w:val="24"/>
              </w:rPr>
            </w:pPr>
            <w:r>
              <w:rPr>
                <w:rFonts w:hint="eastAsia" w:ascii="宋体" w:hAnsi="宋体"/>
                <w:sz w:val="24"/>
                <w:highlight w:val="white"/>
              </w:rPr>
              <w:t>以中标的投标人在投标函中的投标报价为准。按第三章“评标办法”3.1.3对投标报价进行修正的，以投标人接受的修正价格为中标价。</w:t>
            </w:r>
          </w:p>
          <w:p w14:paraId="71CA6A2D">
            <w:pPr>
              <w:spacing w:line="360" w:lineRule="auto"/>
              <w:rPr>
                <w:rFonts w:hint="eastAsia" w:ascii="宋体" w:hAnsi="宋体" w:cs="宋体"/>
                <w:b/>
                <w:sz w:val="24"/>
              </w:rPr>
            </w:pPr>
            <w:r>
              <w:rPr>
                <w:rFonts w:hint="eastAsia" w:ascii="宋体" w:hAnsi="宋体"/>
                <w:sz w:val="24"/>
                <w:highlight w:val="white"/>
              </w:rPr>
              <w:t>无论是采用综合评估法还是经评审的最低投标价法，都不保证报价最低的投标人中标，也不解释原因。</w:t>
            </w:r>
          </w:p>
        </w:tc>
      </w:tr>
      <w:tr w14:paraId="00AB28F3">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4C89AA3">
            <w:pPr>
              <w:spacing w:line="360" w:lineRule="auto"/>
              <w:jc w:val="center"/>
              <w:rPr>
                <w:rFonts w:hint="eastAsia" w:ascii="宋体" w:hAnsi="宋体" w:cs="宋体"/>
                <w:b/>
                <w:sz w:val="24"/>
              </w:rPr>
            </w:pPr>
            <w:r>
              <w:rPr>
                <w:rFonts w:hint="eastAsia" w:ascii="宋体" w:hAnsi="宋体"/>
                <w:sz w:val="24"/>
                <w:highlight w:val="white"/>
              </w:rPr>
              <w:t>9.6</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3C6F37CC">
            <w:pPr>
              <w:spacing w:line="360" w:lineRule="auto"/>
              <w:jc w:val="center"/>
              <w:rPr>
                <w:rFonts w:hint="eastAsia" w:ascii="宋体" w:hAnsi="宋体" w:cs="宋体"/>
                <w:b/>
                <w:sz w:val="24"/>
              </w:rPr>
            </w:pPr>
            <w:r>
              <w:rPr>
                <w:rFonts w:hint="eastAsia" w:ascii="宋体" w:hAnsi="宋体"/>
                <w:sz w:val="24"/>
                <w:highlight w:val="white"/>
              </w:rPr>
              <w:t>确定中标人</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590A9F9F">
            <w:pPr>
              <w:spacing w:line="360" w:lineRule="auto"/>
              <w:rPr>
                <w:rFonts w:hint="eastAsia" w:ascii="宋体" w:hAnsi="宋体"/>
                <w:sz w:val="24"/>
              </w:rPr>
            </w:pPr>
            <w:r>
              <w:rPr>
                <w:rFonts w:hint="eastAsia" w:ascii="宋体" w:hAnsi="宋体"/>
                <w:sz w:val="24"/>
                <w:highlight w:val="white"/>
              </w:rPr>
              <w:t>如投标人被推荐为第一中标候选人的多个标段配置了相同的项目经理或施工负责人，则按如下方式选择其中一个标段作为中标人：</w:t>
            </w:r>
          </w:p>
          <w:p w14:paraId="46FD09A8">
            <w:pPr>
              <w:spacing w:line="360" w:lineRule="auto"/>
              <w:rPr>
                <w:rFonts w:hint="eastAsia" w:ascii="宋体" w:hAnsi="宋体"/>
                <w:sz w:val="24"/>
              </w:rPr>
            </w:pPr>
            <w:bookmarkStart w:id="106" w:name="EBbd0f7837291846f590e489db62dd0dcf"/>
            <w:r>
              <w:rPr>
                <w:rFonts w:hint="eastAsia" w:ascii="宋体" w:hAnsi="宋体"/>
                <w:color w:val="0000FF"/>
                <w:sz w:val="24"/>
                <w:highlight w:val="white"/>
              </w:rPr>
              <w:t>□</w:t>
            </w:r>
            <w:bookmarkEnd w:id="106"/>
            <w:r>
              <w:rPr>
                <w:rFonts w:hint="eastAsia" w:ascii="宋体" w:hAnsi="宋体"/>
                <w:sz w:val="24"/>
                <w:highlight w:val="white"/>
              </w:rPr>
              <w:t>由投标人选择中标的合同段，选择原则为：</w:t>
            </w:r>
          </w:p>
          <w:p w14:paraId="12B6ADDA">
            <w:pPr>
              <w:spacing w:line="360" w:lineRule="auto"/>
              <w:rPr>
                <w:rFonts w:ascii="宋体" w:hAnsi="宋体"/>
                <w:sz w:val="24"/>
                <w:highlight w:val="green"/>
              </w:rPr>
            </w:pPr>
            <w:bookmarkStart w:id="107" w:name="EBb01edce63f064afd8831d3e1c19c44e2"/>
            <w:bookmarkEnd w:id="107"/>
          </w:p>
          <w:p w14:paraId="4754940F">
            <w:pPr>
              <w:spacing w:line="360" w:lineRule="auto"/>
              <w:rPr>
                <w:rFonts w:ascii="宋体" w:hAnsi="宋体"/>
                <w:sz w:val="24"/>
              </w:rPr>
            </w:pPr>
            <w:r>
              <w:rPr>
                <w:rFonts w:hint="eastAsia" w:ascii="宋体" w:hAnsi="宋体"/>
                <w:color w:val="0000FF"/>
                <w:sz w:val="24"/>
                <w:highlight w:val="white"/>
                <w:lang w:eastAsia="zh-CN"/>
              </w:rPr>
              <w:t>□</w:t>
            </w:r>
            <w:r>
              <w:rPr>
                <w:rFonts w:hint="eastAsia" w:ascii="宋体" w:hAnsi="宋体"/>
                <w:sz w:val="24"/>
                <w:highlight w:val="white"/>
              </w:rPr>
              <w:t>由招标人选择中标的合同段，选择原则为：</w:t>
            </w:r>
          </w:p>
          <w:p w14:paraId="6574C3A6">
            <w:pPr>
              <w:spacing w:line="360" w:lineRule="auto"/>
              <w:rPr>
                <w:rFonts w:ascii="宋体" w:hAnsi="宋体"/>
                <w:sz w:val="24"/>
                <w:highlight w:val="green"/>
              </w:rPr>
            </w:pPr>
            <w:bookmarkStart w:id="108" w:name="EB1f6205de7c6f43e69aed99ae6acddb65"/>
            <w:r>
              <w:rPr>
                <w:rFonts w:hint="eastAsia" w:ascii="宋体" w:hAnsi="宋体"/>
                <w:color w:val="0000FF"/>
                <w:sz w:val="24"/>
                <w:highlight w:val="white"/>
              </w:rPr>
              <w:t>/</w:t>
            </w:r>
            <w:bookmarkEnd w:id="108"/>
          </w:p>
          <w:p w14:paraId="009BC9AB">
            <w:pPr>
              <w:spacing w:line="360" w:lineRule="auto"/>
              <w:rPr>
                <w:rFonts w:hint="eastAsia" w:ascii="宋体" w:hAnsi="宋体" w:cs="宋体"/>
                <w:b/>
                <w:sz w:val="24"/>
              </w:rPr>
            </w:pPr>
            <w:r>
              <w:rPr>
                <w:rFonts w:ascii="宋体" w:hAnsi="宋体"/>
                <w:sz w:val="24"/>
                <w:highlight w:val="white"/>
              </w:rPr>
              <w:t xml:space="preserve">  </w:t>
            </w:r>
            <w:r>
              <w:rPr>
                <w:rFonts w:hint="eastAsia" w:ascii="宋体" w:hAnsi="宋体"/>
                <w:sz w:val="24"/>
                <w:highlight w:val="white"/>
              </w:rPr>
              <w:t>注：根据《四川省发展和改革委员会等部门关于扩面推广工程建设项目招标投标中标候选人评定分离机制的通知》，我省依法必须招标的国家投资工程建设项目，原则上应当使用中标候选人评定分离机制确定中标人。招标人按照定标方案从评标委员会推荐的中标候选人范围内确定中标人。中标人有放弃中标、因不可抗力不能履行合同、不按照招标文件要求提交履约保证金，或者被查实存在影响中标结果的违法行为等情形，不符合中标条件的，可在其余中标候选人中另行确定中标人或重新招标。所有中标人都被取消资格的，重新招标</w:t>
            </w:r>
            <w:r>
              <w:rPr>
                <w:rFonts w:ascii="宋体" w:hAnsi="宋体"/>
                <w:sz w:val="24"/>
                <w:highlight w:val="white"/>
              </w:rPr>
              <w:t>。</w:t>
            </w:r>
          </w:p>
        </w:tc>
      </w:tr>
      <w:tr w14:paraId="38530C1F">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03B68D8">
            <w:pPr>
              <w:spacing w:line="360" w:lineRule="auto"/>
              <w:jc w:val="center"/>
              <w:rPr>
                <w:rFonts w:hint="eastAsia" w:ascii="宋体" w:hAnsi="宋体" w:cs="宋体"/>
                <w:b/>
                <w:sz w:val="24"/>
              </w:rPr>
            </w:pPr>
            <w:r>
              <w:rPr>
                <w:rFonts w:hint="eastAsia" w:ascii="宋体" w:hAnsi="宋体"/>
                <w:sz w:val="24"/>
                <w:highlight w:val="white"/>
              </w:rPr>
              <w:t>9.7</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23D9F74">
            <w:pPr>
              <w:spacing w:line="360" w:lineRule="auto"/>
              <w:jc w:val="center"/>
              <w:rPr>
                <w:rFonts w:hint="eastAsia" w:ascii="宋体" w:hAnsi="宋体" w:cs="宋体"/>
                <w:b/>
                <w:sz w:val="24"/>
              </w:rPr>
            </w:pPr>
            <w:r>
              <w:rPr>
                <w:rFonts w:hint="eastAsia" w:ascii="宋体" w:hAnsi="宋体"/>
                <w:sz w:val="24"/>
                <w:highlight w:val="white"/>
              </w:rPr>
              <w:t>合同履行过程中物价波动引起的价格调整</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384C116">
            <w:pPr>
              <w:spacing w:line="360" w:lineRule="auto"/>
              <w:rPr>
                <w:rFonts w:ascii="宋体" w:hAnsi="宋体"/>
                <w:sz w:val="24"/>
              </w:rPr>
            </w:pPr>
            <w:r>
              <w:rPr>
                <w:rFonts w:hint="eastAsia" w:ascii="宋体" w:hAnsi="宋体"/>
                <w:color w:val="0000FF"/>
                <w:sz w:val="24"/>
                <w:highlight w:val="white"/>
                <w:lang w:eastAsia="zh-CN"/>
              </w:rPr>
              <w:t>☑</w:t>
            </w:r>
            <w:r>
              <w:rPr>
                <w:rFonts w:hint="eastAsia" w:ascii="宋体" w:hAnsi="宋体"/>
                <w:sz w:val="24"/>
                <w:highlight w:val="white"/>
              </w:rPr>
              <w:t>可以调整。按第四章“合同条款及格式”处理。</w:t>
            </w:r>
          </w:p>
          <w:p w14:paraId="24EA6B64">
            <w:pPr>
              <w:spacing w:line="360" w:lineRule="auto"/>
              <w:rPr>
                <w:rFonts w:hint="eastAsia" w:ascii="宋体" w:hAnsi="宋体" w:cs="宋体"/>
                <w:b/>
                <w:sz w:val="24"/>
              </w:rPr>
            </w:pPr>
            <w:r>
              <w:rPr>
                <w:rFonts w:hint="eastAsia" w:ascii="宋体" w:hAnsi="宋体"/>
                <w:color w:val="0000FF"/>
                <w:sz w:val="24"/>
                <w:highlight w:val="white"/>
                <w:lang w:eastAsia="zh-CN"/>
              </w:rPr>
              <w:t>□</w:t>
            </w:r>
            <w:r>
              <w:rPr>
                <w:rFonts w:hint="eastAsia" w:ascii="宋体" w:hAnsi="宋体"/>
                <w:sz w:val="24"/>
                <w:highlight w:val="white"/>
              </w:rPr>
              <w:t>不可以调整。</w:t>
            </w:r>
          </w:p>
        </w:tc>
      </w:tr>
      <w:tr w14:paraId="4ED681A4">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36BC34F7">
            <w:pPr>
              <w:spacing w:line="360" w:lineRule="auto"/>
              <w:jc w:val="center"/>
              <w:rPr>
                <w:rFonts w:hint="eastAsia" w:ascii="宋体" w:hAnsi="宋体" w:cs="宋体"/>
                <w:b/>
                <w:sz w:val="24"/>
              </w:rPr>
            </w:pPr>
            <w:r>
              <w:rPr>
                <w:rFonts w:hint="eastAsia" w:ascii="宋体" w:hAnsi="宋体"/>
                <w:sz w:val="24"/>
                <w:highlight w:val="white"/>
              </w:rPr>
              <w:t>9.8</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1D6B5697">
            <w:pPr>
              <w:spacing w:line="360" w:lineRule="auto"/>
              <w:jc w:val="center"/>
              <w:rPr>
                <w:rFonts w:hint="eastAsia" w:ascii="宋体" w:hAnsi="宋体" w:cs="宋体"/>
                <w:b/>
                <w:sz w:val="24"/>
              </w:rPr>
            </w:pPr>
            <w:r>
              <w:rPr>
                <w:rFonts w:hint="eastAsia" w:ascii="宋体" w:hAnsi="宋体"/>
                <w:sz w:val="24"/>
                <w:highlight w:val="white"/>
              </w:rPr>
              <w:t>压证施工制度</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77F4ABC4">
            <w:pPr>
              <w:spacing w:line="360" w:lineRule="auto"/>
              <w:rPr>
                <w:rFonts w:hint="eastAsia" w:ascii="宋体" w:hAnsi="宋体" w:cs="宋体"/>
                <w:b/>
                <w:sz w:val="24"/>
              </w:rPr>
            </w:pPr>
            <w:r>
              <w:rPr>
                <w:rFonts w:hint="eastAsia" w:ascii="宋体" w:hAnsi="宋体"/>
                <w:sz w:val="24"/>
                <w:highlight w:val="white"/>
              </w:rPr>
              <w:t>实行施工负责人压证施工制度。投标文件承诺的施工负责人的执业资格证书原件，须在签订合同前由中标人提供给项目业主，合同标的的主体工程完工后方予退还。</w:t>
            </w:r>
          </w:p>
        </w:tc>
      </w:tr>
      <w:tr w14:paraId="1F63024D">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562272A">
            <w:pPr>
              <w:spacing w:line="360" w:lineRule="auto"/>
              <w:jc w:val="center"/>
              <w:rPr>
                <w:rFonts w:hint="eastAsia" w:ascii="宋体" w:hAnsi="宋体" w:cs="宋体"/>
                <w:b/>
                <w:sz w:val="24"/>
              </w:rPr>
            </w:pPr>
            <w:r>
              <w:rPr>
                <w:rFonts w:hint="eastAsia" w:ascii="宋体" w:hAnsi="宋体"/>
                <w:sz w:val="24"/>
                <w:highlight w:val="white"/>
              </w:rPr>
              <w:t>9.9</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24AB0999">
            <w:pPr>
              <w:spacing w:line="360" w:lineRule="auto"/>
              <w:jc w:val="center"/>
              <w:rPr>
                <w:rFonts w:hint="eastAsia" w:ascii="宋体" w:hAnsi="宋体" w:cs="宋体"/>
                <w:b/>
                <w:sz w:val="24"/>
              </w:rPr>
            </w:pPr>
            <w:r>
              <w:rPr>
                <w:rFonts w:hint="eastAsia" w:ascii="宋体" w:hAnsi="宋体"/>
                <w:sz w:val="24"/>
                <w:highlight w:val="white"/>
              </w:rPr>
              <w:t>严禁转包和违法分包</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5216E4D3">
            <w:pPr>
              <w:spacing w:line="360" w:lineRule="auto"/>
              <w:rPr>
                <w:rFonts w:hint="eastAsia" w:ascii="宋体" w:hAnsi="宋体" w:cs="宋体"/>
                <w:b/>
                <w:sz w:val="24"/>
              </w:rPr>
            </w:pPr>
            <w:r>
              <w:rPr>
                <w:rFonts w:hint="eastAsia" w:ascii="宋体" w:hAnsi="宋体"/>
                <w:sz w:val="24"/>
                <w:highlight w:val="white"/>
              </w:rPr>
              <w:t>中标人在合同履行中，不得存在《建筑工程施工发包与承包违法行为认定查处管理办法》（建市规〔2019〕1号）规定的转包和违法分包的情形。</w:t>
            </w:r>
          </w:p>
        </w:tc>
      </w:tr>
      <w:tr w14:paraId="67CAF27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558B8239">
            <w:pPr>
              <w:spacing w:line="360" w:lineRule="auto"/>
              <w:jc w:val="center"/>
              <w:rPr>
                <w:rFonts w:hint="eastAsia" w:ascii="宋体" w:hAnsi="宋体" w:cs="宋体"/>
                <w:b/>
                <w:sz w:val="24"/>
              </w:rPr>
            </w:pPr>
            <w:r>
              <w:rPr>
                <w:rFonts w:hint="eastAsia" w:ascii="宋体" w:hAnsi="宋体"/>
                <w:sz w:val="24"/>
                <w:highlight w:val="white"/>
              </w:rPr>
              <w:t>9.10</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5410056">
            <w:pPr>
              <w:spacing w:line="360" w:lineRule="auto"/>
              <w:jc w:val="center"/>
              <w:rPr>
                <w:rFonts w:hint="eastAsia" w:ascii="宋体" w:hAnsi="宋体" w:cs="宋体"/>
                <w:b/>
                <w:sz w:val="24"/>
              </w:rPr>
            </w:pPr>
            <w:r>
              <w:rPr>
                <w:rFonts w:hint="eastAsia" w:ascii="宋体" w:hAnsi="宋体"/>
                <w:sz w:val="24"/>
                <w:highlight w:val="white"/>
              </w:rPr>
              <w:t>招标文件内容冲突的解决及优先适用次序</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0051FEE">
            <w:pPr>
              <w:spacing w:line="360" w:lineRule="auto"/>
              <w:rPr>
                <w:rFonts w:ascii="宋体" w:hAnsi="宋体"/>
                <w:sz w:val="24"/>
              </w:rPr>
            </w:pPr>
            <w:r>
              <w:rPr>
                <w:rFonts w:hint="eastAsia" w:ascii="宋体" w:hAnsi="宋体" w:cs="宋体"/>
                <w:sz w:val="24"/>
                <w:highlight w:val="white"/>
              </w:rPr>
              <w:t>招标文件中招标人编制的内容前后有矛盾或不一致，有时间先后顺序的，以时间在后的修改、澄清或补正文件为准；没有时间先后顺序的，以公平的原则进行处理。投标人须知前附表和招标文件中“注”的内容与正文不一致时，以投标人须知前附表和招标文件中“注”的内容为准。</w:t>
            </w:r>
          </w:p>
          <w:p w14:paraId="362B9580">
            <w:pPr>
              <w:spacing w:line="360" w:lineRule="auto"/>
              <w:rPr>
                <w:rFonts w:hint="eastAsia" w:ascii="宋体" w:hAnsi="宋体" w:cs="宋体"/>
                <w:b/>
                <w:sz w:val="24"/>
              </w:rPr>
            </w:pPr>
            <w:r>
              <w:rPr>
                <w:rFonts w:hint="eastAsia" w:ascii="宋体" w:hAnsi="宋体" w:cs="宋体"/>
                <w:sz w:val="24"/>
                <w:highlight w:val="white"/>
              </w:rPr>
              <w:t>对招标文件的内容理解有争议的，由招标人按照招标文件所使用的词句、招标文件的有关条款、招标的目的、习惯以及诚实信用原则，确定该条款的真实意思，有两种以上解释的，作出不利于招标人一方的解释。</w:t>
            </w:r>
          </w:p>
        </w:tc>
      </w:tr>
      <w:tr w14:paraId="734C36C3">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32593A1">
            <w:pPr>
              <w:spacing w:line="360" w:lineRule="auto"/>
              <w:jc w:val="center"/>
              <w:rPr>
                <w:rFonts w:hint="eastAsia" w:ascii="宋体" w:hAnsi="宋体" w:cs="宋体"/>
                <w:b/>
                <w:sz w:val="24"/>
              </w:rPr>
            </w:pPr>
            <w:r>
              <w:rPr>
                <w:rFonts w:hint="eastAsia" w:ascii="宋体" w:hAnsi="宋体"/>
                <w:sz w:val="24"/>
                <w:highlight w:val="white"/>
              </w:rPr>
              <w:t>9.11</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4679E26">
            <w:pPr>
              <w:spacing w:line="360" w:lineRule="auto"/>
              <w:jc w:val="center"/>
              <w:rPr>
                <w:rFonts w:hint="eastAsia" w:ascii="宋体" w:hAnsi="宋体" w:cs="宋体"/>
                <w:b/>
                <w:sz w:val="24"/>
              </w:rPr>
            </w:pPr>
            <w:r>
              <w:rPr>
                <w:rFonts w:hint="eastAsia" w:ascii="宋体" w:hAnsi="宋体"/>
                <w:sz w:val="24"/>
                <w:highlight w:val="white"/>
              </w:rPr>
              <w:t>投标文件的真实性要求</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BF93222">
            <w:pPr>
              <w:spacing w:line="360" w:lineRule="auto"/>
              <w:rPr>
                <w:rFonts w:ascii="宋体" w:hAnsi="宋体"/>
                <w:sz w:val="24"/>
              </w:rPr>
            </w:pPr>
            <w:r>
              <w:rPr>
                <w:rFonts w:hint="eastAsia" w:ascii="宋体" w:hAnsi="宋体"/>
                <w:sz w:val="24"/>
                <w:highlight w:val="white"/>
              </w:rPr>
              <w:t>投标人所递交的投标文件（包括有关资料、澄清）应不存在弄虚作假或隐瞒。</w:t>
            </w:r>
          </w:p>
          <w:p w14:paraId="23684714">
            <w:pPr>
              <w:spacing w:line="360" w:lineRule="auto"/>
              <w:rPr>
                <w:rFonts w:ascii="宋体" w:hAnsi="宋体"/>
                <w:sz w:val="24"/>
              </w:rPr>
            </w:pPr>
            <w:r>
              <w:rPr>
                <w:rFonts w:hint="eastAsia" w:ascii="宋体" w:hAnsi="宋体"/>
                <w:sz w:val="24"/>
                <w:highlight w:val="white"/>
              </w:rPr>
              <w:t>投标人声明不存在限制投标情形但被发现存在限制投标情形的，属于隐瞒情形（单位负责人为同一人或者存在控股、管理关系的不同单位，在同一标段投标或者未划分标段的同一招标项目投标，若投标人在投标文件中已填报上述信息的，不属于隐瞒情形）。</w:t>
            </w:r>
          </w:p>
          <w:p w14:paraId="3EDD2E31">
            <w:pPr>
              <w:spacing w:line="360" w:lineRule="auto"/>
              <w:rPr>
                <w:rFonts w:hint="eastAsia" w:ascii="宋体" w:hAnsi="宋体" w:cs="宋体"/>
                <w:b/>
                <w:sz w:val="24"/>
              </w:rPr>
            </w:pPr>
            <w:r>
              <w:rPr>
                <w:rFonts w:hint="eastAsia" w:ascii="宋体" w:hAnsi="宋体"/>
                <w:sz w:val="24"/>
                <w:highlight w:val="white"/>
              </w:rPr>
              <w:t>如投标文件存在弄虚作假或隐瞒，在评标阶段发现的，评标委员会应将该投标文件作否决投标处理；中标候选人确定后发现的，招标人依照《中华人民共和国招标投标法实施条例》第五十五条的规定处理。</w:t>
            </w:r>
          </w:p>
        </w:tc>
      </w:tr>
      <w:tr w14:paraId="2E110370">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5A744B3">
            <w:pPr>
              <w:spacing w:line="360" w:lineRule="auto"/>
              <w:jc w:val="center"/>
              <w:rPr>
                <w:rFonts w:hint="eastAsia" w:ascii="宋体" w:hAnsi="宋体" w:cs="宋体"/>
                <w:b/>
                <w:sz w:val="24"/>
              </w:rPr>
            </w:pPr>
            <w:r>
              <w:rPr>
                <w:rFonts w:hint="eastAsia" w:ascii="宋体" w:hAnsi="宋体"/>
                <w:sz w:val="24"/>
                <w:highlight w:val="white"/>
              </w:rPr>
              <w:t>9.12</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53A0B44">
            <w:pPr>
              <w:spacing w:line="360" w:lineRule="auto"/>
              <w:jc w:val="center"/>
              <w:rPr>
                <w:rFonts w:hint="eastAsia" w:ascii="宋体" w:hAnsi="宋体" w:cs="宋体"/>
                <w:b/>
                <w:sz w:val="24"/>
              </w:rPr>
            </w:pPr>
            <w:r>
              <w:rPr>
                <w:rFonts w:hint="eastAsia" w:ascii="宋体" w:hAnsi="宋体"/>
                <w:sz w:val="24"/>
                <w:highlight w:val="white"/>
              </w:rPr>
              <w:t>知识产权</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20D63825">
            <w:pPr>
              <w:spacing w:line="360" w:lineRule="auto"/>
              <w:rPr>
                <w:rFonts w:hint="eastAsia" w:ascii="宋体" w:hAnsi="宋体" w:cs="宋体"/>
                <w:b/>
                <w:sz w:val="24"/>
              </w:rPr>
            </w:pPr>
            <w:r>
              <w:rPr>
                <w:rFonts w:hint="eastAsia" w:ascii="宋体" w:hAnsi="宋体" w:cs="宋体"/>
                <w:sz w:val="24"/>
                <w:highlight w:val="white"/>
              </w:rPr>
              <w:t>构成本招标文件的各组成部分，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64247F76">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5E8E9D1">
            <w:pPr>
              <w:spacing w:line="360" w:lineRule="auto"/>
              <w:jc w:val="center"/>
              <w:rPr>
                <w:rFonts w:hint="eastAsia" w:ascii="宋体" w:hAnsi="宋体" w:cs="宋体"/>
                <w:b/>
                <w:sz w:val="24"/>
              </w:rPr>
            </w:pPr>
            <w:r>
              <w:rPr>
                <w:rFonts w:hint="eastAsia" w:ascii="宋体" w:hAnsi="宋体"/>
                <w:sz w:val="24"/>
                <w:highlight w:val="white"/>
              </w:rPr>
              <w:t>9.</w:t>
            </w:r>
            <w:r>
              <w:rPr>
                <w:rFonts w:ascii="宋体" w:hAnsi="宋体"/>
                <w:sz w:val="24"/>
                <w:highlight w:val="white"/>
              </w:rPr>
              <w:t>1</w:t>
            </w:r>
            <w:r>
              <w:rPr>
                <w:rFonts w:hint="eastAsia" w:ascii="宋体" w:hAnsi="宋体"/>
                <w:sz w:val="24"/>
                <w:highlight w:val="white"/>
              </w:rPr>
              <w:t>3</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4E8789EB">
            <w:pPr>
              <w:spacing w:line="360" w:lineRule="auto"/>
              <w:jc w:val="center"/>
              <w:rPr>
                <w:rFonts w:hint="eastAsia" w:ascii="宋体" w:hAnsi="宋体" w:cs="宋体"/>
                <w:b/>
                <w:sz w:val="24"/>
              </w:rPr>
            </w:pPr>
            <w:r>
              <w:rPr>
                <w:rFonts w:hint="eastAsia" w:ascii="宋体" w:hAnsi="宋体"/>
                <w:sz w:val="24"/>
                <w:highlight w:val="white"/>
              </w:rPr>
              <w:t>计算机辅助评标</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69A33A43">
            <w:pPr>
              <w:spacing w:line="360" w:lineRule="auto"/>
              <w:rPr>
                <w:rFonts w:hint="eastAsia" w:ascii="宋体" w:hAnsi="宋体" w:cs="宋体"/>
                <w:b/>
                <w:sz w:val="24"/>
              </w:rPr>
            </w:pPr>
            <w:r>
              <w:rPr>
                <w:rFonts w:hint="eastAsia" w:ascii="宋体" w:hAnsi="宋体"/>
                <w:sz w:val="24"/>
                <w:highlight w:val="white"/>
              </w:rPr>
              <w:t>本次招标采用计算机辅助评标系统进行评标，投标人应保证其所递交的</w:t>
            </w:r>
            <w:bookmarkStart w:id="109" w:name="EB688d5f04da28478da5999cef3ab78a08"/>
            <w:r>
              <w:rPr>
                <w:rFonts w:hint="eastAsia" w:ascii="宋体" w:hAnsi="宋体"/>
                <w:color w:val="0000FF"/>
                <w:sz w:val="24"/>
                <w:highlight w:val="white"/>
              </w:rPr>
              <w:t>标准</w:t>
            </w:r>
            <w:bookmarkEnd w:id="109"/>
            <w:r>
              <w:rPr>
                <w:rFonts w:hint="eastAsia" w:ascii="宋体" w:hAnsi="宋体"/>
                <w:sz w:val="24"/>
                <w:highlight w:val="white"/>
              </w:rPr>
              <w:t>格式数据电文投标文件能够为计算机辅助评标系统正确读取。</w:t>
            </w:r>
          </w:p>
        </w:tc>
      </w:tr>
      <w:tr w14:paraId="2C9731A6">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2DB5920D">
            <w:pPr>
              <w:spacing w:line="360" w:lineRule="auto"/>
              <w:jc w:val="center"/>
              <w:rPr>
                <w:rFonts w:hint="eastAsia" w:ascii="宋体" w:hAnsi="宋体"/>
                <w:sz w:val="24"/>
              </w:rPr>
            </w:pPr>
            <w:r>
              <w:rPr>
                <w:rFonts w:hint="eastAsia" w:ascii="宋体" w:hAnsi="宋体"/>
                <w:sz w:val="24"/>
                <w:highlight w:val="white"/>
              </w:rPr>
              <w:t>9.14</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0511F46E">
            <w:pPr>
              <w:spacing w:line="360" w:lineRule="auto"/>
              <w:jc w:val="center"/>
              <w:rPr>
                <w:rFonts w:hint="eastAsia" w:ascii="宋体" w:hAnsi="宋体"/>
                <w:sz w:val="24"/>
              </w:rPr>
            </w:pPr>
            <w:r>
              <w:rPr>
                <w:rFonts w:hint="eastAsia" w:ascii="宋体" w:hAnsi="宋体"/>
                <w:sz w:val="24"/>
                <w:highlight w:val="white"/>
              </w:rPr>
              <w:t>视为“串通投标”的情形</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3000086C">
            <w:pPr>
              <w:spacing w:line="360" w:lineRule="auto"/>
              <w:rPr>
                <w:rFonts w:hint="eastAsia" w:ascii="宋体" w:hAnsi="宋体"/>
                <w:sz w:val="24"/>
              </w:rPr>
            </w:pPr>
            <w:r>
              <w:rPr>
                <w:rFonts w:hint="eastAsia" w:ascii="宋体" w:hAnsi="宋体"/>
                <w:sz w:val="24"/>
                <w:highlight w:val="white"/>
              </w:rPr>
              <w:t>以下情形视为第三章“评标办法”第3.1.2（2）项的“串通投标”情形，评标委员会应按照评标办法“注（7）”的规定进行认定处理，可以视情况要求投标人予以澄清、说明：</w:t>
            </w:r>
          </w:p>
          <w:p w14:paraId="1DBCFAAF">
            <w:pPr>
              <w:spacing w:line="360" w:lineRule="auto"/>
              <w:rPr>
                <w:rFonts w:hint="eastAsia" w:ascii="宋体" w:hAnsi="宋体"/>
                <w:sz w:val="24"/>
              </w:rPr>
            </w:pPr>
            <w:r>
              <w:rPr>
                <w:rFonts w:hint="eastAsia" w:ascii="宋体" w:hAnsi="宋体"/>
                <w:sz w:val="24"/>
                <w:highlight w:val="white"/>
              </w:rPr>
              <w:t xml:space="preserve">（1）不同投标人的投标文件由同一单位或者个人编制〔包括但不限于：a.同一标段的不同投标人电子投标文件编制时的机器码(计算机网卡MAC 地址、CPU 编号和硬盘信息)均相同的；b.不同投标人的投标价格清单的计价软件编号、机器码任一条相同的〕。 </w:t>
            </w:r>
          </w:p>
          <w:p w14:paraId="462F94A0">
            <w:pPr>
              <w:spacing w:line="360" w:lineRule="auto"/>
              <w:rPr>
                <w:rFonts w:hint="eastAsia" w:ascii="宋体" w:hAnsi="宋体"/>
                <w:sz w:val="24"/>
              </w:rPr>
            </w:pPr>
            <w:r>
              <w:rPr>
                <w:rFonts w:hint="eastAsia" w:ascii="宋体" w:hAnsi="宋体"/>
                <w:sz w:val="24"/>
                <w:highlight w:val="white"/>
              </w:rPr>
              <w:t xml:space="preserve">（2）不同投标人委托同一单位或者个人办理投标事宜〔包括但不限于：a.不同投标人从同一投标单位或同一自然人的互联网协议（IP）地址上传投标文件；b.购买电子保函或参加投标活动的人员为同一标段其他投标人的在职人员〕。 </w:t>
            </w:r>
          </w:p>
          <w:p w14:paraId="609E64D0">
            <w:pPr>
              <w:spacing w:line="360" w:lineRule="auto"/>
              <w:rPr>
                <w:rFonts w:hint="eastAsia" w:ascii="宋体" w:hAnsi="宋体"/>
                <w:sz w:val="24"/>
              </w:rPr>
            </w:pPr>
            <w:r>
              <w:rPr>
                <w:rFonts w:hint="eastAsia" w:ascii="宋体" w:hAnsi="宋体"/>
                <w:sz w:val="24"/>
                <w:highlight w:val="white"/>
              </w:rPr>
              <w:t xml:space="preserve">（3）不同投标人的投标文件载明的项目管理成员为同一人。 </w:t>
            </w:r>
          </w:p>
          <w:p w14:paraId="26532032">
            <w:pPr>
              <w:spacing w:line="360" w:lineRule="auto"/>
              <w:rPr>
                <w:rFonts w:hint="eastAsia" w:ascii="宋体" w:hAnsi="宋体"/>
                <w:sz w:val="24"/>
              </w:rPr>
            </w:pPr>
            <w:r>
              <w:rPr>
                <w:rFonts w:hint="eastAsia" w:ascii="宋体" w:hAnsi="宋体"/>
                <w:sz w:val="24"/>
                <w:highlight w:val="white"/>
              </w:rPr>
              <w:t xml:space="preserve">（4）不同投标人的投标文件异常一致或者投标报价呈规律性差异。 </w:t>
            </w:r>
          </w:p>
          <w:p w14:paraId="3310B432">
            <w:pPr>
              <w:spacing w:line="360" w:lineRule="auto"/>
              <w:rPr>
                <w:rFonts w:hint="eastAsia" w:ascii="宋体" w:hAnsi="宋体"/>
                <w:sz w:val="24"/>
              </w:rPr>
            </w:pPr>
            <w:r>
              <w:rPr>
                <w:rFonts w:hint="eastAsia" w:ascii="宋体" w:hAnsi="宋体"/>
                <w:sz w:val="24"/>
                <w:highlight w:val="white"/>
              </w:rPr>
              <w:t xml:space="preserve">（5）不同投标人的投标文件相互混装。 </w:t>
            </w:r>
          </w:p>
          <w:p w14:paraId="0B4ABDE0">
            <w:pPr>
              <w:spacing w:line="360" w:lineRule="auto"/>
              <w:rPr>
                <w:rFonts w:hint="eastAsia" w:ascii="宋体" w:hAnsi="宋体"/>
                <w:sz w:val="24"/>
              </w:rPr>
            </w:pPr>
            <w:r>
              <w:rPr>
                <w:rFonts w:hint="eastAsia" w:ascii="宋体" w:hAnsi="宋体"/>
                <w:sz w:val="24"/>
                <w:highlight w:val="white"/>
              </w:rPr>
              <w:t>（6）不同投标人的投标保证金从同一单位或者个人的账户转出（包括但不限于：不同投标人通过同一单位或者个人账户购买电子保函）。</w:t>
            </w:r>
          </w:p>
          <w:p w14:paraId="0D9BDC04">
            <w:pPr>
              <w:spacing w:line="360" w:lineRule="auto"/>
              <w:rPr>
                <w:rFonts w:hint="eastAsia" w:ascii="宋体" w:hAnsi="宋体"/>
                <w:sz w:val="24"/>
              </w:rPr>
            </w:pPr>
            <w:r>
              <w:rPr>
                <w:rFonts w:hint="eastAsia" w:ascii="宋体" w:hAnsi="宋体"/>
                <w:sz w:val="24"/>
                <w:highlight w:val="white"/>
              </w:rPr>
              <w:t>评标委员会发现的以上情形，招标人应在评标结束后及时向有关行政监督部门报告。</w:t>
            </w:r>
          </w:p>
        </w:tc>
      </w:tr>
      <w:tr w14:paraId="43666981">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1F86616A">
            <w:pPr>
              <w:spacing w:line="360" w:lineRule="auto"/>
              <w:jc w:val="center"/>
              <w:rPr>
                <w:rFonts w:ascii="宋体" w:hAnsi="宋体"/>
                <w:sz w:val="24"/>
              </w:rPr>
            </w:pPr>
            <w:r>
              <w:rPr>
                <w:rFonts w:hint="eastAsia" w:ascii="宋体" w:hAnsi="宋体"/>
                <w:sz w:val="24"/>
                <w:highlight w:val="white"/>
              </w:rPr>
              <w:t>9.15</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736F61C3">
            <w:pPr>
              <w:spacing w:line="360" w:lineRule="auto"/>
              <w:jc w:val="center"/>
              <w:rPr>
                <w:rFonts w:hint="eastAsia" w:ascii="宋体" w:hAnsi="宋体"/>
                <w:sz w:val="24"/>
                <w:szCs w:val="24"/>
              </w:rPr>
            </w:pPr>
            <w:r>
              <w:rPr>
                <w:rFonts w:hint="eastAsia" w:ascii="宋体" w:hAnsi="宋体" w:cs="宋体"/>
                <w:kern w:val="0"/>
                <w:sz w:val="24"/>
                <w:szCs w:val="24"/>
                <w:highlight w:val="white"/>
              </w:rPr>
              <w:t>异议和投诉方式</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178D9EE1">
            <w:pPr>
              <w:topLinePunct/>
              <w:adjustRightInd w:val="0"/>
              <w:snapToGrid w:val="0"/>
              <w:spacing w:line="360" w:lineRule="auto"/>
              <w:ind w:firstLine="480" w:firstLineChars="200"/>
              <w:rPr>
                <w:rFonts w:ascii="宋体" w:hAnsi="宋体"/>
                <w:sz w:val="24"/>
                <w:szCs w:val="24"/>
              </w:rPr>
            </w:pPr>
            <w:r>
              <w:rPr>
                <w:rFonts w:hint="eastAsia" w:ascii="宋体" w:hAnsi="宋体"/>
                <w:sz w:val="24"/>
                <w:szCs w:val="24"/>
                <w:highlight w:val="white"/>
              </w:rPr>
              <w:t>行政监督部门：</w:t>
            </w:r>
            <w:r>
              <w:rPr>
                <w:rFonts w:hint="eastAsia" w:ascii="宋体" w:hAnsi="宋体"/>
                <w:color w:val="0000FF"/>
                <w:sz w:val="24"/>
                <w:szCs w:val="24"/>
                <w:highlight w:val="white"/>
              </w:rPr>
              <w:t>绵阳市涪城区工业和信息化局</w:t>
            </w:r>
          </w:p>
          <w:p w14:paraId="7367F8B8">
            <w:pPr>
              <w:topLinePunct/>
              <w:adjustRightInd w:val="0"/>
              <w:snapToGrid w:val="0"/>
              <w:spacing w:line="360" w:lineRule="auto"/>
              <w:ind w:firstLine="480" w:firstLineChars="200"/>
              <w:rPr>
                <w:rFonts w:ascii="宋体" w:hAnsi="宋体"/>
                <w:sz w:val="24"/>
                <w:szCs w:val="24"/>
              </w:rPr>
            </w:pPr>
            <w:r>
              <w:rPr>
                <w:rFonts w:hint="eastAsia" w:ascii="宋体" w:hAnsi="宋体"/>
                <w:sz w:val="24"/>
                <w:szCs w:val="24"/>
                <w:highlight w:val="white"/>
              </w:rPr>
              <w:t>联系方式：</w:t>
            </w:r>
            <w:r>
              <w:rPr>
                <w:rFonts w:hint="eastAsia" w:ascii="宋体" w:hAnsi="宋体"/>
                <w:color w:val="0000FF"/>
                <w:sz w:val="24"/>
                <w:szCs w:val="24"/>
                <w:highlight w:val="white"/>
              </w:rPr>
              <w:t>0816-2225754</w:t>
            </w:r>
          </w:p>
          <w:p w14:paraId="6E820907">
            <w:pPr>
              <w:topLinePunct/>
              <w:adjustRightInd w:val="0"/>
              <w:snapToGrid w:val="0"/>
              <w:spacing w:line="360" w:lineRule="auto"/>
              <w:rPr>
                <w:rFonts w:ascii="宋体" w:hAnsi="宋体"/>
                <w:sz w:val="15"/>
                <w:szCs w:val="15"/>
              </w:rPr>
            </w:pPr>
            <w:r>
              <w:rPr>
                <w:rFonts w:hint="eastAsia" w:ascii="宋体" w:hAnsi="宋体"/>
                <w:sz w:val="15"/>
                <w:szCs w:val="15"/>
                <w:highlight w:val="white"/>
              </w:rPr>
              <w:t>注：</w:t>
            </w:r>
          </w:p>
          <w:p w14:paraId="12FF63E0">
            <w:pPr>
              <w:topLinePunct/>
              <w:adjustRightInd w:val="0"/>
              <w:snapToGrid w:val="0"/>
              <w:spacing w:line="360" w:lineRule="auto"/>
              <w:rPr>
                <w:rFonts w:ascii="宋体" w:hAnsi="宋体"/>
                <w:sz w:val="15"/>
                <w:szCs w:val="15"/>
              </w:rPr>
            </w:pPr>
            <w:r>
              <w:rPr>
                <w:rFonts w:ascii="宋体" w:hAnsi="宋体"/>
                <w:sz w:val="15"/>
                <w:szCs w:val="15"/>
                <w:highlight w:val="white"/>
              </w:rPr>
              <w:t>1.根据《中华人民共和国招标投标法》</w:t>
            </w:r>
          </w:p>
          <w:p w14:paraId="62E97411">
            <w:pPr>
              <w:topLinePunct/>
              <w:adjustRightInd w:val="0"/>
              <w:snapToGrid w:val="0"/>
              <w:spacing w:line="360" w:lineRule="auto"/>
              <w:rPr>
                <w:rFonts w:ascii="宋体" w:hAnsi="宋体"/>
                <w:sz w:val="15"/>
                <w:szCs w:val="15"/>
              </w:rPr>
            </w:pPr>
            <w:r>
              <w:rPr>
                <w:rFonts w:hint="eastAsia" w:ascii="宋体" w:hAnsi="宋体"/>
                <w:sz w:val="15"/>
                <w:szCs w:val="15"/>
                <w:highlight w:val="white"/>
              </w:rPr>
              <w:t>第六十五条 投标人和其他利害关系人认为招标投标活动不符合本法有关规定的，有权向招标人提出异议或者依法向有关行政监督部门投诉。</w:t>
            </w:r>
          </w:p>
          <w:p w14:paraId="048F9E5C">
            <w:pPr>
              <w:topLinePunct/>
              <w:adjustRightInd w:val="0"/>
              <w:snapToGrid w:val="0"/>
              <w:spacing w:line="360" w:lineRule="auto"/>
              <w:rPr>
                <w:rFonts w:ascii="宋体" w:hAnsi="宋体"/>
                <w:sz w:val="15"/>
                <w:szCs w:val="15"/>
              </w:rPr>
            </w:pPr>
            <w:r>
              <w:rPr>
                <w:rFonts w:ascii="宋体" w:hAnsi="宋体"/>
                <w:sz w:val="15"/>
                <w:szCs w:val="15"/>
                <w:highlight w:val="white"/>
              </w:rPr>
              <w:t>2.根据《中华人民共和国招标投标法实施条例》</w:t>
            </w:r>
          </w:p>
          <w:p w14:paraId="00AC2D48">
            <w:pPr>
              <w:topLinePunct/>
              <w:adjustRightInd w:val="0"/>
              <w:snapToGrid w:val="0"/>
              <w:spacing w:line="360" w:lineRule="auto"/>
              <w:rPr>
                <w:rFonts w:ascii="宋体" w:hAnsi="宋体"/>
                <w:sz w:val="15"/>
                <w:szCs w:val="15"/>
              </w:rPr>
            </w:pPr>
            <w:r>
              <w:rPr>
                <w:rFonts w:hint="eastAsia" w:ascii="宋体" w:hAnsi="宋体"/>
                <w:sz w:val="15"/>
                <w:szCs w:val="15"/>
                <w:highlight w:val="white"/>
              </w:rPr>
              <w:t>第二十二条</w:t>
            </w:r>
            <w:r>
              <w:rPr>
                <w:rFonts w:ascii="宋体" w:hAnsi="宋体"/>
                <w:sz w:val="15"/>
                <w:szCs w:val="15"/>
                <w:highlight w:val="white"/>
              </w:rPr>
              <w:t xml:space="preserve"> </w:t>
            </w:r>
            <w:r>
              <w:rPr>
                <w:rFonts w:hint="eastAsia" w:ascii="宋体" w:hAnsi="宋体"/>
                <w:sz w:val="15"/>
                <w:szCs w:val="15"/>
                <w:highlight w:val="white"/>
              </w:rPr>
              <w:t>潜在投标人或者其他利害关系人对资格预审文件有异议的，应当在提交资格预审申请文件截止时间</w:t>
            </w:r>
            <w:r>
              <w:rPr>
                <w:rFonts w:ascii="宋体" w:hAnsi="宋体"/>
                <w:sz w:val="15"/>
                <w:szCs w:val="15"/>
                <w:highlight w:val="white"/>
              </w:rPr>
              <w:t>2日前提出；对招标文件有异议的，应当在投标截止时间10日前提出。招标人应当自收到异议之日起3日内作出答复；作出答复前，应当暂停招标投标活动。</w:t>
            </w:r>
          </w:p>
          <w:p w14:paraId="1C7E60B7">
            <w:pPr>
              <w:topLinePunct/>
              <w:adjustRightInd w:val="0"/>
              <w:snapToGrid w:val="0"/>
              <w:spacing w:line="360" w:lineRule="auto"/>
              <w:rPr>
                <w:rFonts w:ascii="宋体" w:hAnsi="宋体"/>
                <w:sz w:val="15"/>
                <w:szCs w:val="15"/>
              </w:rPr>
            </w:pPr>
            <w:r>
              <w:rPr>
                <w:rFonts w:hint="eastAsia" w:ascii="宋体" w:hAnsi="宋体"/>
                <w:sz w:val="15"/>
                <w:szCs w:val="15"/>
                <w:highlight w:val="white"/>
              </w:rPr>
              <w:t>第四十四条</w:t>
            </w:r>
            <w:r>
              <w:rPr>
                <w:rFonts w:ascii="宋体" w:hAnsi="宋体"/>
                <w:sz w:val="15"/>
                <w:szCs w:val="15"/>
                <w:highlight w:val="white"/>
              </w:rPr>
              <w:t xml:space="preserve"> </w:t>
            </w:r>
            <w:r>
              <w:rPr>
                <w:rFonts w:hint="eastAsia" w:ascii="宋体" w:hAnsi="宋体"/>
                <w:sz w:val="15"/>
                <w:szCs w:val="15"/>
                <w:highlight w:val="white"/>
              </w:rPr>
              <w:t>招标人应当按照招标文件规定的时间、地点开标。投标人对开标有异议的，应当在开标现场提出，招标人应当当场作出答复，并制作记录。</w:t>
            </w:r>
          </w:p>
          <w:p w14:paraId="1496E03A">
            <w:pPr>
              <w:topLinePunct/>
              <w:adjustRightInd w:val="0"/>
              <w:snapToGrid w:val="0"/>
              <w:spacing w:line="360" w:lineRule="auto"/>
              <w:rPr>
                <w:rFonts w:ascii="宋体" w:hAnsi="宋体"/>
                <w:sz w:val="15"/>
                <w:szCs w:val="15"/>
              </w:rPr>
            </w:pPr>
            <w:r>
              <w:rPr>
                <w:rFonts w:hint="eastAsia" w:ascii="宋体" w:hAnsi="宋体"/>
                <w:sz w:val="15"/>
                <w:szCs w:val="15"/>
                <w:highlight w:val="white"/>
              </w:rPr>
              <w:t>第五十四条</w:t>
            </w:r>
            <w:r>
              <w:rPr>
                <w:rFonts w:ascii="宋体" w:hAnsi="宋体"/>
                <w:sz w:val="15"/>
                <w:szCs w:val="15"/>
                <w:highlight w:val="white"/>
              </w:rPr>
              <w:t xml:space="preserve"> </w:t>
            </w:r>
            <w:r>
              <w:rPr>
                <w:rFonts w:hint="eastAsia" w:ascii="宋体" w:hAnsi="宋体"/>
                <w:sz w:val="15"/>
                <w:szCs w:val="15"/>
                <w:highlight w:val="white"/>
              </w:rPr>
              <w:t>依法必须进行招标的项目，招标人应当自收到评标报告之日起</w:t>
            </w:r>
            <w:r>
              <w:rPr>
                <w:rFonts w:ascii="宋体" w:hAnsi="宋体"/>
                <w:sz w:val="15"/>
                <w:szCs w:val="15"/>
                <w:highlight w:val="white"/>
              </w:rPr>
              <w:t>3日内公示中标候选人，公示期不得少于3日。</w:t>
            </w:r>
          </w:p>
          <w:p w14:paraId="73AA36BA">
            <w:pPr>
              <w:topLinePunct/>
              <w:adjustRightInd w:val="0"/>
              <w:snapToGrid w:val="0"/>
              <w:spacing w:line="360" w:lineRule="auto"/>
              <w:rPr>
                <w:rFonts w:ascii="宋体" w:hAnsi="宋体"/>
                <w:sz w:val="15"/>
                <w:szCs w:val="15"/>
              </w:rPr>
            </w:pPr>
            <w:r>
              <w:rPr>
                <w:rFonts w:hint="eastAsia" w:ascii="宋体" w:hAnsi="宋体"/>
                <w:sz w:val="15"/>
                <w:szCs w:val="15"/>
                <w:highlight w:val="white"/>
              </w:rPr>
              <w:t>投标人或者其他利害关系人对依法必须进行招标的项目的评标结果有异议的，应当在中标候选人公示期间提出。招标人应当自收到异议之日起</w:t>
            </w:r>
            <w:r>
              <w:rPr>
                <w:rFonts w:ascii="宋体" w:hAnsi="宋体"/>
                <w:sz w:val="15"/>
                <w:szCs w:val="15"/>
                <w:highlight w:val="white"/>
              </w:rPr>
              <w:t>3日内作出答复；作出答复前，应当暂停招标投标活动。</w:t>
            </w:r>
          </w:p>
          <w:p w14:paraId="6071807D">
            <w:pPr>
              <w:topLinePunct/>
              <w:adjustRightInd w:val="0"/>
              <w:snapToGrid w:val="0"/>
              <w:spacing w:line="360" w:lineRule="auto"/>
              <w:rPr>
                <w:rFonts w:ascii="宋体" w:hAnsi="宋体"/>
                <w:sz w:val="15"/>
                <w:szCs w:val="15"/>
              </w:rPr>
            </w:pPr>
            <w:r>
              <w:rPr>
                <w:rFonts w:hint="eastAsia" w:ascii="宋体" w:hAnsi="宋体"/>
                <w:sz w:val="15"/>
                <w:szCs w:val="15"/>
                <w:highlight w:val="white"/>
              </w:rPr>
              <w:t>第六十一条</w:t>
            </w:r>
            <w:r>
              <w:rPr>
                <w:rFonts w:ascii="宋体" w:hAnsi="宋体"/>
                <w:sz w:val="15"/>
                <w:szCs w:val="15"/>
                <w:highlight w:val="white"/>
              </w:rPr>
              <w:t xml:space="preserve"> </w:t>
            </w:r>
            <w:r>
              <w:rPr>
                <w:rFonts w:hint="eastAsia" w:ascii="宋体" w:hAnsi="宋体"/>
                <w:sz w:val="15"/>
                <w:szCs w:val="15"/>
                <w:highlight w:val="white"/>
              </w:rPr>
              <w:t>投诉人就同一事项向两个以上有权受理的行政监督部门投诉的，由最先收到投诉的行政监督部门负责处理。</w:t>
            </w:r>
          </w:p>
          <w:p w14:paraId="23399A2F">
            <w:pPr>
              <w:topLinePunct/>
              <w:adjustRightInd w:val="0"/>
              <w:snapToGrid w:val="0"/>
              <w:spacing w:line="360" w:lineRule="auto"/>
              <w:rPr>
                <w:rFonts w:ascii="宋体" w:hAnsi="宋体"/>
                <w:sz w:val="15"/>
                <w:szCs w:val="15"/>
              </w:rPr>
            </w:pPr>
            <w:r>
              <w:rPr>
                <w:rFonts w:hint="eastAsia" w:ascii="宋体" w:hAnsi="宋体"/>
                <w:sz w:val="15"/>
                <w:szCs w:val="15"/>
                <w:highlight w:val="white"/>
              </w:rPr>
              <w:t>行政监督部门应当自收到投诉之日起</w:t>
            </w:r>
            <w:r>
              <w:rPr>
                <w:rFonts w:ascii="宋体" w:hAnsi="宋体"/>
                <w:sz w:val="15"/>
                <w:szCs w:val="15"/>
                <w:highlight w:val="white"/>
              </w:rPr>
              <w:t>3个工作日内决定是否受理投诉，并自受理投诉</w:t>
            </w:r>
            <w:r>
              <w:rPr>
                <w:rFonts w:hint="eastAsia" w:ascii="宋体" w:hAnsi="宋体"/>
                <w:sz w:val="15"/>
                <w:szCs w:val="15"/>
                <w:highlight w:val="white"/>
              </w:rPr>
              <w:t>之日起</w:t>
            </w:r>
            <w:r>
              <w:rPr>
                <w:rFonts w:ascii="宋体" w:hAnsi="宋体"/>
                <w:sz w:val="15"/>
                <w:szCs w:val="15"/>
                <w:highlight w:val="white"/>
              </w:rPr>
              <w:t>30个工作日内作出书面处理决定；需要检验、检测、鉴定、专家评审的，所需时间不计算在内。</w:t>
            </w:r>
          </w:p>
          <w:p w14:paraId="329B6BDE">
            <w:pPr>
              <w:spacing w:line="360" w:lineRule="auto"/>
              <w:rPr>
                <w:rFonts w:hint="eastAsia" w:ascii="宋体" w:hAnsi="宋体"/>
                <w:sz w:val="24"/>
              </w:rPr>
            </w:pPr>
            <w:r>
              <w:rPr>
                <w:rFonts w:hint="eastAsia" w:ascii="宋体" w:hAnsi="宋体"/>
                <w:sz w:val="15"/>
                <w:szCs w:val="15"/>
                <w:highlight w:val="white"/>
              </w:rPr>
              <w:t>投诉人捏造事实、伪造材料或者以非法手段取得证明材料进行投诉的，行政监督部门应当予以驳回。</w:t>
            </w:r>
          </w:p>
        </w:tc>
      </w:tr>
      <w:tr w14:paraId="2077BD37">
        <w:tblPrEx>
          <w:tblCellMar>
            <w:top w:w="0" w:type="dxa"/>
            <w:left w:w="108" w:type="dxa"/>
            <w:bottom w:w="0" w:type="dxa"/>
            <w:right w:w="108" w:type="dxa"/>
          </w:tblCellMar>
        </w:tblPrEx>
        <w:trPr>
          <w:wBefore w:w="0" w:type="dxa"/>
          <w:wAfter w:w="0" w:type="dxa"/>
          <w:trHeight w:val="20"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7523401F">
            <w:pPr>
              <w:spacing w:line="440" w:lineRule="exact"/>
              <w:ind w:firstLine="3360" w:firstLineChars="1400"/>
              <w:rPr>
                <w:rFonts w:hint="eastAsia" w:ascii="宋体" w:hAnsi="宋体" w:cs="宋体"/>
                <w:sz w:val="24"/>
              </w:rPr>
            </w:pPr>
            <w:r>
              <w:rPr>
                <w:rFonts w:hint="eastAsia" w:ascii="宋体" w:hAnsi="宋体" w:cs="宋体"/>
                <w:sz w:val="24"/>
                <w:highlight w:val="white"/>
              </w:rPr>
              <w:t>投标人须知前附表增加条款表</w:t>
            </w:r>
          </w:p>
        </w:tc>
      </w:tr>
      <w:tr w14:paraId="14EEE79D">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0D08507D">
            <w:pPr>
              <w:spacing w:line="360" w:lineRule="auto"/>
              <w:jc w:val="center"/>
              <w:rPr>
                <w:rFonts w:hint="eastAsia" w:ascii="宋体" w:hAnsi="宋体" w:cs="宋体"/>
                <w:sz w:val="24"/>
              </w:rPr>
            </w:pPr>
            <w:r>
              <w:rPr>
                <w:rFonts w:hint="eastAsia" w:ascii="宋体" w:hAnsi="宋体" w:cs="宋体"/>
                <w:sz w:val="24"/>
                <w:highlight w:val="white"/>
              </w:rPr>
              <w:t>条款号</w:t>
            </w:r>
          </w:p>
        </w:tc>
        <w:tc>
          <w:tcPr>
            <w:tcW w:w="1143" w:type="pct"/>
            <w:tcBorders>
              <w:top w:val="single" w:color="auto" w:sz="4" w:space="0"/>
              <w:left w:val="single" w:color="auto" w:sz="4" w:space="0"/>
              <w:bottom w:val="single" w:color="auto" w:sz="4" w:space="0"/>
              <w:right w:val="single" w:color="auto" w:sz="4" w:space="0"/>
            </w:tcBorders>
            <w:noWrap w:val="0"/>
            <w:vAlign w:val="center"/>
          </w:tcPr>
          <w:p w14:paraId="67D0C3D5">
            <w:pPr>
              <w:spacing w:line="360" w:lineRule="auto"/>
              <w:jc w:val="center"/>
              <w:rPr>
                <w:rFonts w:hint="eastAsia" w:ascii="宋体" w:hAnsi="宋体" w:cs="宋体"/>
                <w:sz w:val="24"/>
              </w:rPr>
            </w:pPr>
            <w:r>
              <w:rPr>
                <w:rFonts w:hint="eastAsia" w:ascii="宋体" w:hAnsi="宋体" w:cs="宋体"/>
                <w:sz w:val="24"/>
                <w:highlight w:val="white"/>
              </w:rPr>
              <w:t>条款名称</w:t>
            </w:r>
          </w:p>
        </w:tc>
        <w:tc>
          <w:tcPr>
            <w:tcW w:w="3266" w:type="pct"/>
            <w:tcBorders>
              <w:top w:val="single" w:color="auto" w:sz="4" w:space="0"/>
              <w:left w:val="single" w:color="auto" w:sz="4" w:space="0"/>
              <w:bottom w:val="single" w:color="auto" w:sz="4" w:space="0"/>
              <w:right w:val="single" w:color="auto" w:sz="4" w:space="0"/>
            </w:tcBorders>
            <w:noWrap w:val="0"/>
            <w:vAlign w:val="center"/>
          </w:tcPr>
          <w:p w14:paraId="4113F0E2">
            <w:pPr>
              <w:spacing w:line="360" w:lineRule="auto"/>
              <w:jc w:val="center"/>
              <w:rPr>
                <w:rFonts w:hint="eastAsia" w:ascii="宋体" w:hAnsi="宋体" w:cs="宋体"/>
                <w:sz w:val="24"/>
              </w:rPr>
            </w:pPr>
            <w:r>
              <w:rPr>
                <w:rFonts w:hint="eastAsia" w:ascii="宋体" w:hAnsi="宋体" w:cs="宋体"/>
                <w:sz w:val="24"/>
                <w:highlight w:val="white"/>
              </w:rPr>
              <w:t>编列内容</w:t>
            </w:r>
          </w:p>
        </w:tc>
      </w:tr>
      <w:tr w14:paraId="561BA976">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7B91C439">
            <w:pPr>
              <w:spacing w:line="360" w:lineRule="auto"/>
              <w:jc w:val="center"/>
              <w:rPr>
                <w:rFonts w:hint="eastAsia" w:ascii="宋体" w:hAnsi="宋体" w:cs="宋体"/>
                <w:sz w:val="24"/>
                <w:highlight w:val="green"/>
              </w:rPr>
            </w:pPr>
            <w:bookmarkStart w:id="110" w:name="EB8e69c0bc29c4412185a44f0a08fa8d36"/>
            <w:r>
              <w:rPr>
                <w:rFonts w:hint="eastAsia" w:ascii="宋体" w:hAnsi="宋体" w:cs="宋体"/>
                <w:color w:val="0000FF"/>
                <w:sz w:val="24"/>
                <w:highlight w:val="white"/>
              </w:rPr>
              <w:t>10</w:t>
            </w:r>
            <w:bookmarkEnd w:id="110"/>
          </w:p>
        </w:tc>
        <w:tc>
          <w:tcPr>
            <w:tcW w:w="1143" w:type="pct"/>
            <w:tcBorders>
              <w:top w:val="single" w:color="auto" w:sz="4" w:space="0"/>
              <w:left w:val="single" w:color="auto" w:sz="4" w:space="0"/>
              <w:bottom w:val="single" w:color="auto" w:sz="4" w:space="0"/>
              <w:right w:val="single" w:color="auto" w:sz="4" w:space="0"/>
            </w:tcBorders>
            <w:noWrap w:val="0"/>
            <w:vAlign w:val="center"/>
          </w:tcPr>
          <w:p w14:paraId="316D5672">
            <w:pPr>
              <w:spacing w:line="360" w:lineRule="auto"/>
              <w:jc w:val="center"/>
              <w:rPr>
                <w:rFonts w:hint="eastAsia" w:ascii="宋体" w:hAnsi="宋体" w:cs="宋体"/>
                <w:sz w:val="24"/>
                <w:highlight w:val="green"/>
              </w:rPr>
            </w:pPr>
            <w:bookmarkStart w:id="111" w:name="EBbe4dbee3489c4231a9611d47d1b991f5"/>
            <w:r>
              <w:rPr>
                <w:rFonts w:hint="eastAsia" w:ascii="宋体" w:hAnsi="宋体" w:cs="宋体"/>
                <w:color w:val="0000FF"/>
                <w:sz w:val="24"/>
                <w:highlight w:val="white"/>
              </w:rPr>
              <w:t>其他</w:t>
            </w:r>
            <w:bookmarkEnd w:id="111"/>
          </w:p>
        </w:tc>
        <w:tc>
          <w:tcPr>
            <w:tcW w:w="3266" w:type="pct"/>
            <w:tcBorders>
              <w:top w:val="single" w:color="auto" w:sz="4" w:space="0"/>
              <w:left w:val="single" w:color="auto" w:sz="4" w:space="0"/>
              <w:bottom w:val="single" w:color="auto" w:sz="4" w:space="0"/>
              <w:right w:val="single" w:color="auto" w:sz="4" w:space="0"/>
            </w:tcBorders>
            <w:noWrap w:val="0"/>
            <w:vAlign w:val="center"/>
          </w:tcPr>
          <w:p w14:paraId="3827F38F">
            <w:pPr>
              <w:spacing w:line="360" w:lineRule="auto"/>
              <w:rPr>
                <w:rFonts w:hint="eastAsia" w:ascii="宋体" w:hAnsi="宋体" w:cs="宋体"/>
                <w:color w:val="0000FF"/>
                <w:sz w:val="24"/>
                <w:highlight w:val="white"/>
              </w:rPr>
            </w:pPr>
            <w:bookmarkStart w:id="112" w:name="EBd625ca5e7acd48ae8686085270b27cfd"/>
            <w:r>
              <w:rPr>
                <w:rFonts w:hint="eastAsia" w:ascii="宋体" w:hAnsi="宋体" w:cs="宋体"/>
                <w:color w:val="0000FF"/>
                <w:sz w:val="24"/>
                <w:highlight w:val="white"/>
                <w:lang w:val="en-US" w:eastAsia="zh-CN"/>
              </w:rPr>
              <w:t>1</w:t>
            </w:r>
            <w:r>
              <w:rPr>
                <w:rFonts w:hint="eastAsia" w:ascii="宋体" w:hAnsi="宋体" w:cs="宋体"/>
                <w:color w:val="0000FF"/>
                <w:sz w:val="24"/>
                <w:highlight w:val="white"/>
              </w:rPr>
              <w:t>、投标人须知前附表与其他地方表述不一致的以投标人须知前附表为准。通用合同条款与专用合同条款不一致时以专用合同条款为准，专用合同条款前后不一致时，以前面描述为准。</w:t>
            </w:r>
          </w:p>
          <w:p w14:paraId="5FA9A527">
            <w:pPr>
              <w:spacing w:line="360" w:lineRule="auto"/>
              <w:rPr>
                <w:rFonts w:hint="eastAsia" w:ascii="宋体" w:hAnsi="宋体" w:cs="宋体"/>
                <w:color w:val="0000FF"/>
                <w:sz w:val="24"/>
                <w:highlight w:val="white"/>
              </w:rPr>
            </w:pPr>
            <w:r>
              <w:rPr>
                <w:rFonts w:hint="eastAsia" w:ascii="宋体" w:hAnsi="宋体" w:cs="宋体"/>
                <w:color w:val="0000FF"/>
                <w:sz w:val="24"/>
                <w:highlight w:val="white"/>
                <w:lang w:val="en-US" w:eastAsia="zh-CN"/>
              </w:rPr>
              <w:t>2</w:t>
            </w:r>
            <w:r>
              <w:rPr>
                <w:rFonts w:hint="eastAsia" w:ascii="宋体" w:hAnsi="宋体" w:cs="宋体"/>
                <w:color w:val="0000FF"/>
                <w:sz w:val="24"/>
                <w:highlight w:val="white"/>
              </w:rPr>
              <w:t>、该项目最终按照最新现行《建设工程工程量清单计价规范》、《四川省建设工程工程量清单计价定额》及配套文件及经发包人审批后的施工图纸，由承包人编制施工图预算价，施工图预算须报发包人审核确认后作为进度款拨付和竣工结算的依据。</w:t>
            </w:r>
          </w:p>
          <w:p w14:paraId="312017EF">
            <w:pPr>
              <w:spacing w:line="360" w:lineRule="auto"/>
              <w:rPr>
                <w:rFonts w:hint="eastAsia" w:ascii="宋体" w:hAnsi="宋体" w:cs="宋体"/>
                <w:color w:val="0000FF"/>
                <w:sz w:val="24"/>
                <w:highlight w:val="white"/>
              </w:rPr>
            </w:pPr>
            <w:r>
              <w:rPr>
                <w:rFonts w:hint="eastAsia" w:ascii="宋体" w:hAnsi="宋体" w:cs="宋体"/>
                <w:color w:val="0000FF"/>
                <w:sz w:val="24"/>
                <w:highlight w:val="white"/>
                <w:lang w:val="en-US" w:eastAsia="zh-CN"/>
              </w:rPr>
              <w:t>3</w:t>
            </w:r>
            <w:r>
              <w:rPr>
                <w:rFonts w:hint="eastAsia" w:ascii="宋体" w:hAnsi="宋体" w:cs="宋体"/>
                <w:color w:val="0000FF"/>
                <w:sz w:val="24"/>
                <w:highlight w:val="white"/>
              </w:rPr>
              <w:t>、设计费结算价：</w:t>
            </w:r>
            <w:r>
              <w:rPr>
                <w:rFonts w:hint="eastAsia" w:ascii="宋体" w:hAnsi="宋体" w:cs="宋体"/>
                <w:color w:val="0000FF"/>
                <w:sz w:val="24"/>
                <w:highlight w:val="white"/>
                <w:lang w:val="en-US" w:eastAsia="zh-CN"/>
              </w:rPr>
              <w:t>设计费中标价即为结算价</w:t>
            </w:r>
            <w:r>
              <w:rPr>
                <w:rFonts w:hint="eastAsia" w:ascii="宋体" w:hAnsi="宋体" w:cs="宋体"/>
                <w:color w:val="0000FF"/>
                <w:sz w:val="24"/>
                <w:highlight w:val="white"/>
              </w:rPr>
              <w:t>。</w:t>
            </w:r>
          </w:p>
          <w:p w14:paraId="454D9AF5">
            <w:pPr>
              <w:spacing w:line="360" w:lineRule="auto"/>
              <w:rPr>
                <w:rFonts w:hint="eastAsia" w:ascii="宋体" w:hAnsi="宋体" w:cs="宋体"/>
                <w:color w:val="0000FF"/>
                <w:sz w:val="24"/>
                <w:highlight w:val="white"/>
              </w:rPr>
            </w:pPr>
            <w:r>
              <w:rPr>
                <w:rFonts w:hint="eastAsia" w:ascii="宋体" w:hAnsi="宋体" w:cs="宋体"/>
                <w:color w:val="0000FF"/>
                <w:sz w:val="24"/>
                <w:highlight w:val="white"/>
                <w:lang w:val="en-US" w:eastAsia="zh-CN"/>
              </w:rPr>
              <w:t>4</w:t>
            </w:r>
            <w:r>
              <w:rPr>
                <w:rFonts w:hint="eastAsia" w:ascii="宋体" w:hAnsi="宋体" w:cs="宋体"/>
                <w:color w:val="0000FF"/>
                <w:sz w:val="24"/>
                <w:highlight w:val="white"/>
              </w:rPr>
              <w:t>、本项目实行限额设计，限额设计金额为本项目公布的招标控制价设计限额。</w:t>
            </w:r>
            <w:bookmarkEnd w:id="112"/>
          </w:p>
        </w:tc>
      </w:tr>
      <w:tr w14:paraId="342CD03E">
        <w:tblPrEx>
          <w:tblCellMar>
            <w:top w:w="0" w:type="dxa"/>
            <w:left w:w="108" w:type="dxa"/>
            <w:bottom w:w="0" w:type="dxa"/>
            <w:right w:w="108" w:type="dxa"/>
          </w:tblCellMar>
        </w:tblPrEx>
        <w:trPr>
          <w:wBefore w:w="0" w:type="dxa"/>
          <w:wAfter w:w="0" w:type="dxa"/>
          <w:trHeight w:val="20" w:hRule="atLeast"/>
          <w:jc w:val="center"/>
        </w:trPr>
        <w:tc>
          <w:tcPr>
            <w:tcW w:w="591" w:type="pct"/>
            <w:tcBorders>
              <w:top w:val="single" w:color="auto" w:sz="4" w:space="0"/>
              <w:left w:val="single" w:color="auto" w:sz="4" w:space="0"/>
              <w:bottom w:val="single" w:color="auto" w:sz="4" w:space="0"/>
              <w:right w:val="single" w:color="auto" w:sz="4" w:space="0"/>
            </w:tcBorders>
            <w:noWrap w:val="0"/>
            <w:vAlign w:val="center"/>
          </w:tcPr>
          <w:p w14:paraId="46F8FAA7">
            <w:pPr>
              <w:spacing w:line="360" w:lineRule="auto"/>
              <w:jc w:val="center"/>
              <w:rPr>
                <w:rFonts w:hint="eastAsia" w:ascii="宋体" w:hAnsi="宋体" w:cs="宋体"/>
                <w:sz w:val="24"/>
                <w:highlight w:val="green"/>
              </w:rPr>
            </w:pPr>
            <w:bookmarkStart w:id="113" w:name="EBbd96f3fc43074e829e94e65e37888350"/>
            <w:bookmarkEnd w:id="113"/>
          </w:p>
        </w:tc>
        <w:tc>
          <w:tcPr>
            <w:tcW w:w="1143" w:type="pct"/>
            <w:tcBorders>
              <w:top w:val="single" w:color="auto" w:sz="4" w:space="0"/>
              <w:left w:val="single" w:color="auto" w:sz="4" w:space="0"/>
              <w:bottom w:val="single" w:color="auto" w:sz="4" w:space="0"/>
              <w:right w:val="single" w:color="auto" w:sz="4" w:space="0"/>
            </w:tcBorders>
            <w:noWrap w:val="0"/>
            <w:vAlign w:val="center"/>
          </w:tcPr>
          <w:p w14:paraId="7E5E0251">
            <w:pPr>
              <w:spacing w:line="360" w:lineRule="auto"/>
              <w:jc w:val="center"/>
              <w:rPr>
                <w:rFonts w:hint="eastAsia" w:ascii="宋体" w:hAnsi="宋体" w:cs="宋体"/>
                <w:sz w:val="24"/>
                <w:highlight w:val="green"/>
              </w:rPr>
            </w:pPr>
            <w:bookmarkStart w:id="114" w:name="EB80b9943518324129b39948a08a2a6d1e"/>
            <w:bookmarkEnd w:id="114"/>
          </w:p>
        </w:tc>
        <w:tc>
          <w:tcPr>
            <w:tcW w:w="3266" w:type="pct"/>
            <w:tcBorders>
              <w:top w:val="single" w:color="auto" w:sz="4" w:space="0"/>
              <w:left w:val="single" w:color="auto" w:sz="4" w:space="0"/>
              <w:bottom w:val="single" w:color="auto" w:sz="4" w:space="0"/>
              <w:right w:val="single" w:color="auto" w:sz="4" w:space="0"/>
            </w:tcBorders>
            <w:noWrap w:val="0"/>
            <w:vAlign w:val="center"/>
          </w:tcPr>
          <w:p w14:paraId="75A0BBA0">
            <w:pPr>
              <w:spacing w:line="360" w:lineRule="auto"/>
              <w:rPr>
                <w:rFonts w:hint="eastAsia" w:ascii="宋体" w:hAnsi="宋体" w:cs="宋体"/>
                <w:sz w:val="24"/>
                <w:highlight w:val="green"/>
              </w:rPr>
            </w:pPr>
            <w:bookmarkStart w:id="115" w:name="EB91c2545c570c49f5b4677523d7f8c510"/>
            <w:bookmarkEnd w:id="115"/>
          </w:p>
        </w:tc>
      </w:tr>
    </w:tbl>
    <w:p w14:paraId="13A9EFC8">
      <w:pPr>
        <w:rPr>
          <w:highlight w:val="cyan"/>
        </w:rPr>
      </w:pPr>
      <w:bookmarkStart w:id="116" w:name="EB2b1f941b91a447b9b7a478ef36753cab"/>
      <w:r>
        <w:rPr>
          <w:rFonts w:hint="eastAsia"/>
          <w:color w:val="000080"/>
          <w:sz w:val="20"/>
          <w:highlight w:val="white"/>
        </w:rPr>
        <w:t xml:space="preserve"> </w:t>
      </w:r>
      <w:bookmarkEnd w:id="116"/>
    </w:p>
    <w:p w14:paraId="2E039238">
      <w:pPr>
        <w:rPr>
          <w:highlight w:val="yellow"/>
        </w:rPr>
      </w:pPr>
      <w:r>
        <w:rPr>
          <w:highlight w:val="white"/>
        </w:rPr>
        <w:br w:type="page"/>
      </w:r>
      <w:bookmarkStart w:id="117" w:name="EB65bbd9526a9046d0bd0f2506f98ebc07"/>
      <w:r>
        <w:rPr>
          <w:rFonts w:hint="eastAsia"/>
          <w:color w:val="000080"/>
          <w:sz w:val="20"/>
          <w:highlight w:val="white"/>
        </w:rPr>
        <w:t xml:space="preserve"> </w:t>
      </w:r>
      <w:bookmarkEnd w:id="117"/>
      <w:bookmarkStart w:id="118" w:name="EB67d883f5a366454b8d373fc555e6b98b"/>
      <w:r>
        <w:rPr>
          <w:rFonts w:hint="eastAsia"/>
          <w:color w:val="000080"/>
          <w:sz w:val="20"/>
          <w:highlight w:val="white"/>
        </w:rPr>
        <w:t xml:space="preserve"> </w:t>
      </w:r>
      <w:bookmarkEnd w:id="118"/>
    </w:p>
    <w:p w14:paraId="6BBF082A">
      <w:pPr>
        <w:pStyle w:val="3"/>
        <w:spacing w:line="360" w:lineRule="auto"/>
        <w:rPr>
          <w:rFonts w:hint="eastAsia" w:ascii="宋体" w:hAnsi="宋体" w:eastAsia="宋体"/>
          <w:sz w:val="24"/>
          <w:szCs w:val="24"/>
        </w:rPr>
      </w:pPr>
      <w:bookmarkStart w:id="119" w:name="_Toc256000022"/>
      <w:r>
        <w:rPr>
          <w:rFonts w:hint="eastAsia" w:ascii="宋体" w:hAnsi="宋体" w:eastAsia="宋体"/>
          <w:sz w:val="24"/>
          <w:szCs w:val="24"/>
          <w:highlight w:val="white"/>
        </w:rPr>
        <w:t>1. 总则</w:t>
      </w:r>
      <w:bookmarkEnd w:id="119"/>
    </w:p>
    <w:p w14:paraId="18609A07">
      <w:pPr>
        <w:pStyle w:val="4"/>
        <w:spacing w:line="360" w:lineRule="auto"/>
        <w:ind w:firstLine="118"/>
        <w:rPr>
          <w:sz w:val="24"/>
          <w:szCs w:val="24"/>
        </w:rPr>
      </w:pPr>
      <w:bookmarkStart w:id="120" w:name="_Toc256000023"/>
      <w:r>
        <w:rPr>
          <w:rFonts w:hint="eastAsia" w:ascii="Times New Roman" w:hAnsi="Times New Roman"/>
          <w:sz w:val="24"/>
          <w:szCs w:val="24"/>
          <w:highlight w:val="white"/>
        </w:rPr>
        <w:t>1.1</w:t>
      </w:r>
      <w:r>
        <w:rPr>
          <w:rFonts w:hint="eastAsia"/>
          <w:sz w:val="24"/>
          <w:szCs w:val="24"/>
          <w:highlight w:val="white"/>
        </w:rPr>
        <w:t xml:space="preserve"> 项目概况</w:t>
      </w:r>
      <w:bookmarkEnd w:id="120"/>
    </w:p>
    <w:p w14:paraId="7F54FBE9">
      <w:pPr>
        <w:spacing w:line="360" w:lineRule="auto"/>
        <w:ind w:firstLine="480" w:firstLineChars="200"/>
        <w:rPr>
          <w:sz w:val="24"/>
        </w:rPr>
      </w:pPr>
      <w:r>
        <w:rPr>
          <w:rFonts w:hint="eastAsia"/>
          <w:sz w:val="24"/>
          <w:highlight w:val="white"/>
        </w:rPr>
        <w:t>1.1.1根据《中华人民共和国招标投标法》等有关法律、法规和规章的规定，本招标项目已具备招标条件，现对该项目设计施工进行总承包招标。</w:t>
      </w:r>
    </w:p>
    <w:p w14:paraId="531CA00C">
      <w:pPr>
        <w:spacing w:line="360" w:lineRule="auto"/>
        <w:ind w:firstLine="480" w:firstLineChars="200"/>
        <w:rPr>
          <w:sz w:val="24"/>
        </w:rPr>
      </w:pPr>
      <w:r>
        <w:rPr>
          <w:rFonts w:hint="eastAsia"/>
          <w:sz w:val="24"/>
          <w:highlight w:val="white"/>
        </w:rPr>
        <w:t>1.1.2 招标人：见投标人须知前附表。</w:t>
      </w:r>
    </w:p>
    <w:p w14:paraId="203F413B">
      <w:pPr>
        <w:spacing w:line="360" w:lineRule="auto"/>
        <w:ind w:firstLine="480" w:firstLineChars="200"/>
        <w:rPr>
          <w:sz w:val="24"/>
        </w:rPr>
      </w:pPr>
      <w:r>
        <w:rPr>
          <w:rFonts w:hint="eastAsia"/>
          <w:sz w:val="24"/>
          <w:highlight w:val="white"/>
        </w:rPr>
        <w:t>1.1.3 招标代理机构：见投标人须知前附表。</w:t>
      </w:r>
    </w:p>
    <w:p w14:paraId="31619AAB">
      <w:pPr>
        <w:spacing w:line="360" w:lineRule="auto"/>
        <w:ind w:firstLine="480" w:firstLineChars="200"/>
        <w:rPr>
          <w:sz w:val="24"/>
        </w:rPr>
      </w:pPr>
      <w:r>
        <w:rPr>
          <w:rFonts w:hint="eastAsia"/>
          <w:sz w:val="24"/>
          <w:highlight w:val="white"/>
        </w:rPr>
        <w:t>1.1.4 招标项目名称：见投标人须知前附表。</w:t>
      </w:r>
    </w:p>
    <w:p w14:paraId="7E7BC644">
      <w:pPr>
        <w:spacing w:line="360" w:lineRule="auto"/>
        <w:ind w:firstLine="480" w:firstLineChars="200"/>
        <w:rPr>
          <w:sz w:val="24"/>
        </w:rPr>
      </w:pPr>
      <w:r>
        <w:rPr>
          <w:rFonts w:hint="eastAsia"/>
          <w:sz w:val="24"/>
          <w:highlight w:val="white"/>
        </w:rPr>
        <w:t>1.1.5 项目建设地点：见投标人须知前附表。</w:t>
      </w:r>
    </w:p>
    <w:p w14:paraId="73C8A66F">
      <w:pPr>
        <w:pStyle w:val="4"/>
        <w:spacing w:line="360" w:lineRule="auto"/>
        <w:ind w:firstLine="118"/>
        <w:rPr>
          <w:sz w:val="24"/>
          <w:szCs w:val="24"/>
        </w:rPr>
      </w:pPr>
      <w:bookmarkStart w:id="121" w:name="_Toc256000024"/>
      <w:r>
        <w:rPr>
          <w:rFonts w:hint="eastAsia" w:ascii="Times New Roman" w:hAnsi="Times New Roman"/>
          <w:sz w:val="24"/>
          <w:szCs w:val="24"/>
          <w:highlight w:val="white"/>
        </w:rPr>
        <w:t xml:space="preserve">1.2 </w:t>
      </w:r>
      <w:r>
        <w:rPr>
          <w:rFonts w:hint="eastAsia"/>
          <w:sz w:val="24"/>
          <w:szCs w:val="24"/>
          <w:highlight w:val="white"/>
        </w:rPr>
        <w:t>项目的资金来源和落实情况</w:t>
      </w:r>
      <w:bookmarkEnd w:id="121"/>
    </w:p>
    <w:p w14:paraId="0DA5172C">
      <w:pPr>
        <w:spacing w:line="360" w:lineRule="auto"/>
        <w:ind w:firstLine="480" w:firstLineChars="200"/>
        <w:rPr>
          <w:sz w:val="24"/>
        </w:rPr>
      </w:pPr>
      <w:r>
        <w:rPr>
          <w:rFonts w:hint="eastAsia"/>
          <w:sz w:val="24"/>
          <w:highlight w:val="white"/>
        </w:rPr>
        <w:t>1.2.1 资金来源及比例：见投标人须知前附表。</w:t>
      </w:r>
    </w:p>
    <w:p w14:paraId="190B336D">
      <w:pPr>
        <w:spacing w:line="360" w:lineRule="auto"/>
        <w:ind w:firstLine="480" w:firstLineChars="200"/>
        <w:rPr>
          <w:sz w:val="24"/>
        </w:rPr>
      </w:pPr>
      <w:r>
        <w:rPr>
          <w:rFonts w:hint="eastAsia"/>
          <w:sz w:val="24"/>
          <w:highlight w:val="white"/>
        </w:rPr>
        <w:t>1.2.2 资金落实情况：见投标人须知前附表。</w:t>
      </w:r>
    </w:p>
    <w:p w14:paraId="3FBDD6C0">
      <w:pPr>
        <w:pStyle w:val="4"/>
        <w:spacing w:line="360" w:lineRule="auto"/>
        <w:ind w:firstLine="118"/>
        <w:rPr>
          <w:sz w:val="24"/>
          <w:szCs w:val="24"/>
        </w:rPr>
      </w:pPr>
      <w:bookmarkStart w:id="122" w:name="_Toc256000025"/>
      <w:r>
        <w:rPr>
          <w:rFonts w:hint="eastAsia" w:ascii="Times New Roman" w:hAnsi="Times New Roman"/>
          <w:sz w:val="24"/>
          <w:szCs w:val="24"/>
          <w:highlight w:val="white"/>
        </w:rPr>
        <w:t>1.3</w:t>
      </w:r>
      <w:r>
        <w:rPr>
          <w:rFonts w:hint="eastAsia"/>
          <w:sz w:val="24"/>
          <w:szCs w:val="24"/>
          <w:highlight w:val="white"/>
        </w:rPr>
        <w:t xml:space="preserve"> 招标范围、计划工期和质量标准</w:t>
      </w:r>
      <w:bookmarkEnd w:id="122"/>
    </w:p>
    <w:p w14:paraId="03810351">
      <w:pPr>
        <w:spacing w:line="360" w:lineRule="auto"/>
        <w:ind w:firstLine="480" w:firstLineChars="200"/>
        <w:rPr>
          <w:sz w:val="24"/>
        </w:rPr>
      </w:pPr>
      <w:r>
        <w:rPr>
          <w:rFonts w:hint="eastAsia"/>
          <w:sz w:val="24"/>
          <w:highlight w:val="white"/>
        </w:rPr>
        <w:t>1.3.1 招标范围：见投标人须知前附表。</w:t>
      </w:r>
    </w:p>
    <w:p w14:paraId="2D83DC11">
      <w:pPr>
        <w:spacing w:line="360" w:lineRule="auto"/>
        <w:ind w:firstLine="480" w:firstLineChars="200"/>
        <w:rPr>
          <w:rFonts w:hint="eastAsia"/>
          <w:sz w:val="24"/>
        </w:rPr>
      </w:pPr>
      <w:r>
        <w:rPr>
          <w:rFonts w:hint="eastAsia"/>
          <w:sz w:val="24"/>
          <w:highlight w:val="white"/>
        </w:rPr>
        <w:t>1.3.2 计划工期：见投标人须知前附表。</w:t>
      </w:r>
    </w:p>
    <w:p w14:paraId="1ADD6176">
      <w:pPr>
        <w:spacing w:line="360" w:lineRule="auto"/>
        <w:ind w:firstLine="480" w:firstLineChars="200"/>
        <w:rPr>
          <w:sz w:val="24"/>
        </w:rPr>
      </w:pPr>
      <w:r>
        <w:rPr>
          <w:rFonts w:hint="eastAsia"/>
          <w:sz w:val="24"/>
          <w:highlight w:val="white"/>
        </w:rPr>
        <w:t>1.3.3 质量标准：见投标人须知前附表。</w:t>
      </w:r>
    </w:p>
    <w:p w14:paraId="0A828E61">
      <w:pPr>
        <w:pStyle w:val="4"/>
        <w:spacing w:line="360" w:lineRule="auto"/>
        <w:ind w:firstLine="118"/>
        <w:rPr>
          <w:sz w:val="24"/>
          <w:szCs w:val="24"/>
        </w:rPr>
      </w:pPr>
      <w:bookmarkStart w:id="123" w:name="_Toc256000026"/>
      <w:r>
        <w:rPr>
          <w:rFonts w:hint="eastAsia" w:ascii="Times New Roman" w:hAnsi="Times New Roman"/>
          <w:sz w:val="24"/>
          <w:szCs w:val="24"/>
          <w:highlight w:val="white"/>
        </w:rPr>
        <w:t>1.4</w:t>
      </w:r>
      <w:r>
        <w:rPr>
          <w:rFonts w:hint="eastAsia"/>
          <w:sz w:val="24"/>
          <w:szCs w:val="24"/>
          <w:highlight w:val="white"/>
        </w:rPr>
        <w:t xml:space="preserve"> 投标人资格要求（适用于已进行资格预审的）</w:t>
      </w:r>
      <w:bookmarkEnd w:id="123"/>
    </w:p>
    <w:p w14:paraId="062AD303">
      <w:pPr>
        <w:spacing w:line="360" w:lineRule="auto"/>
        <w:ind w:firstLine="480" w:firstLineChars="200"/>
        <w:rPr>
          <w:sz w:val="24"/>
        </w:rPr>
      </w:pPr>
      <w:r>
        <w:rPr>
          <w:rFonts w:hint="eastAsia"/>
          <w:sz w:val="24"/>
          <w:highlight w:val="white"/>
        </w:rPr>
        <w:t>投标人应是收到招标人发出投标邀请书的单位。</w:t>
      </w:r>
    </w:p>
    <w:p w14:paraId="12CBD49A">
      <w:pPr>
        <w:pStyle w:val="4"/>
        <w:spacing w:line="360" w:lineRule="auto"/>
        <w:ind w:firstLine="118"/>
        <w:rPr>
          <w:sz w:val="24"/>
          <w:szCs w:val="24"/>
        </w:rPr>
      </w:pPr>
      <w:bookmarkStart w:id="124" w:name="_Toc256000027"/>
      <w:r>
        <w:rPr>
          <w:rFonts w:hint="eastAsia" w:ascii="Times New Roman" w:hAnsi="Times New Roman"/>
          <w:sz w:val="24"/>
          <w:szCs w:val="24"/>
          <w:highlight w:val="white"/>
        </w:rPr>
        <w:t>1.4</w:t>
      </w:r>
      <w:r>
        <w:rPr>
          <w:rFonts w:hint="eastAsia"/>
          <w:sz w:val="24"/>
          <w:szCs w:val="24"/>
          <w:highlight w:val="white"/>
        </w:rPr>
        <w:t xml:space="preserve"> 投标人资格要求（适用于未进行资格预审的）</w:t>
      </w:r>
      <w:bookmarkEnd w:id="124"/>
    </w:p>
    <w:p w14:paraId="036822AE">
      <w:pPr>
        <w:spacing w:line="360" w:lineRule="auto"/>
        <w:ind w:firstLine="480" w:firstLineChars="200"/>
        <w:rPr>
          <w:sz w:val="24"/>
        </w:rPr>
      </w:pPr>
      <w:r>
        <w:rPr>
          <w:rFonts w:hint="eastAsia"/>
          <w:sz w:val="24"/>
          <w:highlight w:val="white"/>
        </w:rPr>
        <w:t>1.4.1 投标人应具备承担本招标项目资质条件、能力和信誉。</w:t>
      </w:r>
    </w:p>
    <w:p w14:paraId="34B6DFB0">
      <w:pPr>
        <w:spacing w:line="360" w:lineRule="auto"/>
        <w:ind w:firstLine="360" w:firstLineChars="150"/>
        <w:rPr>
          <w:sz w:val="24"/>
        </w:rPr>
      </w:pPr>
      <w:r>
        <w:rPr>
          <w:rFonts w:hint="eastAsia"/>
          <w:sz w:val="24"/>
          <w:highlight w:val="white"/>
        </w:rPr>
        <w:t>（1）资质条件：见投标人须知前附表；</w:t>
      </w:r>
    </w:p>
    <w:p w14:paraId="6CF1C5F2">
      <w:pPr>
        <w:spacing w:line="360" w:lineRule="auto"/>
        <w:ind w:firstLine="360" w:firstLineChars="150"/>
        <w:rPr>
          <w:sz w:val="24"/>
        </w:rPr>
      </w:pPr>
      <w:r>
        <w:rPr>
          <w:rFonts w:hint="eastAsia"/>
          <w:sz w:val="24"/>
          <w:highlight w:val="white"/>
        </w:rPr>
        <w:t>（2）财务要求：见投标人须知前附表；</w:t>
      </w:r>
    </w:p>
    <w:p w14:paraId="5C01E684">
      <w:pPr>
        <w:spacing w:line="360" w:lineRule="auto"/>
        <w:ind w:firstLine="360" w:firstLineChars="150"/>
        <w:rPr>
          <w:rFonts w:hint="eastAsia"/>
          <w:sz w:val="24"/>
        </w:rPr>
      </w:pPr>
      <w:r>
        <w:rPr>
          <w:rFonts w:hint="eastAsia"/>
          <w:sz w:val="24"/>
          <w:highlight w:val="white"/>
        </w:rPr>
        <w:t>（3）设计业绩要求：见投标人须知前附表；</w:t>
      </w:r>
    </w:p>
    <w:p w14:paraId="052A2B11">
      <w:pPr>
        <w:spacing w:line="360" w:lineRule="auto"/>
        <w:ind w:firstLine="360" w:firstLineChars="150"/>
        <w:rPr>
          <w:rFonts w:hint="eastAsia"/>
          <w:sz w:val="24"/>
        </w:rPr>
      </w:pPr>
      <w:r>
        <w:rPr>
          <w:rFonts w:hint="eastAsia"/>
          <w:sz w:val="24"/>
          <w:highlight w:val="white"/>
        </w:rPr>
        <w:t>（4）施工业绩要求：见投标人须知前附表；</w:t>
      </w:r>
    </w:p>
    <w:p w14:paraId="147273DD">
      <w:pPr>
        <w:spacing w:line="360" w:lineRule="auto"/>
        <w:ind w:firstLine="360" w:firstLineChars="150"/>
        <w:rPr>
          <w:rFonts w:hint="eastAsia"/>
          <w:sz w:val="24"/>
        </w:rPr>
      </w:pPr>
      <w:r>
        <w:rPr>
          <w:rFonts w:hint="eastAsia"/>
          <w:sz w:val="24"/>
          <w:highlight w:val="white"/>
        </w:rPr>
        <w:t>（5）信誉要求：见投标人须知前附表；</w:t>
      </w:r>
    </w:p>
    <w:p w14:paraId="31E87397">
      <w:pPr>
        <w:spacing w:line="360" w:lineRule="auto"/>
        <w:ind w:firstLine="360" w:firstLineChars="150"/>
        <w:rPr>
          <w:sz w:val="24"/>
        </w:rPr>
      </w:pPr>
      <w:r>
        <w:rPr>
          <w:rFonts w:hint="eastAsia"/>
          <w:sz w:val="24"/>
          <w:highlight w:val="white"/>
        </w:rPr>
        <w:t>（6）项目经理的资格要求：应当具备相应工程建设类注册执业资格，包括注册建筑师、勘察设计注册工程师、注册建造师或者注册监理工程师等；未实施注册执业资格的，取得高级专业技术职称，具体要求见投标人须知前附表；</w:t>
      </w:r>
    </w:p>
    <w:p w14:paraId="6931E206">
      <w:pPr>
        <w:spacing w:line="360" w:lineRule="auto"/>
        <w:ind w:firstLine="360" w:firstLineChars="150"/>
        <w:rPr>
          <w:rFonts w:hint="eastAsia"/>
          <w:sz w:val="24"/>
        </w:rPr>
      </w:pPr>
      <w:r>
        <w:rPr>
          <w:rFonts w:hint="eastAsia"/>
          <w:sz w:val="24"/>
          <w:highlight w:val="white"/>
        </w:rPr>
        <w:t>（7）设计负责人的资格要求：应当具备工程设计类注册执业资格，具体要求见投标人须知前附表；</w:t>
      </w:r>
    </w:p>
    <w:p w14:paraId="44B2DF07">
      <w:pPr>
        <w:spacing w:line="360" w:lineRule="auto"/>
        <w:ind w:firstLine="360" w:firstLineChars="150"/>
        <w:rPr>
          <w:rFonts w:hint="eastAsia"/>
          <w:sz w:val="24"/>
        </w:rPr>
      </w:pPr>
      <w:r>
        <w:rPr>
          <w:rFonts w:hint="eastAsia"/>
          <w:sz w:val="24"/>
          <w:highlight w:val="white"/>
        </w:rPr>
        <w:t>（8）施工负责人的资格要求：应当具备工程施工类注册执业资格，具体要求见投标人须知前附表；</w:t>
      </w:r>
    </w:p>
    <w:p w14:paraId="18751A4F">
      <w:pPr>
        <w:spacing w:line="360" w:lineRule="auto"/>
        <w:ind w:firstLine="360" w:firstLineChars="150"/>
        <w:rPr>
          <w:rFonts w:hint="eastAsia"/>
          <w:sz w:val="24"/>
        </w:rPr>
      </w:pPr>
      <w:r>
        <w:rPr>
          <w:rFonts w:hint="eastAsia"/>
          <w:sz w:val="24"/>
          <w:highlight w:val="white"/>
        </w:rPr>
        <w:t>（9）具备有效的安全生产许可证（园林绿化、电梯安装等不实行安全生产许可的除外）；</w:t>
      </w:r>
    </w:p>
    <w:p w14:paraId="4D11C4B9">
      <w:pPr>
        <w:spacing w:line="360" w:lineRule="auto"/>
        <w:ind w:firstLine="360" w:firstLineChars="150"/>
        <w:rPr>
          <w:sz w:val="24"/>
        </w:rPr>
      </w:pPr>
      <w:r>
        <w:rPr>
          <w:rFonts w:hint="eastAsia"/>
          <w:sz w:val="24"/>
          <w:highlight w:val="white"/>
        </w:rPr>
        <w:t>（10）其他要求：见投标人须知前附表。</w:t>
      </w:r>
    </w:p>
    <w:p w14:paraId="0CF77928">
      <w:pPr>
        <w:spacing w:line="360" w:lineRule="auto"/>
        <w:ind w:firstLine="480" w:firstLineChars="200"/>
        <w:rPr>
          <w:sz w:val="24"/>
        </w:rPr>
      </w:pPr>
      <w:r>
        <w:rPr>
          <w:rFonts w:hint="eastAsia"/>
          <w:sz w:val="24"/>
          <w:highlight w:val="white"/>
        </w:rPr>
        <w:t xml:space="preserve">1.4.2 投标人须知前附表规定接受联合体投标的，除应符合本章第1.4.1项和投标人须知前附表的要求外，还应遵守以下规定： </w:t>
      </w:r>
    </w:p>
    <w:p w14:paraId="34BA6406">
      <w:pPr>
        <w:spacing w:line="360" w:lineRule="auto"/>
        <w:ind w:firstLine="360" w:firstLineChars="150"/>
        <w:rPr>
          <w:sz w:val="24"/>
        </w:rPr>
      </w:pPr>
      <w:r>
        <w:rPr>
          <w:rFonts w:hint="eastAsia"/>
          <w:sz w:val="24"/>
          <w:highlight w:val="white"/>
        </w:rPr>
        <w:t>（1）联合体各方应按招标文件提供的格式签订联合体协议书，明确联合体牵头人和各方权利义务；</w:t>
      </w:r>
    </w:p>
    <w:p w14:paraId="1B97EDE3">
      <w:pPr>
        <w:spacing w:line="360" w:lineRule="auto"/>
        <w:ind w:firstLine="360" w:firstLineChars="150"/>
        <w:rPr>
          <w:sz w:val="24"/>
        </w:rPr>
      </w:pPr>
      <w:r>
        <w:rPr>
          <w:rFonts w:hint="eastAsia"/>
          <w:sz w:val="24"/>
          <w:highlight w:val="white"/>
        </w:rPr>
        <w:t>（2）由同一专业的单位组成的联合体，按照资质等级较低的单位确定资质等级；</w:t>
      </w:r>
    </w:p>
    <w:p w14:paraId="5E1C29B1">
      <w:pPr>
        <w:spacing w:line="360" w:lineRule="auto"/>
        <w:ind w:firstLine="360" w:firstLineChars="150"/>
        <w:rPr>
          <w:sz w:val="24"/>
        </w:rPr>
      </w:pPr>
      <w:r>
        <w:rPr>
          <w:rFonts w:hint="eastAsia"/>
          <w:sz w:val="24"/>
          <w:highlight w:val="white"/>
        </w:rPr>
        <w:t>（3）联合体各方不得再以自己名义单独或参加其他联合体在本招标项目中投标。</w:t>
      </w:r>
    </w:p>
    <w:p w14:paraId="098B6809">
      <w:pPr>
        <w:spacing w:line="360" w:lineRule="auto"/>
        <w:ind w:firstLine="480" w:firstLineChars="200"/>
        <w:rPr>
          <w:sz w:val="24"/>
        </w:rPr>
      </w:pPr>
      <w:r>
        <w:rPr>
          <w:rFonts w:hint="eastAsia"/>
          <w:sz w:val="24"/>
          <w:highlight w:val="white"/>
        </w:rPr>
        <w:t>1.4.3 投标人不得存在下列情形之一：</w:t>
      </w:r>
    </w:p>
    <w:p w14:paraId="34D6C06D">
      <w:pPr>
        <w:spacing w:line="360" w:lineRule="auto"/>
        <w:ind w:firstLine="360" w:firstLineChars="150"/>
        <w:rPr>
          <w:rFonts w:hint="eastAsia"/>
          <w:sz w:val="24"/>
        </w:rPr>
      </w:pPr>
      <w:r>
        <w:rPr>
          <w:rFonts w:hint="eastAsia"/>
          <w:sz w:val="24"/>
          <w:highlight w:val="white"/>
        </w:rPr>
        <w:t xml:space="preserve">（1）为招标人不具有独立法人资格的附属机构（单位）； </w:t>
      </w:r>
    </w:p>
    <w:p w14:paraId="4055118D">
      <w:pPr>
        <w:spacing w:line="360" w:lineRule="auto"/>
        <w:ind w:firstLine="360" w:firstLineChars="150"/>
        <w:rPr>
          <w:sz w:val="24"/>
        </w:rPr>
      </w:pPr>
      <w:r>
        <w:rPr>
          <w:rFonts w:hint="eastAsia"/>
          <w:sz w:val="24"/>
          <w:highlight w:val="white"/>
        </w:rPr>
        <w:t>（2）为招标项目前期工作提供咨询服务的；</w:t>
      </w:r>
    </w:p>
    <w:p w14:paraId="5DE2B678">
      <w:pPr>
        <w:spacing w:line="360" w:lineRule="auto"/>
        <w:ind w:firstLine="360" w:firstLineChars="150"/>
        <w:rPr>
          <w:sz w:val="24"/>
        </w:rPr>
      </w:pPr>
      <w:r>
        <w:rPr>
          <w:rFonts w:hint="eastAsia"/>
          <w:sz w:val="24"/>
          <w:highlight w:val="white"/>
        </w:rPr>
        <w:t>（3）为本招标项目的监理人；</w:t>
      </w:r>
    </w:p>
    <w:p w14:paraId="3C782045">
      <w:pPr>
        <w:spacing w:line="360" w:lineRule="auto"/>
        <w:ind w:firstLine="360" w:firstLineChars="150"/>
        <w:rPr>
          <w:sz w:val="24"/>
        </w:rPr>
      </w:pPr>
      <w:r>
        <w:rPr>
          <w:rFonts w:hint="eastAsia"/>
          <w:sz w:val="24"/>
          <w:highlight w:val="white"/>
        </w:rPr>
        <w:t xml:space="preserve">（4）为本招标项目的代建人； </w:t>
      </w:r>
    </w:p>
    <w:p w14:paraId="4CAA3BD9">
      <w:pPr>
        <w:spacing w:line="360" w:lineRule="auto"/>
        <w:ind w:firstLine="360" w:firstLineChars="150"/>
        <w:rPr>
          <w:sz w:val="24"/>
        </w:rPr>
      </w:pPr>
      <w:r>
        <w:rPr>
          <w:rFonts w:hint="eastAsia"/>
          <w:sz w:val="24"/>
          <w:highlight w:val="white"/>
        </w:rPr>
        <w:t xml:space="preserve">（5）为本招标项目提供招标代理服务的； </w:t>
      </w:r>
    </w:p>
    <w:p w14:paraId="154BBCC3">
      <w:pPr>
        <w:spacing w:line="360" w:lineRule="auto"/>
        <w:ind w:firstLine="360" w:firstLineChars="150"/>
        <w:rPr>
          <w:sz w:val="24"/>
        </w:rPr>
      </w:pPr>
      <w:r>
        <w:rPr>
          <w:rFonts w:hint="eastAsia"/>
          <w:sz w:val="24"/>
          <w:highlight w:val="white"/>
        </w:rPr>
        <w:t xml:space="preserve">（6）被责令停业的； </w:t>
      </w:r>
    </w:p>
    <w:p w14:paraId="28C8F532">
      <w:pPr>
        <w:spacing w:line="360" w:lineRule="auto"/>
        <w:ind w:firstLine="360" w:firstLineChars="150"/>
        <w:rPr>
          <w:sz w:val="24"/>
        </w:rPr>
      </w:pPr>
      <w:r>
        <w:rPr>
          <w:rFonts w:hint="eastAsia"/>
          <w:sz w:val="24"/>
          <w:highlight w:val="white"/>
        </w:rPr>
        <w:t xml:space="preserve">（7）被暂停或取消投标资格的； </w:t>
      </w:r>
    </w:p>
    <w:p w14:paraId="3C09B51C">
      <w:pPr>
        <w:spacing w:line="360" w:lineRule="auto"/>
        <w:ind w:firstLine="360" w:firstLineChars="150"/>
        <w:rPr>
          <w:sz w:val="24"/>
        </w:rPr>
      </w:pPr>
      <w:r>
        <w:rPr>
          <w:rFonts w:hint="eastAsia"/>
          <w:sz w:val="24"/>
          <w:highlight w:val="white"/>
        </w:rPr>
        <w:t>（8）进入清算程序，或被宣告破产，或其他丧失履约能力的情形；</w:t>
      </w:r>
    </w:p>
    <w:p w14:paraId="1CBFD188">
      <w:pPr>
        <w:spacing w:line="360" w:lineRule="auto"/>
        <w:ind w:firstLine="360" w:firstLineChars="150"/>
        <w:rPr>
          <w:rFonts w:hint="eastAsia"/>
          <w:sz w:val="24"/>
        </w:rPr>
      </w:pPr>
      <w:r>
        <w:rPr>
          <w:rFonts w:hint="eastAsia"/>
          <w:sz w:val="24"/>
          <w:highlight w:val="white"/>
        </w:rPr>
        <w:t>（9）在近三年内由于设计单位或施工单位违反工程质量有关法律法规和工程建设标准，使工程产生结构安全、重要使用功能等方面的质量缺陷，造成重大或者特别重大工程质量事故的；</w:t>
      </w:r>
    </w:p>
    <w:p w14:paraId="0FF7F5D7">
      <w:pPr>
        <w:spacing w:line="360" w:lineRule="auto"/>
        <w:ind w:firstLine="360" w:firstLineChars="150"/>
        <w:rPr>
          <w:rFonts w:hint="eastAsia"/>
          <w:sz w:val="24"/>
        </w:rPr>
      </w:pPr>
      <w:r>
        <w:rPr>
          <w:rFonts w:hint="eastAsia"/>
          <w:sz w:val="24"/>
          <w:highlight w:val="white"/>
        </w:rPr>
        <w:t>（10）与本招标项目的监理人或代建人或招标代理机构同为一个法定代表人的；</w:t>
      </w:r>
    </w:p>
    <w:p w14:paraId="4547DAC3">
      <w:pPr>
        <w:spacing w:line="360" w:lineRule="auto"/>
        <w:ind w:firstLine="360" w:firstLineChars="150"/>
        <w:rPr>
          <w:rFonts w:hint="eastAsia"/>
          <w:sz w:val="24"/>
        </w:rPr>
      </w:pPr>
      <w:r>
        <w:rPr>
          <w:rFonts w:hint="eastAsia"/>
          <w:sz w:val="24"/>
          <w:highlight w:val="white"/>
        </w:rPr>
        <w:t>（11）与本招标项目的监理人或代建人或招标代理机构相互控股或参股的；</w:t>
      </w:r>
    </w:p>
    <w:p w14:paraId="22D1C3BA">
      <w:pPr>
        <w:spacing w:line="360" w:lineRule="auto"/>
        <w:ind w:firstLine="360" w:firstLineChars="150"/>
        <w:rPr>
          <w:rFonts w:hint="eastAsia"/>
          <w:sz w:val="24"/>
        </w:rPr>
      </w:pPr>
      <w:r>
        <w:rPr>
          <w:rFonts w:hint="eastAsia"/>
          <w:sz w:val="24"/>
          <w:highlight w:val="white"/>
        </w:rPr>
        <w:t>（12）与本招标项目的监理人或代建人或招标代理机构相互任职或工作的。</w:t>
      </w:r>
    </w:p>
    <w:p w14:paraId="736F3C19">
      <w:pPr>
        <w:spacing w:line="360" w:lineRule="auto"/>
        <w:ind w:firstLine="480" w:firstLineChars="200"/>
        <w:rPr>
          <w:rFonts w:hint="eastAsia"/>
          <w:sz w:val="24"/>
        </w:rPr>
      </w:pPr>
      <w:r>
        <w:rPr>
          <w:rFonts w:hint="eastAsia"/>
          <w:sz w:val="24"/>
          <w:highlight w:val="white"/>
        </w:rPr>
        <w:t>1.4.4 单位负责人为同一人或者存在控股、管理关系的不同单位，不得同时参加本招标项目投标。</w:t>
      </w:r>
    </w:p>
    <w:p w14:paraId="3405002F">
      <w:pPr>
        <w:pStyle w:val="4"/>
        <w:spacing w:line="360" w:lineRule="auto"/>
        <w:ind w:firstLine="118"/>
        <w:rPr>
          <w:sz w:val="24"/>
          <w:szCs w:val="24"/>
        </w:rPr>
      </w:pPr>
      <w:bookmarkStart w:id="125" w:name="_Toc256000028"/>
      <w:r>
        <w:rPr>
          <w:rFonts w:hint="eastAsia" w:ascii="Times New Roman" w:hAnsi="Times New Roman"/>
          <w:sz w:val="24"/>
          <w:szCs w:val="24"/>
          <w:highlight w:val="white"/>
        </w:rPr>
        <w:t>1.5</w:t>
      </w:r>
      <w:r>
        <w:rPr>
          <w:rFonts w:hint="eastAsia"/>
          <w:sz w:val="24"/>
          <w:szCs w:val="24"/>
          <w:highlight w:val="white"/>
        </w:rPr>
        <w:t xml:space="preserve"> 费用承担和设计成果补偿</w:t>
      </w:r>
      <w:bookmarkEnd w:id="125"/>
    </w:p>
    <w:p w14:paraId="0A8C6982">
      <w:pPr>
        <w:spacing w:line="360" w:lineRule="auto"/>
        <w:ind w:firstLine="480" w:firstLineChars="200"/>
        <w:rPr>
          <w:rFonts w:hint="eastAsia"/>
          <w:sz w:val="24"/>
        </w:rPr>
      </w:pPr>
      <w:r>
        <w:rPr>
          <w:rFonts w:hint="eastAsia"/>
          <w:sz w:val="24"/>
          <w:highlight w:val="white"/>
        </w:rPr>
        <w:t>1.5.1 投标人准备和参加投标活动发生的费用自理。</w:t>
      </w:r>
    </w:p>
    <w:p w14:paraId="094F5797">
      <w:pPr>
        <w:spacing w:line="360" w:lineRule="auto"/>
        <w:ind w:firstLine="480" w:firstLineChars="200"/>
        <w:rPr>
          <w:sz w:val="24"/>
        </w:rPr>
      </w:pPr>
      <w:r>
        <w:rPr>
          <w:rFonts w:hint="eastAsia"/>
          <w:sz w:val="24"/>
          <w:highlight w:val="white"/>
        </w:rPr>
        <w:t>1.5.2 招标人对符合招标文件规定的未中标人的设计成果进行补偿的，按投标人须知前附表规定给予补偿，并有权免费使用未中标人设计成果。</w:t>
      </w:r>
    </w:p>
    <w:p w14:paraId="5DBA2841">
      <w:pPr>
        <w:pStyle w:val="4"/>
        <w:spacing w:line="360" w:lineRule="auto"/>
        <w:ind w:firstLine="118"/>
        <w:rPr>
          <w:sz w:val="24"/>
          <w:szCs w:val="24"/>
        </w:rPr>
      </w:pPr>
      <w:bookmarkStart w:id="126" w:name="_Toc256000029"/>
      <w:r>
        <w:rPr>
          <w:rFonts w:hint="eastAsia" w:ascii="Times New Roman" w:hAnsi="Times New Roman"/>
          <w:sz w:val="24"/>
          <w:szCs w:val="24"/>
          <w:highlight w:val="white"/>
        </w:rPr>
        <w:t xml:space="preserve">1.6 </w:t>
      </w:r>
      <w:r>
        <w:rPr>
          <w:rFonts w:hint="eastAsia"/>
          <w:sz w:val="24"/>
          <w:szCs w:val="24"/>
          <w:highlight w:val="white"/>
        </w:rPr>
        <w:t>保密</w:t>
      </w:r>
      <w:bookmarkEnd w:id="126"/>
    </w:p>
    <w:p w14:paraId="582F5269">
      <w:pPr>
        <w:spacing w:line="360" w:lineRule="auto"/>
        <w:ind w:firstLine="480" w:firstLineChars="200"/>
        <w:rPr>
          <w:sz w:val="24"/>
        </w:rPr>
      </w:pPr>
      <w:r>
        <w:rPr>
          <w:rFonts w:hint="eastAsia"/>
          <w:sz w:val="24"/>
          <w:highlight w:val="white"/>
        </w:rPr>
        <w:t xml:space="preserve">参与招标投标活动的各方应对招标文件和投标文件中的商业和技术等秘密保密，否则应承担相应的法律责任。 </w:t>
      </w:r>
    </w:p>
    <w:p w14:paraId="0BD244A3">
      <w:pPr>
        <w:pStyle w:val="4"/>
        <w:spacing w:line="360" w:lineRule="auto"/>
        <w:ind w:firstLine="118"/>
        <w:rPr>
          <w:sz w:val="24"/>
          <w:szCs w:val="24"/>
        </w:rPr>
      </w:pPr>
      <w:bookmarkStart w:id="127" w:name="_Toc256000030"/>
      <w:r>
        <w:rPr>
          <w:rFonts w:hint="eastAsia" w:ascii="Times New Roman" w:hAnsi="Times New Roman"/>
          <w:sz w:val="24"/>
          <w:szCs w:val="24"/>
          <w:highlight w:val="white"/>
        </w:rPr>
        <w:t>1.7</w:t>
      </w:r>
      <w:r>
        <w:rPr>
          <w:rFonts w:hint="eastAsia"/>
          <w:sz w:val="24"/>
          <w:szCs w:val="24"/>
          <w:highlight w:val="white"/>
        </w:rPr>
        <w:t xml:space="preserve"> 语言文字</w:t>
      </w:r>
      <w:bookmarkEnd w:id="127"/>
    </w:p>
    <w:p w14:paraId="697A9A09">
      <w:pPr>
        <w:spacing w:line="360" w:lineRule="auto"/>
        <w:ind w:firstLine="480" w:firstLineChars="200"/>
        <w:rPr>
          <w:sz w:val="24"/>
        </w:rPr>
      </w:pPr>
      <w:r>
        <w:rPr>
          <w:rFonts w:hint="eastAsia"/>
          <w:sz w:val="24"/>
          <w:highlight w:val="white"/>
        </w:rPr>
        <w:t>招标投标文件使用的语言文字为中文。专用术语使用外文的，应附有中文注释。</w:t>
      </w:r>
    </w:p>
    <w:p w14:paraId="5AF1178F">
      <w:pPr>
        <w:pStyle w:val="4"/>
        <w:spacing w:line="360" w:lineRule="auto"/>
        <w:ind w:firstLine="118"/>
        <w:rPr>
          <w:sz w:val="24"/>
          <w:szCs w:val="24"/>
        </w:rPr>
      </w:pPr>
      <w:bookmarkStart w:id="128" w:name="_Toc256000031"/>
      <w:r>
        <w:rPr>
          <w:rFonts w:hint="eastAsia" w:ascii="Times New Roman" w:hAnsi="Times New Roman"/>
          <w:sz w:val="24"/>
          <w:szCs w:val="24"/>
          <w:highlight w:val="white"/>
        </w:rPr>
        <w:t xml:space="preserve">1.8 </w:t>
      </w:r>
      <w:r>
        <w:rPr>
          <w:rFonts w:hint="eastAsia"/>
          <w:sz w:val="24"/>
          <w:szCs w:val="24"/>
          <w:highlight w:val="white"/>
        </w:rPr>
        <w:t>计量单位</w:t>
      </w:r>
      <w:bookmarkEnd w:id="128"/>
    </w:p>
    <w:p w14:paraId="16FC302D">
      <w:pPr>
        <w:spacing w:line="360" w:lineRule="auto"/>
        <w:ind w:firstLine="480" w:firstLineChars="200"/>
        <w:rPr>
          <w:sz w:val="24"/>
        </w:rPr>
      </w:pPr>
      <w:r>
        <w:rPr>
          <w:rFonts w:hint="eastAsia"/>
          <w:sz w:val="24"/>
          <w:highlight w:val="white"/>
        </w:rPr>
        <w:t>所有计量均采用中华人民共和国法定计量单位。</w:t>
      </w:r>
    </w:p>
    <w:p w14:paraId="194EBC7E">
      <w:pPr>
        <w:pStyle w:val="4"/>
        <w:spacing w:line="360" w:lineRule="auto"/>
        <w:ind w:firstLine="118"/>
        <w:rPr>
          <w:sz w:val="24"/>
          <w:szCs w:val="24"/>
        </w:rPr>
      </w:pPr>
      <w:bookmarkStart w:id="129" w:name="_Toc256000032"/>
      <w:r>
        <w:rPr>
          <w:rFonts w:hint="eastAsia" w:ascii="Times New Roman" w:hAnsi="Times New Roman"/>
          <w:sz w:val="24"/>
          <w:szCs w:val="24"/>
          <w:highlight w:val="white"/>
        </w:rPr>
        <w:t>1.9</w:t>
      </w:r>
      <w:r>
        <w:rPr>
          <w:rFonts w:hint="eastAsia"/>
          <w:sz w:val="24"/>
          <w:szCs w:val="24"/>
          <w:highlight w:val="white"/>
        </w:rPr>
        <w:t xml:space="preserve"> 踏勘现场</w:t>
      </w:r>
      <w:bookmarkEnd w:id="129"/>
    </w:p>
    <w:p w14:paraId="202710B5">
      <w:pPr>
        <w:spacing w:line="360" w:lineRule="auto"/>
        <w:ind w:firstLine="480" w:firstLineChars="200"/>
        <w:rPr>
          <w:sz w:val="24"/>
        </w:rPr>
      </w:pPr>
      <w:r>
        <w:rPr>
          <w:rFonts w:hint="eastAsia"/>
          <w:sz w:val="24"/>
          <w:highlight w:val="white"/>
        </w:rPr>
        <w:t xml:space="preserve">1.9.1 投标人须知前附表规定组织踏勘现场的，招标人按投标人须知前附表规定的时间、地点组织投标人踏勘项目现场。 </w:t>
      </w:r>
    </w:p>
    <w:p w14:paraId="3B7D9708">
      <w:pPr>
        <w:spacing w:line="360" w:lineRule="auto"/>
        <w:ind w:firstLine="480" w:firstLineChars="200"/>
        <w:rPr>
          <w:sz w:val="24"/>
        </w:rPr>
      </w:pPr>
      <w:r>
        <w:rPr>
          <w:rFonts w:hint="eastAsia"/>
          <w:sz w:val="24"/>
          <w:highlight w:val="white"/>
        </w:rPr>
        <w:t>1.9.2 投标人踏勘现场发生的费用自理。</w:t>
      </w:r>
    </w:p>
    <w:p w14:paraId="06B65653">
      <w:pPr>
        <w:spacing w:line="360" w:lineRule="auto"/>
        <w:ind w:firstLine="480" w:firstLineChars="200"/>
        <w:rPr>
          <w:sz w:val="24"/>
        </w:rPr>
      </w:pPr>
      <w:r>
        <w:rPr>
          <w:rFonts w:hint="eastAsia"/>
          <w:sz w:val="24"/>
          <w:highlight w:val="white"/>
        </w:rPr>
        <w:t>1.9.3 除招标人的原因外，投标人自行负责在踏勘现场中所发生的人员伤亡和财产损失。</w:t>
      </w:r>
    </w:p>
    <w:p w14:paraId="5505F25C">
      <w:pPr>
        <w:spacing w:line="360" w:lineRule="auto"/>
        <w:ind w:firstLine="480" w:firstLineChars="200"/>
        <w:rPr>
          <w:sz w:val="24"/>
        </w:rPr>
      </w:pPr>
      <w:r>
        <w:rPr>
          <w:rFonts w:hint="eastAsia"/>
          <w:sz w:val="24"/>
          <w:highlight w:val="white"/>
        </w:rPr>
        <w:t>1.9.4 招标人在踏勘现场中介绍的工程场地和相关的周边环境情况，供投标人在编制投标文件时参考，招标人不对投标人据此作出的判断和决策负责。</w:t>
      </w:r>
    </w:p>
    <w:p w14:paraId="2621CC16">
      <w:pPr>
        <w:pStyle w:val="4"/>
        <w:spacing w:line="360" w:lineRule="auto"/>
        <w:ind w:firstLine="118"/>
        <w:rPr>
          <w:sz w:val="24"/>
          <w:szCs w:val="24"/>
        </w:rPr>
      </w:pPr>
      <w:bookmarkStart w:id="130" w:name="_Toc256000033"/>
      <w:r>
        <w:rPr>
          <w:rFonts w:hint="eastAsia" w:ascii="Times New Roman" w:hAnsi="Times New Roman"/>
          <w:sz w:val="24"/>
          <w:szCs w:val="24"/>
          <w:highlight w:val="white"/>
        </w:rPr>
        <w:t>1.10</w:t>
      </w:r>
      <w:r>
        <w:rPr>
          <w:rFonts w:hint="eastAsia"/>
          <w:sz w:val="24"/>
          <w:szCs w:val="24"/>
          <w:highlight w:val="white"/>
        </w:rPr>
        <w:t xml:space="preserve"> 投标预备会</w:t>
      </w:r>
      <w:bookmarkEnd w:id="130"/>
    </w:p>
    <w:p w14:paraId="7A05EA41">
      <w:pPr>
        <w:spacing w:line="360" w:lineRule="auto"/>
        <w:ind w:firstLine="480" w:firstLineChars="200"/>
        <w:rPr>
          <w:sz w:val="24"/>
        </w:rPr>
      </w:pPr>
      <w:r>
        <w:rPr>
          <w:rFonts w:hint="eastAsia"/>
          <w:sz w:val="24"/>
          <w:highlight w:val="white"/>
        </w:rPr>
        <w:t>1.10.1 投标人须知前附表规定召开投标预备会的，招标人按投标人须知前附表规定的时间和地点召开投标预备会，澄清投标人提出的问题。</w:t>
      </w:r>
    </w:p>
    <w:p w14:paraId="006CB670">
      <w:pPr>
        <w:spacing w:line="360" w:lineRule="auto"/>
        <w:ind w:firstLine="480" w:firstLineChars="200"/>
        <w:rPr>
          <w:sz w:val="24"/>
        </w:rPr>
      </w:pPr>
      <w:r>
        <w:rPr>
          <w:rFonts w:hint="eastAsia"/>
          <w:sz w:val="24"/>
          <w:highlight w:val="white"/>
        </w:rPr>
        <w:t>1.10.2 投标人应在投标人须知前附表规定的时间前，以书面形式将提出的问题送达招标人，以便招标人在会议期间澄清。</w:t>
      </w:r>
    </w:p>
    <w:p w14:paraId="706FB1AF">
      <w:pPr>
        <w:spacing w:line="360" w:lineRule="auto"/>
        <w:ind w:firstLine="480" w:firstLineChars="200"/>
        <w:rPr>
          <w:sz w:val="24"/>
        </w:rPr>
      </w:pPr>
      <w:r>
        <w:rPr>
          <w:rFonts w:hint="eastAsia"/>
          <w:sz w:val="24"/>
          <w:highlight w:val="white"/>
        </w:rPr>
        <w:t>1.10.3 投标预备会后，招标人在投标人须知前附表规定的时间内，将对投标人所提问题的澄清，以书面形式通知所有购买招标文件的投标人。该澄清内容为招标文件的组成部分。</w:t>
      </w:r>
    </w:p>
    <w:p w14:paraId="0CF35248">
      <w:pPr>
        <w:pStyle w:val="4"/>
        <w:spacing w:line="360" w:lineRule="auto"/>
        <w:ind w:firstLine="118"/>
        <w:rPr>
          <w:sz w:val="24"/>
          <w:szCs w:val="24"/>
        </w:rPr>
      </w:pPr>
      <w:bookmarkStart w:id="131" w:name="_Toc256000034"/>
      <w:r>
        <w:rPr>
          <w:rFonts w:hint="eastAsia" w:ascii="Times New Roman" w:hAnsi="Times New Roman"/>
          <w:sz w:val="24"/>
          <w:szCs w:val="24"/>
          <w:highlight w:val="white"/>
        </w:rPr>
        <w:t xml:space="preserve">1.11 </w:t>
      </w:r>
      <w:r>
        <w:rPr>
          <w:rFonts w:hint="eastAsia"/>
          <w:sz w:val="24"/>
          <w:szCs w:val="24"/>
          <w:highlight w:val="white"/>
        </w:rPr>
        <w:t>分包</w:t>
      </w:r>
      <w:bookmarkEnd w:id="131"/>
    </w:p>
    <w:p w14:paraId="68AAA19E">
      <w:pPr>
        <w:spacing w:line="360" w:lineRule="auto"/>
        <w:ind w:firstLine="648" w:firstLineChars="270"/>
        <w:rPr>
          <w:rFonts w:hint="eastAsia"/>
          <w:sz w:val="24"/>
        </w:rPr>
      </w:pPr>
      <w:r>
        <w:rPr>
          <w:rFonts w:hint="eastAsia"/>
          <w:sz w:val="24"/>
          <w:highlight w:val="white"/>
        </w:rPr>
        <w:t>1.11.1 投标人须知前附表规定应当由分包人实施的非主体、非关键性工作，应符合投标人须知前附表规定的分包内容、分包金额和资质要求等限制性条件。</w:t>
      </w:r>
    </w:p>
    <w:p w14:paraId="6CC3D4B1">
      <w:pPr>
        <w:spacing w:line="360" w:lineRule="auto"/>
        <w:ind w:firstLine="648" w:firstLineChars="270"/>
        <w:rPr>
          <w:sz w:val="24"/>
        </w:rPr>
      </w:pPr>
      <w:r>
        <w:rPr>
          <w:rFonts w:hint="eastAsia"/>
          <w:sz w:val="24"/>
          <w:highlight w:val="white"/>
        </w:rPr>
        <w:t>1.11.2 投标人拟在中标后将中标项目的部分非主体、非关键性工作进行分包的，应符合投标人须知前附表规定的分包内容、分包金额和资质要求等限制性条件。</w:t>
      </w:r>
    </w:p>
    <w:p w14:paraId="37CF5E45">
      <w:pPr>
        <w:pStyle w:val="4"/>
        <w:spacing w:line="360" w:lineRule="auto"/>
        <w:ind w:firstLine="118"/>
        <w:rPr>
          <w:sz w:val="24"/>
          <w:szCs w:val="24"/>
        </w:rPr>
      </w:pPr>
      <w:bookmarkStart w:id="132" w:name="_Toc256000035"/>
      <w:r>
        <w:rPr>
          <w:rFonts w:hint="eastAsia" w:ascii="Times New Roman" w:hAnsi="Times New Roman"/>
          <w:sz w:val="24"/>
          <w:szCs w:val="24"/>
          <w:highlight w:val="white"/>
        </w:rPr>
        <w:t>1.12</w:t>
      </w:r>
      <w:r>
        <w:rPr>
          <w:rFonts w:hint="eastAsia"/>
          <w:sz w:val="24"/>
          <w:szCs w:val="24"/>
          <w:highlight w:val="white"/>
        </w:rPr>
        <w:t xml:space="preserve"> 偏离</w:t>
      </w:r>
      <w:bookmarkEnd w:id="132"/>
    </w:p>
    <w:p w14:paraId="06DD5236">
      <w:pPr>
        <w:spacing w:line="360" w:lineRule="auto"/>
        <w:ind w:firstLine="410" w:firstLineChars="171"/>
        <w:rPr>
          <w:rFonts w:hint="eastAsia"/>
          <w:sz w:val="24"/>
        </w:rPr>
      </w:pPr>
      <w:r>
        <w:rPr>
          <w:rFonts w:hint="eastAsia"/>
          <w:sz w:val="24"/>
          <w:highlight w:val="white"/>
        </w:rPr>
        <w:t>投标人须知前附表允许投标文件偏离招标文件某些要求的，偏离应当符合招标文件规定的偏离范围和幅度。</w:t>
      </w:r>
    </w:p>
    <w:p w14:paraId="4AD7515E">
      <w:pPr>
        <w:rPr>
          <w:rFonts w:hint="eastAsia"/>
          <w:color w:val="000080"/>
          <w:sz w:val="20"/>
          <w:highlight w:val="cyan"/>
        </w:rPr>
      </w:pPr>
      <w:bookmarkStart w:id="133" w:name="EB1ee63e656f3a42719dbf203769e77a38"/>
      <w:r>
        <w:rPr>
          <w:rFonts w:hint="eastAsia"/>
          <w:color w:val="000080"/>
          <w:sz w:val="20"/>
          <w:highlight w:val="white"/>
        </w:rPr>
        <w:t xml:space="preserve"> </w:t>
      </w:r>
      <w:bookmarkEnd w:id="133"/>
    </w:p>
    <w:p w14:paraId="62C04378">
      <w:pPr>
        <w:rPr>
          <w:highlight w:val="yellow"/>
        </w:rPr>
      </w:pPr>
      <w:bookmarkStart w:id="134" w:name="EBa43024a82a8947e08ab72872d3437cf7"/>
      <w:r>
        <w:rPr>
          <w:rFonts w:hint="eastAsia"/>
          <w:color w:val="000080"/>
          <w:sz w:val="20"/>
          <w:highlight w:val="white"/>
        </w:rPr>
        <w:t xml:space="preserve"> </w:t>
      </w:r>
      <w:bookmarkEnd w:id="134"/>
      <w:bookmarkStart w:id="135" w:name="EB443fbe8648214e6a99ec2ee464398ddb"/>
      <w:r>
        <w:rPr>
          <w:rFonts w:hint="eastAsia"/>
          <w:color w:val="000080"/>
          <w:sz w:val="20"/>
          <w:highlight w:val="white"/>
        </w:rPr>
        <w:t xml:space="preserve"> </w:t>
      </w:r>
      <w:bookmarkEnd w:id="135"/>
    </w:p>
    <w:p w14:paraId="70063924">
      <w:pPr>
        <w:pStyle w:val="3"/>
        <w:spacing w:line="360" w:lineRule="auto"/>
        <w:rPr>
          <w:sz w:val="24"/>
          <w:szCs w:val="24"/>
        </w:rPr>
      </w:pPr>
      <w:bookmarkStart w:id="136" w:name="_Toc256000036"/>
      <w:r>
        <w:rPr>
          <w:rFonts w:hint="eastAsia"/>
          <w:sz w:val="24"/>
          <w:szCs w:val="24"/>
          <w:highlight w:val="white"/>
        </w:rPr>
        <w:t>2. 招标文件</w:t>
      </w:r>
      <w:bookmarkEnd w:id="136"/>
    </w:p>
    <w:p w14:paraId="71F97D78">
      <w:pPr>
        <w:pStyle w:val="4"/>
        <w:spacing w:line="360" w:lineRule="auto"/>
        <w:ind w:firstLine="118"/>
        <w:rPr>
          <w:sz w:val="24"/>
          <w:szCs w:val="24"/>
        </w:rPr>
      </w:pPr>
      <w:bookmarkStart w:id="137" w:name="_Toc256000037"/>
      <w:r>
        <w:rPr>
          <w:rFonts w:hint="eastAsia" w:ascii="Times New Roman" w:hAnsi="Times New Roman"/>
          <w:sz w:val="24"/>
          <w:szCs w:val="24"/>
          <w:highlight w:val="white"/>
        </w:rPr>
        <w:t>2.1</w:t>
      </w:r>
      <w:r>
        <w:rPr>
          <w:rFonts w:hint="eastAsia"/>
          <w:sz w:val="24"/>
          <w:szCs w:val="24"/>
          <w:highlight w:val="white"/>
        </w:rPr>
        <w:t xml:space="preserve"> 招标文件的组成</w:t>
      </w:r>
      <w:bookmarkEnd w:id="137"/>
    </w:p>
    <w:p w14:paraId="344718F6">
      <w:pPr>
        <w:spacing w:line="360" w:lineRule="auto"/>
        <w:rPr>
          <w:sz w:val="24"/>
        </w:rPr>
      </w:pPr>
      <w:r>
        <w:rPr>
          <w:rFonts w:hint="eastAsia"/>
          <w:sz w:val="24"/>
          <w:highlight w:val="white"/>
        </w:rPr>
        <w:t>　　本招标文件包括：</w:t>
      </w:r>
    </w:p>
    <w:p w14:paraId="604CD4D3">
      <w:pPr>
        <w:spacing w:line="360" w:lineRule="auto"/>
        <w:ind w:firstLine="410" w:firstLineChars="171"/>
        <w:rPr>
          <w:sz w:val="24"/>
        </w:rPr>
      </w:pPr>
      <w:r>
        <w:rPr>
          <w:rFonts w:hint="eastAsia"/>
          <w:sz w:val="24"/>
          <w:highlight w:val="white"/>
        </w:rPr>
        <w:t>（1）招标公告（或投标邀请书）；</w:t>
      </w:r>
    </w:p>
    <w:p w14:paraId="33AB046F">
      <w:pPr>
        <w:spacing w:line="360" w:lineRule="auto"/>
        <w:ind w:firstLine="410" w:firstLineChars="171"/>
        <w:rPr>
          <w:sz w:val="24"/>
        </w:rPr>
      </w:pPr>
      <w:r>
        <w:rPr>
          <w:rFonts w:hint="eastAsia"/>
          <w:sz w:val="24"/>
          <w:highlight w:val="white"/>
        </w:rPr>
        <w:t>（2）投标人须知；</w:t>
      </w:r>
    </w:p>
    <w:p w14:paraId="06BA20FD">
      <w:pPr>
        <w:spacing w:line="360" w:lineRule="auto"/>
        <w:ind w:firstLine="410" w:firstLineChars="171"/>
        <w:rPr>
          <w:sz w:val="24"/>
        </w:rPr>
      </w:pPr>
      <w:r>
        <w:rPr>
          <w:rFonts w:hint="eastAsia"/>
          <w:sz w:val="24"/>
          <w:highlight w:val="white"/>
        </w:rPr>
        <w:t>（3）评标办法；</w:t>
      </w:r>
    </w:p>
    <w:p w14:paraId="42AA628C">
      <w:pPr>
        <w:spacing w:line="360" w:lineRule="auto"/>
        <w:ind w:firstLine="410" w:firstLineChars="171"/>
        <w:rPr>
          <w:rFonts w:hint="eastAsia"/>
          <w:sz w:val="24"/>
        </w:rPr>
      </w:pPr>
      <w:r>
        <w:rPr>
          <w:rFonts w:hint="eastAsia"/>
          <w:sz w:val="24"/>
          <w:highlight w:val="white"/>
        </w:rPr>
        <w:t>（4）合同条款及格式；</w:t>
      </w:r>
    </w:p>
    <w:p w14:paraId="6EA4B504">
      <w:pPr>
        <w:spacing w:line="360" w:lineRule="auto"/>
        <w:ind w:firstLine="410" w:firstLineChars="171"/>
        <w:rPr>
          <w:rFonts w:hint="eastAsia"/>
          <w:sz w:val="24"/>
        </w:rPr>
      </w:pPr>
      <w:r>
        <w:rPr>
          <w:rFonts w:hint="eastAsia"/>
          <w:sz w:val="24"/>
          <w:highlight w:val="white"/>
        </w:rPr>
        <w:t>（5）发包人要求；</w:t>
      </w:r>
    </w:p>
    <w:p w14:paraId="023E6327">
      <w:pPr>
        <w:spacing w:line="360" w:lineRule="auto"/>
        <w:ind w:firstLine="410" w:firstLineChars="171"/>
        <w:rPr>
          <w:sz w:val="24"/>
        </w:rPr>
      </w:pPr>
      <w:r>
        <w:rPr>
          <w:rFonts w:hint="eastAsia"/>
          <w:sz w:val="24"/>
          <w:highlight w:val="white"/>
        </w:rPr>
        <w:t>（6）发包人提供的资料和条件；</w:t>
      </w:r>
    </w:p>
    <w:p w14:paraId="5AB5E260">
      <w:pPr>
        <w:spacing w:line="360" w:lineRule="auto"/>
        <w:ind w:firstLine="410" w:firstLineChars="171"/>
        <w:rPr>
          <w:sz w:val="24"/>
        </w:rPr>
      </w:pPr>
      <w:r>
        <w:rPr>
          <w:rFonts w:hint="eastAsia"/>
          <w:sz w:val="24"/>
          <w:highlight w:val="white"/>
        </w:rPr>
        <w:t>（7）投标文件格式；</w:t>
      </w:r>
    </w:p>
    <w:p w14:paraId="543966C3">
      <w:pPr>
        <w:spacing w:line="360" w:lineRule="auto"/>
        <w:ind w:firstLine="410" w:firstLineChars="171"/>
        <w:rPr>
          <w:sz w:val="24"/>
        </w:rPr>
      </w:pPr>
      <w:r>
        <w:rPr>
          <w:rFonts w:hint="eastAsia"/>
          <w:sz w:val="24"/>
          <w:highlight w:val="white"/>
        </w:rPr>
        <w:t>（8）投标人须知前附表规定的其他资料。</w:t>
      </w:r>
    </w:p>
    <w:p w14:paraId="779D2A40">
      <w:pPr>
        <w:spacing w:line="360" w:lineRule="auto"/>
        <w:ind w:firstLine="480" w:firstLineChars="200"/>
        <w:rPr>
          <w:sz w:val="24"/>
        </w:rPr>
      </w:pPr>
      <w:r>
        <w:rPr>
          <w:rFonts w:hint="eastAsia"/>
          <w:sz w:val="24"/>
          <w:highlight w:val="white"/>
        </w:rPr>
        <w:t>根据本章第2.2款和第2.3款对招标文件所作的澄清、修改，构成招标文件的组成部分。</w:t>
      </w:r>
    </w:p>
    <w:p w14:paraId="2E7604F1">
      <w:pPr>
        <w:pStyle w:val="4"/>
        <w:spacing w:line="360" w:lineRule="auto"/>
        <w:ind w:firstLine="118"/>
        <w:rPr>
          <w:sz w:val="24"/>
          <w:szCs w:val="24"/>
        </w:rPr>
      </w:pPr>
      <w:bookmarkStart w:id="138" w:name="_Toc256000038"/>
      <w:r>
        <w:rPr>
          <w:rFonts w:hint="eastAsia" w:ascii="Times New Roman" w:hAnsi="Times New Roman"/>
          <w:sz w:val="24"/>
          <w:szCs w:val="24"/>
          <w:highlight w:val="white"/>
        </w:rPr>
        <w:t>2.2</w:t>
      </w:r>
      <w:r>
        <w:rPr>
          <w:rFonts w:hint="eastAsia"/>
          <w:sz w:val="24"/>
          <w:szCs w:val="24"/>
          <w:highlight w:val="white"/>
        </w:rPr>
        <w:t xml:space="preserve"> 招标文件的澄清</w:t>
      </w:r>
      <w:bookmarkEnd w:id="138"/>
    </w:p>
    <w:p w14:paraId="69DD2E64">
      <w:pPr>
        <w:spacing w:line="360" w:lineRule="auto"/>
        <w:ind w:firstLine="480" w:firstLineChars="200"/>
        <w:rPr>
          <w:sz w:val="24"/>
        </w:rPr>
      </w:pPr>
      <w:r>
        <w:rPr>
          <w:rFonts w:hint="eastAsia"/>
          <w:sz w:val="24"/>
          <w:highlight w:val="white"/>
        </w:rPr>
        <w:t>2.2.1 投标人</w:t>
      </w:r>
      <w:r>
        <w:rPr>
          <w:rFonts w:hint="eastAsia" w:ascii="宋体" w:hAnsi="宋体"/>
          <w:sz w:val="24"/>
          <w:highlight w:val="white"/>
        </w:rPr>
        <w:t>如有疑问，应在投标人须知前附表规定的时间前通过公共资源交易平台向招标人提出需澄清的问题，要求招标人对招标文件予以澄清</w:t>
      </w:r>
      <w:r>
        <w:rPr>
          <w:rFonts w:hint="eastAsia"/>
          <w:sz w:val="24"/>
          <w:highlight w:val="white"/>
        </w:rPr>
        <w:t>。</w:t>
      </w:r>
    </w:p>
    <w:p w14:paraId="6B4D1DD9">
      <w:pPr>
        <w:spacing w:line="360" w:lineRule="auto"/>
        <w:ind w:firstLine="480" w:firstLineChars="200"/>
        <w:rPr>
          <w:sz w:val="24"/>
        </w:rPr>
      </w:pPr>
      <w:r>
        <w:rPr>
          <w:rFonts w:hint="eastAsia"/>
          <w:sz w:val="24"/>
          <w:highlight w:val="white"/>
        </w:rPr>
        <w:t xml:space="preserve">2.2.2 </w:t>
      </w:r>
      <w:r>
        <w:rPr>
          <w:rFonts w:hint="eastAsia" w:ascii="宋体" w:hAnsi="宋体"/>
          <w:sz w:val="24"/>
          <w:highlight w:val="white"/>
        </w:rPr>
        <w:t>招标文件的澄清将在投标人须知前附表规定的投标截止时间15天前在公共资源交易平台中发布</w:t>
      </w:r>
      <w:r>
        <w:rPr>
          <w:rFonts w:hint="eastAsia"/>
          <w:sz w:val="24"/>
          <w:highlight w:val="white"/>
        </w:rPr>
        <w:t>。澄清文件发出的时间距投标人须知前附表规定的投标截止时间不足15天的，并且澄清内容影响投标文件编制的，将相应延长投标截止时间。</w:t>
      </w:r>
    </w:p>
    <w:p w14:paraId="5E29A83E">
      <w:pPr>
        <w:spacing w:line="360" w:lineRule="auto"/>
        <w:ind w:firstLine="480" w:firstLineChars="200"/>
        <w:rPr>
          <w:sz w:val="24"/>
        </w:rPr>
      </w:pPr>
      <w:r>
        <w:rPr>
          <w:rFonts w:hint="eastAsia"/>
          <w:sz w:val="24"/>
          <w:highlight w:val="white"/>
        </w:rPr>
        <w:t>2.2.3 投标人收到澄清后的确认：见投标人须知前附表。</w:t>
      </w:r>
    </w:p>
    <w:p w14:paraId="2AF5B248">
      <w:pPr>
        <w:pStyle w:val="4"/>
        <w:spacing w:line="360" w:lineRule="auto"/>
        <w:ind w:firstLine="118"/>
        <w:rPr>
          <w:sz w:val="24"/>
          <w:szCs w:val="24"/>
        </w:rPr>
      </w:pPr>
      <w:bookmarkStart w:id="139" w:name="_Toc256000039"/>
      <w:r>
        <w:rPr>
          <w:rFonts w:hint="eastAsia" w:ascii="Times New Roman" w:hAnsi="Times New Roman"/>
          <w:sz w:val="24"/>
          <w:szCs w:val="24"/>
          <w:highlight w:val="white"/>
        </w:rPr>
        <w:t>2.3</w:t>
      </w:r>
      <w:r>
        <w:rPr>
          <w:rFonts w:hint="eastAsia"/>
          <w:sz w:val="24"/>
          <w:szCs w:val="24"/>
          <w:highlight w:val="white"/>
        </w:rPr>
        <w:t xml:space="preserve"> 招标文件的修改</w:t>
      </w:r>
      <w:bookmarkEnd w:id="139"/>
    </w:p>
    <w:p w14:paraId="3D6FA7F1">
      <w:pPr>
        <w:spacing w:line="360" w:lineRule="auto"/>
        <w:ind w:firstLine="480" w:firstLineChars="200"/>
        <w:rPr>
          <w:sz w:val="24"/>
        </w:rPr>
      </w:pPr>
      <w:r>
        <w:rPr>
          <w:rFonts w:hint="eastAsia"/>
          <w:sz w:val="24"/>
          <w:highlight w:val="white"/>
        </w:rPr>
        <w:t xml:space="preserve">2.3.1 </w:t>
      </w:r>
      <w:r>
        <w:rPr>
          <w:rFonts w:hint="eastAsia" w:ascii="宋体" w:hAnsi="宋体"/>
          <w:sz w:val="24"/>
          <w:highlight w:val="white"/>
        </w:rPr>
        <w:t>在投标截止时间15天前，招标人可以修改招标文件，并在公共资源交易平台中发布。如果修改招标文件的时间距投标截止时间不足15天，相应延长投标截止时间</w:t>
      </w:r>
      <w:r>
        <w:rPr>
          <w:rFonts w:hint="eastAsia"/>
          <w:sz w:val="24"/>
          <w:highlight w:val="white"/>
        </w:rPr>
        <w:t xml:space="preserve">。 </w:t>
      </w:r>
    </w:p>
    <w:p w14:paraId="5AA61FA1">
      <w:pPr>
        <w:spacing w:line="360" w:lineRule="auto"/>
        <w:ind w:firstLine="480" w:firstLineChars="200"/>
        <w:rPr>
          <w:rFonts w:hint="eastAsia"/>
          <w:sz w:val="24"/>
        </w:rPr>
      </w:pPr>
      <w:r>
        <w:rPr>
          <w:rFonts w:hint="eastAsia"/>
          <w:sz w:val="24"/>
          <w:highlight w:val="white"/>
        </w:rPr>
        <w:t>2.3.2 投标人收到修改的确认：见投标人须知前附表。</w:t>
      </w:r>
    </w:p>
    <w:p w14:paraId="37837C2B">
      <w:pPr>
        <w:rPr>
          <w:rFonts w:hint="eastAsia"/>
          <w:color w:val="000080"/>
          <w:sz w:val="20"/>
          <w:highlight w:val="cyan"/>
        </w:rPr>
      </w:pPr>
      <w:bookmarkStart w:id="140" w:name="EB6d7536edf6134fc4bc71e6ae6f32cfad"/>
      <w:r>
        <w:rPr>
          <w:rFonts w:hint="eastAsia"/>
          <w:color w:val="000080"/>
          <w:sz w:val="20"/>
          <w:highlight w:val="white"/>
        </w:rPr>
        <w:t xml:space="preserve"> </w:t>
      </w:r>
      <w:bookmarkEnd w:id="140"/>
    </w:p>
    <w:p w14:paraId="5444A301">
      <w:pPr>
        <w:rPr>
          <w:highlight w:val="yellow"/>
        </w:rPr>
      </w:pPr>
      <w:bookmarkStart w:id="141" w:name="EB6c96b7f7ff6a4f5ea8e16e161460e28e"/>
      <w:r>
        <w:rPr>
          <w:rFonts w:hint="eastAsia"/>
          <w:color w:val="000080"/>
          <w:sz w:val="20"/>
          <w:highlight w:val="white"/>
        </w:rPr>
        <w:t xml:space="preserve"> </w:t>
      </w:r>
      <w:bookmarkEnd w:id="141"/>
      <w:bookmarkStart w:id="142" w:name="EB74d577e5440e4f4c8913cec3f7e6c15f"/>
      <w:r>
        <w:rPr>
          <w:rFonts w:hint="eastAsia"/>
          <w:color w:val="000080"/>
          <w:sz w:val="20"/>
          <w:highlight w:val="white"/>
        </w:rPr>
        <w:t xml:space="preserve"> </w:t>
      </w:r>
      <w:bookmarkEnd w:id="142"/>
    </w:p>
    <w:p w14:paraId="7D1D8438">
      <w:pPr>
        <w:pStyle w:val="3"/>
        <w:spacing w:line="360" w:lineRule="auto"/>
        <w:rPr>
          <w:sz w:val="24"/>
          <w:szCs w:val="24"/>
        </w:rPr>
      </w:pPr>
      <w:bookmarkStart w:id="143" w:name="_Toc256000040"/>
      <w:r>
        <w:rPr>
          <w:rFonts w:hint="eastAsia"/>
          <w:sz w:val="24"/>
          <w:szCs w:val="24"/>
          <w:highlight w:val="white"/>
        </w:rPr>
        <w:t>3. 投标文件</w:t>
      </w:r>
      <w:bookmarkEnd w:id="143"/>
    </w:p>
    <w:p w14:paraId="3008DB65">
      <w:pPr>
        <w:pStyle w:val="4"/>
        <w:spacing w:line="360" w:lineRule="auto"/>
        <w:ind w:firstLine="118"/>
        <w:rPr>
          <w:sz w:val="24"/>
          <w:szCs w:val="24"/>
        </w:rPr>
      </w:pPr>
      <w:bookmarkStart w:id="144" w:name="_Toc256000041"/>
      <w:r>
        <w:rPr>
          <w:rFonts w:hint="eastAsia" w:ascii="Times New Roman" w:hAnsi="Times New Roman"/>
          <w:sz w:val="24"/>
          <w:szCs w:val="24"/>
          <w:highlight w:val="white"/>
        </w:rPr>
        <w:t>3.1</w:t>
      </w:r>
      <w:r>
        <w:rPr>
          <w:rFonts w:hint="eastAsia"/>
          <w:sz w:val="24"/>
          <w:szCs w:val="24"/>
          <w:highlight w:val="white"/>
        </w:rPr>
        <w:t xml:space="preserve"> 投标文件的组成</w:t>
      </w:r>
      <w:bookmarkEnd w:id="144"/>
    </w:p>
    <w:p w14:paraId="770E87C6">
      <w:pPr>
        <w:spacing w:line="360" w:lineRule="auto"/>
        <w:rPr>
          <w:sz w:val="24"/>
        </w:rPr>
      </w:pPr>
      <w:r>
        <w:rPr>
          <w:rFonts w:hint="eastAsia"/>
          <w:sz w:val="24"/>
          <w:highlight w:val="white"/>
        </w:rPr>
        <w:t>　　3.1.1 投标文件应包括下列内容：</w:t>
      </w:r>
    </w:p>
    <w:p w14:paraId="39FA65C9">
      <w:pPr>
        <w:spacing w:line="360" w:lineRule="auto"/>
        <w:ind w:firstLine="410" w:firstLineChars="171"/>
        <w:rPr>
          <w:sz w:val="24"/>
        </w:rPr>
      </w:pPr>
      <w:r>
        <w:rPr>
          <w:rFonts w:hint="eastAsia"/>
          <w:sz w:val="24"/>
          <w:highlight w:val="white"/>
        </w:rPr>
        <w:t>（1）投标函及投标函附录；</w:t>
      </w:r>
    </w:p>
    <w:p w14:paraId="2C2C9CDE">
      <w:pPr>
        <w:spacing w:line="360" w:lineRule="auto"/>
        <w:ind w:firstLine="410" w:firstLineChars="171"/>
        <w:rPr>
          <w:sz w:val="24"/>
        </w:rPr>
      </w:pPr>
      <w:r>
        <w:rPr>
          <w:rFonts w:hint="eastAsia"/>
          <w:sz w:val="24"/>
          <w:highlight w:val="white"/>
        </w:rPr>
        <w:t>（2）法定代表人身份证明或附有法定代表人身份证明的授权委托书；</w:t>
      </w:r>
    </w:p>
    <w:p w14:paraId="02A71FC6">
      <w:pPr>
        <w:spacing w:line="360" w:lineRule="auto"/>
        <w:ind w:firstLine="410" w:firstLineChars="171"/>
        <w:rPr>
          <w:sz w:val="24"/>
        </w:rPr>
      </w:pPr>
      <w:r>
        <w:rPr>
          <w:rFonts w:hint="eastAsia"/>
          <w:sz w:val="24"/>
          <w:highlight w:val="white"/>
        </w:rPr>
        <w:t>（3）联合体协议书；</w:t>
      </w:r>
    </w:p>
    <w:p w14:paraId="6FB17F17">
      <w:pPr>
        <w:spacing w:line="360" w:lineRule="auto"/>
        <w:ind w:firstLine="410" w:firstLineChars="171"/>
        <w:rPr>
          <w:rFonts w:hint="eastAsia"/>
          <w:sz w:val="24"/>
        </w:rPr>
      </w:pPr>
      <w:r>
        <w:rPr>
          <w:rFonts w:hint="eastAsia"/>
          <w:sz w:val="24"/>
          <w:highlight w:val="white"/>
        </w:rPr>
        <w:t>（4）投标保证金；</w:t>
      </w:r>
    </w:p>
    <w:p w14:paraId="3AABC5EB">
      <w:pPr>
        <w:spacing w:line="360" w:lineRule="auto"/>
        <w:ind w:firstLine="410" w:firstLineChars="171"/>
        <w:rPr>
          <w:sz w:val="24"/>
        </w:rPr>
      </w:pPr>
      <w:r>
        <w:rPr>
          <w:rFonts w:hint="eastAsia"/>
          <w:sz w:val="24"/>
          <w:highlight w:val="white"/>
        </w:rPr>
        <w:t>（5）价格清单；</w:t>
      </w:r>
    </w:p>
    <w:p w14:paraId="3ED91D98">
      <w:pPr>
        <w:spacing w:line="360" w:lineRule="auto"/>
        <w:ind w:firstLine="410" w:firstLineChars="171"/>
        <w:rPr>
          <w:rFonts w:hint="eastAsia"/>
          <w:sz w:val="24"/>
        </w:rPr>
      </w:pPr>
      <w:r>
        <w:rPr>
          <w:rFonts w:hint="eastAsia"/>
          <w:sz w:val="24"/>
          <w:highlight w:val="white"/>
        </w:rPr>
        <w:t>（6）承包人建议书；</w:t>
      </w:r>
    </w:p>
    <w:p w14:paraId="4A556434">
      <w:pPr>
        <w:spacing w:line="360" w:lineRule="auto"/>
        <w:ind w:firstLine="410" w:firstLineChars="171"/>
        <w:rPr>
          <w:rFonts w:hint="eastAsia"/>
          <w:sz w:val="24"/>
        </w:rPr>
      </w:pPr>
      <w:r>
        <w:rPr>
          <w:rFonts w:hint="eastAsia"/>
          <w:sz w:val="24"/>
          <w:highlight w:val="white"/>
        </w:rPr>
        <w:t>（7）承包人实施计划；</w:t>
      </w:r>
    </w:p>
    <w:p w14:paraId="60ACCC7D">
      <w:pPr>
        <w:spacing w:line="360" w:lineRule="auto"/>
        <w:ind w:firstLine="410" w:firstLineChars="171"/>
        <w:rPr>
          <w:sz w:val="24"/>
        </w:rPr>
      </w:pPr>
      <w:r>
        <w:rPr>
          <w:rFonts w:hint="eastAsia"/>
          <w:sz w:val="24"/>
          <w:highlight w:val="white"/>
        </w:rPr>
        <w:t>（8）资格审查资料；</w:t>
      </w:r>
    </w:p>
    <w:p w14:paraId="1A602873">
      <w:pPr>
        <w:spacing w:line="360" w:lineRule="auto"/>
        <w:ind w:firstLine="410" w:firstLineChars="171"/>
        <w:rPr>
          <w:sz w:val="24"/>
        </w:rPr>
      </w:pPr>
      <w:r>
        <w:rPr>
          <w:rFonts w:hint="eastAsia"/>
          <w:sz w:val="24"/>
          <w:highlight w:val="white"/>
        </w:rPr>
        <w:t>（9）投标人须知前附表规定的其他资料。</w:t>
      </w:r>
    </w:p>
    <w:p w14:paraId="49364D85">
      <w:pPr>
        <w:spacing w:line="360" w:lineRule="auto"/>
        <w:ind w:firstLine="410" w:firstLineChars="171"/>
        <w:rPr>
          <w:sz w:val="24"/>
        </w:rPr>
      </w:pPr>
      <w:r>
        <w:rPr>
          <w:rFonts w:hint="eastAsia"/>
          <w:sz w:val="24"/>
          <w:highlight w:val="white"/>
        </w:rPr>
        <w:t xml:space="preserve">3.1.2 投标人须知前附表规定不接受联合体投标的，或投标人没有组成联合体的，投标文件不包括本章第3.1.1（3）目所指的联合体协议书。 </w:t>
      </w:r>
    </w:p>
    <w:p w14:paraId="2EC14DEE">
      <w:pPr>
        <w:pStyle w:val="4"/>
        <w:spacing w:line="360" w:lineRule="auto"/>
        <w:ind w:firstLine="118"/>
        <w:rPr>
          <w:sz w:val="24"/>
          <w:szCs w:val="24"/>
        </w:rPr>
      </w:pPr>
      <w:bookmarkStart w:id="145" w:name="_Toc256000042"/>
      <w:r>
        <w:rPr>
          <w:rFonts w:hint="eastAsia" w:ascii="Times New Roman" w:hAnsi="Times New Roman"/>
          <w:sz w:val="24"/>
          <w:szCs w:val="24"/>
          <w:highlight w:val="white"/>
        </w:rPr>
        <w:t>3.2</w:t>
      </w:r>
      <w:r>
        <w:rPr>
          <w:rFonts w:hint="eastAsia"/>
          <w:sz w:val="24"/>
          <w:szCs w:val="24"/>
          <w:highlight w:val="white"/>
        </w:rPr>
        <w:t xml:space="preserve"> 投标报价</w:t>
      </w:r>
      <w:bookmarkEnd w:id="145"/>
      <w:r>
        <w:rPr>
          <w:rFonts w:hint="eastAsia"/>
          <w:sz w:val="24"/>
          <w:szCs w:val="24"/>
          <w:highlight w:val="white"/>
        </w:rPr>
        <w:t xml:space="preserve"> </w:t>
      </w:r>
    </w:p>
    <w:p w14:paraId="160E89EC">
      <w:pPr>
        <w:spacing w:line="360" w:lineRule="auto"/>
        <w:ind w:firstLine="480" w:firstLineChars="200"/>
        <w:rPr>
          <w:rFonts w:hint="eastAsia"/>
          <w:sz w:val="24"/>
        </w:rPr>
      </w:pPr>
      <w:r>
        <w:rPr>
          <w:rFonts w:hint="eastAsia"/>
          <w:sz w:val="24"/>
          <w:highlight w:val="white"/>
        </w:rPr>
        <w:t>3.2.1 投标人应按第七章“投标文件格式”的要求填写价格清单。</w:t>
      </w:r>
    </w:p>
    <w:p w14:paraId="1C3A79D0">
      <w:pPr>
        <w:spacing w:line="360" w:lineRule="auto"/>
        <w:ind w:firstLine="480" w:firstLineChars="200"/>
        <w:rPr>
          <w:rFonts w:hint="eastAsia"/>
          <w:sz w:val="24"/>
        </w:rPr>
      </w:pPr>
      <w:r>
        <w:rPr>
          <w:rFonts w:hint="eastAsia"/>
          <w:sz w:val="24"/>
          <w:highlight w:val="white"/>
        </w:rPr>
        <w:t>3.2.2 投标人应充分了解施工场地的</w:t>
      </w:r>
      <w:r>
        <w:rPr>
          <w:sz w:val="24"/>
          <w:highlight w:val="white"/>
        </w:rPr>
        <w:t>位置、周边</w:t>
      </w:r>
      <w:r>
        <w:rPr>
          <w:rFonts w:hint="eastAsia"/>
          <w:sz w:val="24"/>
          <w:highlight w:val="white"/>
        </w:rPr>
        <w:t>环境</w:t>
      </w:r>
      <w:r>
        <w:rPr>
          <w:sz w:val="24"/>
          <w:highlight w:val="white"/>
        </w:rPr>
        <w:t>、道路、装卸、保管、安装限制</w:t>
      </w:r>
      <w:r>
        <w:rPr>
          <w:rFonts w:hint="eastAsia"/>
          <w:sz w:val="24"/>
          <w:highlight w:val="white"/>
        </w:rPr>
        <w:t>以</w:t>
      </w:r>
      <w:r>
        <w:rPr>
          <w:sz w:val="24"/>
          <w:highlight w:val="white"/>
        </w:rPr>
        <w:t>及影响</w:t>
      </w:r>
      <w:r>
        <w:rPr>
          <w:rFonts w:hint="eastAsia"/>
          <w:sz w:val="24"/>
          <w:highlight w:val="white"/>
        </w:rPr>
        <w:t>投标报价的其他要素。投标人</w:t>
      </w:r>
      <w:r>
        <w:rPr>
          <w:sz w:val="24"/>
          <w:highlight w:val="white"/>
        </w:rPr>
        <w:t>根据</w:t>
      </w:r>
      <w:r>
        <w:rPr>
          <w:rFonts w:hint="eastAsia"/>
          <w:sz w:val="24"/>
          <w:highlight w:val="white"/>
        </w:rPr>
        <w:t>投标</w:t>
      </w:r>
      <w:r>
        <w:rPr>
          <w:sz w:val="24"/>
          <w:highlight w:val="white"/>
        </w:rPr>
        <w:t>设计</w:t>
      </w:r>
      <w:r>
        <w:rPr>
          <w:rFonts w:hint="eastAsia"/>
          <w:sz w:val="24"/>
          <w:highlight w:val="white"/>
        </w:rPr>
        <w:t>，结合</w:t>
      </w:r>
      <w:r>
        <w:rPr>
          <w:sz w:val="24"/>
          <w:highlight w:val="white"/>
        </w:rPr>
        <w:t>市场情况进行投标报价。</w:t>
      </w:r>
    </w:p>
    <w:p w14:paraId="7B711563">
      <w:pPr>
        <w:spacing w:line="360" w:lineRule="auto"/>
        <w:ind w:firstLine="480" w:firstLineChars="200"/>
        <w:rPr>
          <w:rFonts w:hint="eastAsia"/>
          <w:sz w:val="24"/>
        </w:rPr>
      </w:pPr>
      <w:r>
        <w:rPr>
          <w:rFonts w:hint="eastAsia"/>
          <w:sz w:val="24"/>
          <w:highlight w:val="white"/>
        </w:rPr>
        <w:t>3.2.3 投标人在投标截止时间前修改投标函中的投标报价总额，应同时修改投标文件“价格清单”中的相应报价，投标报价总额为各分项金额之和。此修改须符合本章第4.3款的有关要求。</w:t>
      </w:r>
    </w:p>
    <w:p w14:paraId="04816620">
      <w:pPr>
        <w:spacing w:line="360" w:lineRule="auto"/>
        <w:ind w:firstLine="480" w:firstLineChars="200"/>
        <w:rPr>
          <w:rFonts w:hint="eastAsia"/>
          <w:sz w:val="24"/>
        </w:rPr>
      </w:pPr>
      <w:r>
        <w:rPr>
          <w:rFonts w:hint="eastAsia"/>
          <w:sz w:val="24"/>
          <w:highlight w:val="white"/>
        </w:rPr>
        <w:t>3.2.4 招标人设有最高投标限价的，投标人的投标报价不得超过最高投标限价，最高投标限价或其计算方法在投标人须知前附表中载明。</w:t>
      </w:r>
    </w:p>
    <w:p w14:paraId="53B3A0C4">
      <w:pPr>
        <w:spacing w:line="360" w:lineRule="auto"/>
        <w:ind w:firstLine="480" w:firstLineChars="200"/>
        <w:rPr>
          <w:sz w:val="24"/>
        </w:rPr>
      </w:pPr>
      <w:r>
        <w:rPr>
          <w:rFonts w:hint="eastAsia"/>
          <w:sz w:val="24"/>
          <w:highlight w:val="white"/>
        </w:rPr>
        <w:t>3.2.5 投标报价的其他要求见投标人须知前附表。</w:t>
      </w:r>
    </w:p>
    <w:p w14:paraId="72242CC3">
      <w:pPr>
        <w:pStyle w:val="4"/>
        <w:spacing w:line="360" w:lineRule="auto"/>
        <w:ind w:firstLine="118"/>
        <w:rPr>
          <w:sz w:val="24"/>
          <w:szCs w:val="24"/>
        </w:rPr>
      </w:pPr>
      <w:bookmarkStart w:id="146" w:name="_Toc256000043"/>
      <w:r>
        <w:rPr>
          <w:rFonts w:hint="eastAsia" w:ascii="Times New Roman" w:hAnsi="Times New Roman"/>
          <w:sz w:val="24"/>
          <w:szCs w:val="24"/>
          <w:highlight w:val="white"/>
        </w:rPr>
        <w:t>3.3</w:t>
      </w:r>
      <w:r>
        <w:rPr>
          <w:rFonts w:hint="eastAsia"/>
          <w:sz w:val="24"/>
          <w:szCs w:val="24"/>
          <w:highlight w:val="white"/>
        </w:rPr>
        <w:t xml:space="preserve"> 投标有效期</w:t>
      </w:r>
      <w:bookmarkEnd w:id="146"/>
    </w:p>
    <w:p w14:paraId="08E86F0C">
      <w:pPr>
        <w:spacing w:line="360" w:lineRule="auto"/>
        <w:ind w:firstLine="480" w:firstLineChars="200"/>
        <w:rPr>
          <w:rFonts w:hint="eastAsia"/>
          <w:sz w:val="24"/>
        </w:rPr>
      </w:pPr>
      <w:r>
        <w:rPr>
          <w:rFonts w:hint="eastAsia"/>
          <w:sz w:val="24"/>
          <w:highlight w:val="white"/>
        </w:rPr>
        <w:t>3.3.1 除投标人须知前附表另有规定外，投标有效期为120天。</w:t>
      </w:r>
    </w:p>
    <w:p w14:paraId="70BF862B">
      <w:pPr>
        <w:spacing w:line="360" w:lineRule="auto"/>
        <w:ind w:firstLine="480" w:firstLineChars="200"/>
        <w:rPr>
          <w:sz w:val="24"/>
        </w:rPr>
      </w:pPr>
      <w:r>
        <w:rPr>
          <w:rFonts w:hint="eastAsia"/>
          <w:sz w:val="24"/>
          <w:highlight w:val="white"/>
        </w:rPr>
        <w:t>3.3.2 在投标有效期内，投标人撤销或修改其投标文件的，应承担招标文件和法律规定的责任。</w:t>
      </w:r>
    </w:p>
    <w:p w14:paraId="1E2A19C4">
      <w:pPr>
        <w:spacing w:line="360" w:lineRule="auto"/>
        <w:ind w:firstLine="480" w:firstLineChars="200"/>
        <w:rPr>
          <w:sz w:val="24"/>
        </w:rPr>
      </w:pPr>
      <w:r>
        <w:rPr>
          <w:rFonts w:hint="eastAsia"/>
          <w:sz w:val="24"/>
          <w:highlight w:val="white"/>
        </w:rP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2CBC0019">
      <w:pPr>
        <w:pStyle w:val="4"/>
        <w:spacing w:line="360" w:lineRule="auto"/>
        <w:ind w:firstLine="118"/>
        <w:rPr>
          <w:sz w:val="24"/>
          <w:szCs w:val="24"/>
        </w:rPr>
      </w:pPr>
      <w:bookmarkStart w:id="147" w:name="_Toc256000044"/>
      <w:r>
        <w:rPr>
          <w:rFonts w:hint="eastAsia" w:ascii="Times New Roman" w:hAnsi="Times New Roman"/>
          <w:sz w:val="24"/>
          <w:szCs w:val="24"/>
          <w:highlight w:val="white"/>
        </w:rPr>
        <w:t>3.4</w:t>
      </w:r>
      <w:r>
        <w:rPr>
          <w:rFonts w:hint="eastAsia"/>
          <w:sz w:val="24"/>
          <w:szCs w:val="24"/>
          <w:highlight w:val="white"/>
        </w:rPr>
        <w:t xml:space="preserve"> 投标保证金</w:t>
      </w:r>
      <w:bookmarkEnd w:id="147"/>
    </w:p>
    <w:p w14:paraId="41BE56FA">
      <w:pPr>
        <w:spacing w:line="360" w:lineRule="auto"/>
        <w:ind w:firstLine="480" w:firstLineChars="200"/>
        <w:rPr>
          <w:sz w:val="24"/>
        </w:rPr>
      </w:pPr>
      <w:r>
        <w:rPr>
          <w:rFonts w:hint="eastAsia"/>
          <w:sz w:val="24"/>
          <w:highlight w:val="white"/>
        </w:rPr>
        <w:t>3.4.1 投标人在递交投标文件的同时，应按投标人须知前附表规定的金额、担保形式和第七章“投标文件格式”规定的投标保证金格式递交投标保证金，并作为其投标文件的组成部分。联合体投标的，其投标保证金由联合体牵头人递交，并应符合投标人须知前附表的规定。</w:t>
      </w:r>
    </w:p>
    <w:p w14:paraId="4069A971">
      <w:pPr>
        <w:spacing w:line="360" w:lineRule="auto"/>
        <w:ind w:firstLine="480" w:firstLineChars="200"/>
        <w:rPr>
          <w:sz w:val="24"/>
        </w:rPr>
      </w:pPr>
      <w:r>
        <w:rPr>
          <w:rFonts w:hint="eastAsia"/>
          <w:sz w:val="24"/>
          <w:highlight w:val="white"/>
        </w:rPr>
        <w:t>3.4.2 投标人不按本章第3.4.1项要求提交投标保证金的，评标委员会将否决其投标。</w:t>
      </w:r>
    </w:p>
    <w:p w14:paraId="4519593B">
      <w:pPr>
        <w:spacing w:line="360" w:lineRule="auto"/>
        <w:ind w:firstLine="480" w:firstLineChars="200"/>
        <w:rPr>
          <w:sz w:val="24"/>
        </w:rPr>
      </w:pPr>
      <w:r>
        <w:rPr>
          <w:rFonts w:hint="eastAsia"/>
          <w:sz w:val="24"/>
          <w:highlight w:val="white"/>
        </w:rPr>
        <w:t>3.4.3 招标人最迟应在与中标人签订合同后5日内，向未中标的投标人和中标人退还投标保证金及银行同期存款利息。</w:t>
      </w:r>
    </w:p>
    <w:p w14:paraId="156852BE">
      <w:pPr>
        <w:spacing w:line="360" w:lineRule="auto"/>
        <w:ind w:firstLine="480" w:firstLineChars="200"/>
        <w:rPr>
          <w:sz w:val="24"/>
        </w:rPr>
      </w:pPr>
      <w:r>
        <w:rPr>
          <w:rFonts w:hint="eastAsia"/>
          <w:sz w:val="24"/>
          <w:highlight w:val="white"/>
        </w:rPr>
        <w:t xml:space="preserve">3.4.4 有下列情形之一的，投标保证金将不予退还： </w:t>
      </w:r>
    </w:p>
    <w:p w14:paraId="5DA5362A">
      <w:pPr>
        <w:spacing w:line="360" w:lineRule="auto"/>
        <w:ind w:firstLine="360" w:firstLineChars="150"/>
        <w:rPr>
          <w:sz w:val="24"/>
        </w:rPr>
      </w:pPr>
      <w:r>
        <w:rPr>
          <w:rFonts w:hint="eastAsia"/>
          <w:sz w:val="24"/>
          <w:highlight w:val="white"/>
        </w:rPr>
        <w:t>（1）投标人在规定的投标有效期内撤销投标文件；</w:t>
      </w:r>
    </w:p>
    <w:p w14:paraId="3B9BD624">
      <w:pPr>
        <w:spacing w:line="360" w:lineRule="auto"/>
        <w:ind w:firstLine="360" w:firstLineChars="150"/>
        <w:rPr>
          <w:sz w:val="24"/>
        </w:rPr>
      </w:pPr>
      <w:r>
        <w:rPr>
          <w:rFonts w:hint="eastAsia"/>
          <w:sz w:val="24"/>
          <w:highlight w:val="white"/>
        </w:rPr>
        <w:t>（2）中标人在收到中标通知书后，无正当理由拒签合同或未按招标文件规定提交履约担保。</w:t>
      </w:r>
    </w:p>
    <w:p w14:paraId="4F21BC5E">
      <w:pPr>
        <w:pStyle w:val="4"/>
        <w:spacing w:line="360" w:lineRule="auto"/>
        <w:ind w:firstLine="118"/>
        <w:rPr>
          <w:sz w:val="24"/>
          <w:szCs w:val="24"/>
        </w:rPr>
      </w:pPr>
      <w:bookmarkStart w:id="148" w:name="_Toc256000045"/>
      <w:r>
        <w:rPr>
          <w:rFonts w:hint="eastAsia" w:ascii="Times New Roman" w:hAnsi="Times New Roman"/>
          <w:sz w:val="24"/>
          <w:szCs w:val="24"/>
          <w:highlight w:val="white"/>
        </w:rPr>
        <w:t>3.5</w:t>
      </w:r>
      <w:r>
        <w:rPr>
          <w:rFonts w:hint="eastAsia"/>
          <w:sz w:val="24"/>
          <w:szCs w:val="24"/>
          <w:highlight w:val="white"/>
        </w:rPr>
        <w:t xml:space="preserve"> 资格审查资料（适用于已进行资格预审的）</w:t>
      </w:r>
      <w:bookmarkEnd w:id="148"/>
    </w:p>
    <w:p w14:paraId="2A130657">
      <w:pPr>
        <w:spacing w:line="360" w:lineRule="auto"/>
        <w:ind w:firstLine="480" w:firstLineChars="200"/>
        <w:rPr>
          <w:sz w:val="24"/>
        </w:rPr>
      </w:pPr>
      <w:r>
        <w:rPr>
          <w:rFonts w:hint="eastAsia"/>
          <w:sz w:val="24"/>
          <w:highlight w:val="white"/>
        </w:rPr>
        <w:t>投标人在递交投标文件前，发生可能影响其投标资格的新情况的，应更新或补充其在申请资格预审时提供的资料，以证实其各项资格条件仍能继续满足资格预审文件的要求，且没有实质性降低。</w:t>
      </w:r>
    </w:p>
    <w:p w14:paraId="4A7D9C20">
      <w:pPr>
        <w:pStyle w:val="4"/>
        <w:spacing w:line="360" w:lineRule="auto"/>
        <w:ind w:firstLine="118"/>
        <w:rPr>
          <w:sz w:val="24"/>
          <w:szCs w:val="24"/>
        </w:rPr>
      </w:pPr>
      <w:bookmarkStart w:id="149" w:name="_Toc256000046"/>
      <w:r>
        <w:rPr>
          <w:rFonts w:hint="eastAsia" w:ascii="Times New Roman" w:hAnsi="Times New Roman"/>
          <w:sz w:val="24"/>
          <w:szCs w:val="24"/>
          <w:highlight w:val="white"/>
        </w:rPr>
        <w:t>3.5</w:t>
      </w:r>
      <w:r>
        <w:rPr>
          <w:rFonts w:hint="eastAsia"/>
          <w:sz w:val="24"/>
          <w:szCs w:val="24"/>
          <w:highlight w:val="white"/>
        </w:rPr>
        <w:t xml:space="preserve"> 资格审查资料（适用于未进行资格预审的）</w:t>
      </w:r>
      <w:bookmarkEnd w:id="149"/>
    </w:p>
    <w:p w14:paraId="26608E56">
      <w:pPr>
        <w:spacing w:line="360" w:lineRule="auto"/>
        <w:ind w:firstLine="480" w:firstLineChars="200"/>
        <w:rPr>
          <w:rFonts w:hint="eastAsia"/>
          <w:sz w:val="24"/>
        </w:rPr>
      </w:pPr>
      <w:r>
        <w:rPr>
          <w:rFonts w:hint="eastAsia"/>
          <w:sz w:val="24"/>
          <w:highlight w:val="white"/>
        </w:rPr>
        <w:t>3.5.1 “投标人基本情况表”应附投标人营业执照副本、资质证书副本和安全生产许可证副本（依法不需要提供的除外）等材料的扫描件。</w:t>
      </w:r>
    </w:p>
    <w:p w14:paraId="4E6C338D">
      <w:pPr>
        <w:spacing w:line="360" w:lineRule="auto"/>
        <w:ind w:firstLine="480" w:firstLineChars="200"/>
        <w:rPr>
          <w:rFonts w:hint="eastAsia"/>
          <w:sz w:val="24"/>
        </w:rPr>
      </w:pPr>
      <w:r>
        <w:rPr>
          <w:rFonts w:hint="eastAsia"/>
          <w:sz w:val="24"/>
          <w:highlight w:val="white"/>
        </w:rPr>
        <w:t>3.5.2 “近年完成的类似项目情况表” 应附证明材料详见第八章“投标文件格式”要求，具体年份要求见投标人须知前附表。每张表格只填写一个项目，并标明序号。</w:t>
      </w:r>
    </w:p>
    <w:p w14:paraId="4FA0CAFF">
      <w:pPr>
        <w:spacing w:line="360" w:lineRule="auto"/>
        <w:ind w:firstLine="480" w:firstLineChars="200"/>
        <w:rPr>
          <w:sz w:val="24"/>
        </w:rPr>
      </w:pPr>
      <w:r>
        <w:rPr>
          <w:rFonts w:hint="eastAsia"/>
          <w:sz w:val="24"/>
          <w:highlight w:val="white"/>
        </w:rPr>
        <w:t>3.5.3 “正在施工和新承接的项目情况表”应附证明材料详见第八章“投标文件格式”要求。每张表格只填写一个项目，并标明序号。</w:t>
      </w:r>
    </w:p>
    <w:p w14:paraId="695BC03E">
      <w:pPr>
        <w:spacing w:line="360" w:lineRule="auto"/>
        <w:ind w:firstLine="480" w:firstLineChars="200"/>
        <w:rPr>
          <w:sz w:val="24"/>
        </w:rPr>
      </w:pPr>
      <w:r>
        <w:rPr>
          <w:rFonts w:hint="eastAsia"/>
          <w:sz w:val="24"/>
          <w:highlight w:val="white"/>
        </w:rPr>
        <w:t>3.5.4 “正在设计（施工、实施工程总承包）和新承接的项目情况表”应附合同协议书扫描件。每张表格只填写一个项目，并标明序号。</w:t>
      </w:r>
    </w:p>
    <w:p w14:paraId="0AA60A82">
      <w:pPr>
        <w:spacing w:line="360" w:lineRule="auto"/>
        <w:ind w:firstLine="480" w:firstLineChars="200"/>
        <w:rPr>
          <w:sz w:val="24"/>
        </w:rPr>
      </w:pPr>
      <w:r>
        <w:rPr>
          <w:rFonts w:hint="eastAsia"/>
          <w:sz w:val="24"/>
          <w:highlight w:val="white"/>
        </w:rPr>
        <w:t>3.5.5 “近年发生的重大诉讼及仲裁情况”应说明相关情况，并附法院或仲裁机构作出的判决、裁决等有关法律文书扫描件，具体年份要求见投标人须知前附表。</w:t>
      </w:r>
    </w:p>
    <w:p w14:paraId="666ACAC6">
      <w:pPr>
        <w:spacing w:line="360" w:lineRule="auto"/>
        <w:ind w:firstLine="480" w:firstLineChars="200"/>
        <w:rPr>
          <w:sz w:val="24"/>
        </w:rPr>
      </w:pPr>
      <w:r>
        <w:rPr>
          <w:rFonts w:hint="eastAsia"/>
          <w:sz w:val="24"/>
          <w:highlight w:val="white"/>
        </w:rPr>
        <w:t>3.5.6 投标人须知前附表规定接受联合体投标的，本章第3.5.1项至第3.5.5项规定的表格和资料应包括联合体各方相关情况。</w:t>
      </w:r>
    </w:p>
    <w:p w14:paraId="18EA7341">
      <w:pPr>
        <w:pStyle w:val="4"/>
        <w:spacing w:line="360" w:lineRule="auto"/>
        <w:ind w:firstLine="118"/>
        <w:rPr>
          <w:sz w:val="24"/>
          <w:szCs w:val="24"/>
        </w:rPr>
      </w:pPr>
      <w:bookmarkStart w:id="150" w:name="_Toc256000047"/>
      <w:r>
        <w:rPr>
          <w:rFonts w:hint="eastAsia" w:ascii="Times New Roman" w:hAnsi="Times New Roman"/>
          <w:sz w:val="24"/>
          <w:szCs w:val="24"/>
          <w:highlight w:val="white"/>
        </w:rPr>
        <w:t>3.6</w:t>
      </w:r>
      <w:r>
        <w:rPr>
          <w:rFonts w:hint="eastAsia"/>
          <w:sz w:val="24"/>
          <w:szCs w:val="24"/>
          <w:highlight w:val="white"/>
        </w:rPr>
        <w:t xml:space="preserve"> 备选投标方案</w:t>
      </w:r>
      <w:bookmarkEnd w:id="150"/>
    </w:p>
    <w:p w14:paraId="5E4E21C8">
      <w:pPr>
        <w:spacing w:line="360" w:lineRule="auto"/>
        <w:ind w:firstLine="480" w:firstLineChars="200"/>
        <w:rPr>
          <w:sz w:val="24"/>
        </w:rPr>
      </w:pPr>
      <w:r>
        <w:rPr>
          <w:rFonts w:hint="eastAsia"/>
          <w:sz w:val="24"/>
          <w:highlight w:val="whit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609CED7C">
      <w:pPr>
        <w:pStyle w:val="4"/>
        <w:spacing w:line="360" w:lineRule="auto"/>
        <w:ind w:firstLine="118"/>
        <w:rPr>
          <w:sz w:val="24"/>
          <w:szCs w:val="24"/>
        </w:rPr>
      </w:pPr>
      <w:bookmarkStart w:id="151" w:name="_Toc256000048"/>
      <w:r>
        <w:rPr>
          <w:rFonts w:hint="eastAsia" w:ascii="Times New Roman" w:hAnsi="Times New Roman"/>
          <w:sz w:val="24"/>
          <w:szCs w:val="24"/>
          <w:highlight w:val="white"/>
        </w:rPr>
        <w:t>3.7</w:t>
      </w:r>
      <w:r>
        <w:rPr>
          <w:rFonts w:hint="eastAsia"/>
          <w:sz w:val="24"/>
          <w:szCs w:val="24"/>
          <w:highlight w:val="white"/>
        </w:rPr>
        <w:t xml:space="preserve"> 投标文件的编制</w:t>
      </w:r>
      <w:bookmarkEnd w:id="151"/>
    </w:p>
    <w:p w14:paraId="6842B0A1">
      <w:pPr>
        <w:spacing w:line="360" w:lineRule="auto"/>
        <w:ind w:firstLine="424" w:firstLineChars="177"/>
        <w:rPr>
          <w:rFonts w:ascii="宋体" w:hAnsi="宋体"/>
          <w:sz w:val="24"/>
        </w:rPr>
      </w:pPr>
      <w:r>
        <w:rPr>
          <w:rFonts w:hint="eastAsia" w:ascii="宋体" w:hAnsi="宋体"/>
          <w:sz w:val="24"/>
          <w:highlight w:val="white"/>
        </w:rPr>
        <w:t>3.7.1 投标文件</w:t>
      </w:r>
      <w:r>
        <w:rPr>
          <w:rFonts w:ascii="宋体" w:hAnsi="宋体"/>
          <w:sz w:val="24"/>
          <w:highlight w:val="white"/>
        </w:rPr>
        <w:t>格式的具体要求见投标人须知前附表</w:t>
      </w:r>
      <w:r>
        <w:rPr>
          <w:rFonts w:hint="eastAsia" w:ascii="宋体" w:hAnsi="宋体"/>
          <w:sz w:val="24"/>
          <w:highlight w:val="white"/>
        </w:rPr>
        <w:t>。</w:t>
      </w:r>
    </w:p>
    <w:p w14:paraId="7F07065E">
      <w:pPr>
        <w:spacing w:line="360" w:lineRule="auto"/>
        <w:ind w:firstLine="424" w:firstLineChars="177"/>
        <w:rPr>
          <w:rFonts w:ascii="宋体" w:hAnsi="宋体"/>
          <w:sz w:val="24"/>
        </w:rPr>
      </w:pPr>
      <w:r>
        <w:rPr>
          <w:rFonts w:hint="eastAsia" w:ascii="宋体" w:hAnsi="宋体"/>
          <w:sz w:val="24"/>
          <w:highlight w:val="white"/>
        </w:rPr>
        <w:t>3.7.2 投标文件应当对招标文件有关工期、投标有效期、质量要求、技术标准和要求、招标范围等实质性内容作出响应。</w:t>
      </w:r>
    </w:p>
    <w:p w14:paraId="6E62B2B9">
      <w:pPr>
        <w:spacing w:line="360" w:lineRule="auto"/>
        <w:ind w:firstLine="424" w:firstLineChars="177"/>
        <w:rPr>
          <w:rFonts w:hint="eastAsia" w:ascii="宋体" w:hAnsi="宋体"/>
          <w:sz w:val="24"/>
        </w:rPr>
      </w:pPr>
      <w:r>
        <w:rPr>
          <w:rFonts w:hint="eastAsia" w:ascii="宋体" w:hAnsi="宋体"/>
          <w:sz w:val="24"/>
          <w:highlight w:val="white"/>
        </w:rPr>
        <w:t>3.7.3 签字或盖章的具体要求见投标人须知前附表。</w:t>
      </w:r>
    </w:p>
    <w:p w14:paraId="0F276AEE">
      <w:pPr>
        <w:rPr>
          <w:rFonts w:hint="eastAsia"/>
          <w:color w:val="000080"/>
          <w:sz w:val="20"/>
          <w:highlight w:val="cyan"/>
        </w:rPr>
      </w:pPr>
      <w:bookmarkStart w:id="152" w:name="EB7b632fb8e9aa4a06964269cc7041da67"/>
      <w:r>
        <w:rPr>
          <w:rFonts w:hint="eastAsia"/>
          <w:color w:val="000080"/>
          <w:sz w:val="20"/>
          <w:highlight w:val="white"/>
        </w:rPr>
        <w:t xml:space="preserve"> </w:t>
      </w:r>
      <w:bookmarkEnd w:id="152"/>
    </w:p>
    <w:p w14:paraId="2A9726C5">
      <w:pPr>
        <w:rPr>
          <w:highlight w:val="yellow"/>
        </w:rPr>
      </w:pPr>
      <w:bookmarkStart w:id="153" w:name="EBf70be93816c34ee4afe4dbf968e38bf8"/>
      <w:r>
        <w:rPr>
          <w:rFonts w:hint="eastAsia"/>
          <w:color w:val="000080"/>
          <w:sz w:val="20"/>
          <w:highlight w:val="white"/>
        </w:rPr>
        <w:t xml:space="preserve"> </w:t>
      </w:r>
      <w:bookmarkEnd w:id="153"/>
      <w:bookmarkStart w:id="154" w:name="EBd73056895d9f4003b0996677f10fe34d"/>
      <w:r>
        <w:rPr>
          <w:rFonts w:hint="eastAsia"/>
          <w:color w:val="000080"/>
          <w:sz w:val="20"/>
          <w:highlight w:val="white"/>
        </w:rPr>
        <w:t xml:space="preserve"> </w:t>
      </w:r>
      <w:bookmarkEnd w:id="154"/>
    </w:p>
    <w:p w14:paraId="0D4DB633">
      <w:pPr>
        <w:pStyle w:val="3"/>
        <w:spacing w:line="360" w:lineRule="auto"/>
        <w:rPr>
          <w:rFonts w:hint="eastAsia"/>
          <w:sz w:val="24"/>
          <w:szCs w:val="24"/>
        </w:rPr>
      </w:pPr>
      <w:bookmarkStart w:id="155" w:name="_Toc256000049"/>
      <w:r>
        <w:rPr>
          <w:rFonts w:hint="eastAsia"/>
          <w:sz w:val="24"/>
          <w:szCs w:val="24"/>
          <w:highlight w:val="white"/>
        </w:rPr>
        <w:t>4. 投标</w:t>
      </w:r>
      <w:bookmarkEnd w:id="155"/>
    </w:p>
    <w:p w14:paraId="625FA22E">
      <w:pPr>
        <w:pStyle w:val="80"/>
        <w:spacing w:line="360" w:lineRule="auto"/>
        <w:rPr>
          <w:rFonts w:hint="eastAsia" w:cs="Arial"/>
          <w:sz w:val="24"/>
          <w:szCs w:val="24"/>
        </w:rPr>
      </w:pPr>
      <w:r>
        <w:rPr>
          <w:rFonts w:hint="eastAsia" w:cs="Arial"/>
          <w:sz w:val="24"/>
          <w:szCs w:val="24"/>
          <w:highlight w:val="white"/>
        </w:rPr>
        <w:t>4.1 投标文件加密要求：见投标人须知前附表。</w:t>
      </w:r>
    </w:p>
    <w:p w14:paraId="1F54E599">
      <w:pPr>
        <w:pStyle w:val="80"/>
        <w:spacing w:line="360" w:lineRule="auto"/>
        <w:rPr>
          <w:rFonts w:hint="eastAsia" w:cs="Arial"/>
          <w:sz w:val="24"/>
          <w:szCs w:val="24"/>
        </w:rPr>
      </w:pPr>
      <w:r>
        <w:rPr>
          <w:rFonts w:hint="eastAsia" w:cs="Arial"/>
          <w:sz w:val="24"/>
          <w:szCs w:val="24"/>
          <w:highlight w:val="white"/>
        </w:rPr>
        <w:t>4.2  投标文件的递交</w:t>
      </w:r>
    </w:p>
    <w:p w14:paraId="0F44A48E">
      <w:pPr>
        <w:pStyle w:val="80"/>
        <w:spacing w:line="360" w:lineRule="auto"/>
        <w:ind w:firstLine="480" w:firstLineChars="200"/>
        <w:rPr>
          <w:rFonts w:hint="eastAsia" w:cs="Arial"/>
          <w:sz w:val="24"/>
          <w:szCs w:val="24"/>
        </w:rPr>
      </w:pPr>
      <w:r>
        <w:rPr>
          <w:rFonts w:hint="eastAsia" w:cs="Arial"/>
          <w:sz w:val="24"/>
          <w:szCs w:val="24"/>
          <w:highlight w:val="white"/>
        </w:rPr>
        <w:t>4.2.1 投标人应在投标人须知前附表规定的投标截止时间前在线递交经投标人数字证书加密的数据电文形式投标文件。</w:t>
      </w:r>
    </w:p>
    <w:p w14:paraId="73F01834">
      <w:pPr>
        <w:pStyle w:val="80"/>
        <w:spacing w:line="360" w:lineRule="auto"/>
        <w:ind w:firstLine="480" w:firstLineChars="200"/>
        <w:rPr>
          <w:rFonts w:hint="eastAsia" w:cs="Arial"/>
          <w:sz w:val="24"/>
          <w:szCs w:val="24"/>
        </w:rPr>
      </w:pPr>
      <w:r>
        <w:rPr>
          <w:rFonts w:hint="eastAsia" w:cs="Arial"/>
          <w:sz w:val="24"/>
          <w:szCs w:val="24"/>
          <w:highlight w:val="white"/>
        </w:rPr>
        <w:t>4.2.2 投标人递交投标文件的地点：见投标人须知前附表。</w:t>
      </w:r>
    </w:p>
    <w:p w14:paraId="59312FAC">
      <w:pPr>
        <w:pStyle w:val="80"/>
        <w:spacing w:line="360" w:lineRule="auto"/>
        <w:ind w:firstLine="480" w:firstLineChars="200"/>
        <w:rPr>
          <w:rFonts w:hint="eastAsia"/>
        </w:rPr>
      </w:pPr>
      <w:r>
        <w:rPr>
          <w:rFonts w:hint="eastAsia" w:cs="Arial"/>
          <w:sz w:val="24"/>
          <w:szCs w:val="24"/>
          <w:highlight w:val="white"/>
        </w:rPr>
        <w:t>4.2.3 投标人所递交的投标文件不予退还。</w:t>
      </w:r>
    </w:p>
    <w:p w14:paraId="4EEF8C49">
      <w:pPr>
        <w:pStyle w:val="80"/>
        <w:spacing w:line="360" w:lineRule="auto"/>
        <w:rPr>
          <w:rFonts w:hint="eastAsia" w:cs="Arial"/>
          <w:sz w:val="24"/>
          <w:szCs w:val="24"/>
        </w:rPr>
      </w:pPr>
      <w:r>
        <w:rPr>
          <w:rFonts w:hint="eastAsia" w:cs="Arial"/>
          <w:sz w:val="24"/>
          <w:szCs w:val="24"/>
          <w:highlight w:val="white"/>
        </w:rPr>
        <w:t>4.3  投标文件的修改与撤回</w:t>
      </w:r>
    </w:p>
    <w:p w14:paraId="51237601">
      <w:pPr>
        <w:pStyle w:val="80"/>
        <w:spacing w:line="360" w:lineRule="auto"/>
        <w:rPr>
          <w:rFonts w:hint="eastAsia" w:cs="Arial"/>
          <w:sz w:val="24"/>
          <w:szCs w:val="24"/>
        </w:rPr>
      </w:pPr>
      <w:r>
        <w:rPr>
          <w:rFonts w:hint="eastAsia" w:cs="Arial"/>
          <w:sz w:val="24"/>
          <w:szCs w:val="24"/>
          <w:highlight w:val="white"/>
        </w:rPr>
        <w:t>在投标人须知前附表规定的投标截止时间前，投标人可以修改或撤回已递交的数据电文形式投标文件。</w:t>
      </w:r>
    </w:p>
    <w:p w14:paraId="79745F93">
      <w:pPr>
        <w:rPr>
          <w:rFonts w:hint="eastAsia"/>
          <w:color w:val="000080"/>
          <w:sz w:val="20"/>
          <w:highlight w:val="cyan"/>
        </w:rPr>
      </w:pPr>
      <w:bookmarkStart w:id="156" w:name="EB9da7832ea3874fb99954445be09e0565"/>
      <w:r>
        <w:rPr>
          <w:rFonts w:hint="eastAsia"/>
          <w:color w:val="000080"/>
          <w:sz w:val="20"/>
          <w:highlight w:val="white"/>
        </w:rPr>
        <w:t xml:space="preserve"> </w:t>
      </w:r>
      <w:bookmarkEnd w:id="156"/>
    </w:p>
    <w:p w14:paraId="0837806D">
      <w:pPr>
        <w:rPr>
          <w:rFonts w:hint="eastAsia"/>
          <w:highlight w:val="yellow"/>
        </w:rPr>
      </w:pPr>
      <w:bookmarkStart w:id="157" w:name="EBb6f8a8dbf25d4e68be27dfd86397cb71"/>
      <w:r>
        <w:rPr>
          <w:rFonts w:hint="eastAsia"/>
          <w:color w:val="000080"/>
          <w:sz w:val="20"/>
          <w:highlight w:val="white"/>
        </w:rPr>
        <w:t xml:space="preserve"> </w:t>
      </w:r>
      <w:bookmarkEnd w:id="157"/>
      <w:bookmarkStart w:id="158" w:name="EB536e941101074d8f956cd5a4d0d0bf31"/>
      <w:r>
        <w:rPr>
          <w:rFonts w:hint="eastAsia"/>
          <w:color w:val="000080"/>
          <w:sz w:val="20"/>
          <w:highlight w:val="white"/>
        </w:rPr>
        <w:t xml:space="preserve"> </w:t>
      </w:r>
      <w:bookmarkEnd w:id="158"/>
    </w:p>
    <w:p w14:paraId="3FD15AD0">
      <w:pPr>
        <w:pStyle w:val="3"/>
        <w:numPr>
          <w:ilvl w:val="0"/>
          <w:numId w:val="6"/>
        </w:numPr>
        <w:spacing w:line="360" w:lineRule="auto"/>
        <w:rPr>
          <w:rFonts w:hint="eastAsia"/>
          <w:sz w:val="24"/>
          <w:szCs w:val="24"/>
        </w:rPr>
      </w:pPr>
      <w:bookmarkStart w:id="159" w:name="_Toc256000050"/>
      <w:r>
        <w:rPr>
          <w:rFonts w:hint="eastAsia"/>
          <w:sz w:val="24"/>
          <w:szCs w:val="24"/>
          <w:highlight w:val="white"/>
        </w:rPr>
        <w:t>开标</w:t>
      </w:r>
      <w:bookmarkEnd w:id="159"/>
    </w:p>
    <w:p w14:paraId="19ADC985">
      <w:pPr>
        <w:pStyle w:val="80"/>
        <w:spacing w:line="360" w:lineRule="auto"/>
        <w:rPr>
          <w:rFonts w:hint="eastAsia" w:cs="Arial"/>
          <w:sz w:val="24"/>
          <w:szCs w:val="24"/>
        </w:rPr>
      </w:pPr>
      <w:r>
        <w:rPr>
          <w:rFonts w:hint="eastAsia" w:cs="Arial"/>
          <w:sz w:val="24"/>
          <w:szCs w:val="24"/>
          <w:highlight w:val="white"/>
        </w:rPr>
        <w:t>5.1  开标时间和地点</w:t>
      </w:r>
    </w:p>
    <w:p w14:paraId="3DE30F6C">
      <w:pPr>
        <w:pStyle w:val="80"/>
        <w:spacing w:line="360" w:lineRule="auto"/>
        <w:ind w:firstLine="480" w:firstLineChars="200"/>
        <w:rPr>
          <w:rFonts w:hint="eastAsia" w:cs="Arial"/>
          <w:sz w:val="24"/>
          <w:szCs w:val="24"/>
        </w:rPr>
      </w:pPr>
      <w:r>
        <w:rPr>
          <w:rFonts w:hint="eastAsia" w:cs="Arial"/>
          <w:sz w:val="24"/>
          <w:szCs w:val="24"/>
          <w:highlight w:val="white"/>
        </w:rPr>
        <w:t>招标人在投标人须知前附表规定的投标截止时间（开标时间）和投标人须知前附表规定的地点公开开标。</w:t>
      </w:r>
    </w:p>
    <w:p w14:paraId="171082FE">
      <w:pPr>
        <w:pStyle w:val="80"/>
        <w:spacing w:line="360" w:lineRule="auto"/>
        <w:rPr>
          <w:rFonts w:hint="eastAsia" w:cs="Arial"/>
          <w:sz w:val="24"/>
          <w:szCs w:val="24"/>
        </w:rPr>
      </w:pPr>
      <w:r>
        <w:rPr>
          <w:rFonts w:hint="eastAsia" w:cs="Arial"/>
          <w:sz w:val="24"/>
          <w:szCs w:val="24"/>
          <w:highlight w:val="white"/>
        </w:rPr>
        <w:t>5.2  开标程序</w:t>
      </w:r>
    </w:p>
    <w:p w14:paraId="4714B672">
      <w:pPr>
        <w:pStyle w:val="80"/>
        <w:spacing w:line="360" w:lineRule="auto"/>
        <w:ind w:firstLine="480" w:firstLineChars="200"/>
        <w:rPr>
          <w:rFonts w:hint="eastAsia" w:cs="Arial"/>
          <w:sz w:val="24"/>
          <w:szCs w:val="24"/>
        </w:rPr>
      </w:pPr>
      <w:r>
        <w:rPr>
          <w:rFonts w:hint="eastAsia" w:cs="Arial"/>
          <w:sz w:val="24"/>
          <w:szCs w:val="24"/>
          <w:highlight w:val="white"/>
        </w:rPr>
        <w:t>按投标人须知前附表规定的程序进行开标。</w:t>
      </w:r>
    </w:p>
    <w:p w14:paraId="03F60EE5">
      <w:pPr>
        <w:rPr>
          <w:rFonts w:hint="eastAsia"/>
          <w:color w:val="000080"/>
          <w:sz w:val="20"/>
          <w:highlight w:val="cyan"/>
        </w:rPr>
      </w:pPr>
      <w:bookmarkStart w:id="160" w:name="EBe553790da2cb4481ac961c7ed8c4f900"/>
      <w:r>
        <w:rPr>
          <w:rFonts w:hint="eastAsia"/>
          <w:color w:val="000080"/>
          <w:sz w:val="20"/>
          <w:highlight w:val="white"/>
        </w:rPr>
        <w:t xml:space="preserve"> </w:t>
      </w:r>
      <w:bookmarkEnd w:id="160"/>
    </w:p>
    <w:p w14:paraId="4DDA486E">
      <w:pPr>
        <w:rPr>
          <w:rFonts w:hint="eastAsia"/>
          <w:highlight w:val="yellow"/>
        </w:rPr>
      </w:pPr>
      <w:bookmarkStart w:id="161" w:name="EBc4e49a4d3ecb4647ad0a940ed7007a94"/>
      <w:r>
        <w:rPr>
          <w:rFonts w:hint="eastAsia"/>
          <w:color w:val="000080"/>
          <w:sz w:val="20"/>
          <w:highlight w:val="white"/>
        </w:rPr>
        <w:t xml:space="preserve"> </w:t>
      </w:r>
      <w:bookmarkEnd w:id="161"/>
      <w:bookmarkStart w:id="162" w:name="EB73de770d4b1a4e4eade586c72806994b"/>
      <w:r>
        <w:rPr>
          <w:rFonts w:hint="eastAsia"/>
          <w:color w:val="000080"/>
          <w:sz w:val="20"/>
          <w:highlight w:val="white"/>
        </w:rPr>
        <w:t xml:space="preserve"> </w:t>
      </w:r>
      <w:bookmarkEnd w:id="162"/>
    </w:p>
    <w:p w14:paraId="76916BAC">
      <w:pPr>
        <w:pStyle w:val="3"/>
        <w:spacing w:line="360" w:lineRule="auto"/>
        <w:rPr>
          <w:sz w:val="24"/>
          <w:szCs w:val="24"/>
        </w:rPr>
      </w:pPr>
      <w:bookmarkStart w:id="163" w:name="_Toc256000051"/>
      <w:r>
        <w:rPr>
          <w:rFonts w:hint="eastAsia"/>
          <w:sz w:val="24"/>
          <w:szCs w:val="24"/>
          <w:highlight w:val="white"/>
        </w:rPr>
        <w:t>6. 评标</w:t>
      </w:r>
      <w:bookmarkEnd w:id="163"/>
    </w:p>
    <w:p w14:paraId="5DB6262A">
      <w:pPr>
        <w:pStyle w:val="4"/>
        <w:spacing w:line="360" w:lineRule="auto"/>
        <w:ind w:firstLine="118"/>
        <w:rPr>
          <w:sz w:val="24"/>
          <w:szCs w:val="24"/>
        </w:rPr>
      </w:pPr>
      <w:bookmarkStart w:id="164" w:name="_Toc256000052"/>
      <w:r>
        <w:rPr>
          <w:rFonts w:hint="eastAsia" w:ascii="Times New Roman" w:hAnsi="Times New Roman"/>
          <w:sz w:val="24"/>
          <w:szCs w:val="24"/>
          <w:highlight w:val="white"/>
        </w:rPr>
        <w:t>6.1</w:t>
      </w:r>
      <w:r>
        <w:rPr>
          <w:rFonts w:hint="eastAsia"/>
          <w:sz w:val="24"/>
          <w:szCs w:val="24"/>
          <w:highlight w:val="white"/>
        </w:rPr>
        <w:t xml:space="preserve"> 评标委员会</w:t>
      </w:r>
      <w:bookmarkEnd w:id="164"/>
    </w:p>
    <w:p w14:paraId="5B0904AD">
      <w:pPr>
        <w:spacing w:line="360" w:lineRule="auto"/>
        <w:ind w:firstLine="480" w:firstLineChars="200"/>
        <w:rPr>
          <w:sz w:val="24"/>
        </w:rPr>
      </w:pPr>
      <w:r>
        <w:rPr>
          <w:rFonts w:hint="eastAsia"/>
          <w:sz w:val="24"/>
          <w:highlight w:val="whit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5A639AA3">
      <w:pPr>
        <w:spacing w:line="360" w:lineRule="auto"/>
        <w:ind w:firstLine="480" w:firstLineChars="200"/>
        <w:rPr>
          <w:sz w:val="24"/>
        </w:rPr>
      </w:pPr>
      <w:r>
        <w:rPr>
          <w:rFonts w:hint="eastAsia"/>
          <w:sz w:val="24"/>
          <w:highlight w:val="white"/>
        </w:rPr>
        <w:t>6.1.2 评标委员会成员有下列情形之一的，应当回避：</w:t>
      </w:r>
    </w:p>
    <w:p w14:paraId="0045AA8D">
      <w:pPr>
        <w:spacing w:line="360" w:lineRule="auto"/>
        <w:ind w:firstLine="820" w:firstLineChars="342"/>
        <w:rPr>
          <w:sz w:val="24"/>
        </w:rPr>
      </w:pPr>
      <w:r>
        <w:rPr>
          <w:rFonts w:hint="eastAsia"/>
          <w:sz w:val="24"/>
          <w:highlight w:val="white"/>
        </w:rPr>
        <w:t>（1）投标人或投标人主要负责人的近亲属；</w:t>
      </w:r>
    </w:p>
    <w:p w14:paraId="5C210237">
      <w:pPr>
        <w:spacing w:line="360" w:lineRule="auto"/>
        <w:ind w:firstLine="820" w:firstLineChars="342"/>
        <w:rPr>
          <w:sz w:val="24"/>
        </w:rPr>
      </w:pPr>
      <w:r>
        <w:rPr>
          <w:rFonts w:hint="eastAsia"/>
          <w:sz w:val="24"/>
          <w:highlight w:val="white"/>
        </w:rPr>
        <w:t>（2）项目主管部门或者行政监督部门的人员；</w:t>
      </w:r>
    </w:p>
    <w:p w14:paraId="05C5B9B0">
      <w:pPr>
        <w:spacing w:line="360" w:lineRule="auto"/>
        <w:ind w:firstLine="820" w:firstLineChars="342"/>
        <w:rPr>
          <w:sz w:val="24"/>
        </w:rPr>
      </w:pPr>
      <w:r>
        <w:rPr>
          <w:rFonts w:hint="eastAsia"/>
          <w:sz w:val="24"/>
          <w:highlight w:val="white"/>
        </w:rPr>
        <w:t>（3）与投标人有经济利益关系，可能影响对投标公正评审的；</w:t>
      </w:r>
    </w:p>
    <w:p w14:paraId="2F8871DC">
      <w:pPr>
        <w:spacing w:line="360" w:lineRule="auto"/>
        <w:ind w:firstLine="820" w:firstLineChars="342"/>
        <w:rPr>
          <w:rFonts w:hint="eastAsia"/>
          <w:sz w:val="24"/>
        </w:rPr>
      </w:pPr>
      <w:r>
        <w:rPr>
          <w:rFonts w:hint="eastAsia"/>
          <w:sz w:val="24"/>
          <w:highlight w:val="white"/>
        </w:rPr>
        <w:t>（4）曾因在招标、评标以及其他与招标投标有关活动中从事违法行为而受过行政处罚或刑事处罚的；</w:t>
      </w:r>
    </w:p>
    <w:p w14:paraId="729BE4A6">
      <w:pPr>
        <w:spacing w:line="360" w:lineRule="auto"/>
        <w:ind w:firstLine="820" w:firstLineChars="342"/>
        <w:rPr>
          <w:sz w:val="24"/>
        </w:rPr>
      </w:pPr>
      <w:r>
        <w:rPr>
          <w:rFonts w:hint="eastAsia"/>
          <w:sz w:val="24"/>
          <w:highlight w:val="white"/>
        </w:rPr>
        <w:t>（5）与投标人有其他利害关系。</w:t>
      </w:r>
    </w:p>
    <w:p w14:paraId="34697D14">
      <w:pPr>
        <w:pStyle w:val="4"/>
        <w:spacing w:line="360" w:lineRule="auto"/>
        <w:ind w:firstLine="118"/>
        <w:rPr>
          <w:sz w:val="24"/>
          <w:szCs w:val="24"/>
        </w:rPr>
      </w:pPr>
      <w:bookmarkStart w:id="165" w:name="_Toc256000053"/>
      <w:r>
        <w:rPr>
          <w:rFonts w:hint="eastAsia" w:ascii="Times New Roman" w:hAnsi="Times New Roman"/>
          <w:sz w:val="24"/>
          <w:szCs w:val="24"/>
          <w:highlight w:val="white"/>
        </w:rPr>
        <w:t>6.2</w:t>
      </w:r>
      <w:r>
        <w:rPr>
          <w:rFonts w:hint="eastAsia"/>
          <w:sz w:val="24"/>
          <w:szCs w:val="24"/>
          <w:highlight w:val="white"/>
        </w:rPr>
        <w:t xml:space="preserve"> 评标原则</w:t>
      </w:r>
      <w:bookmarkEnd w:id="165"/>
      <w:r>
        <w:rPr>
          <w:sz w:val="24"/>
          <w:szCs w:val="24"/>
          <w:highlight w:val="white"/>
        </w:rPr>
        <w:tab/>
      </w:r>
    </w:p>
    <w:p w14:paraId="7D86C9FB">
      <w:pPr>
        <w:spacing w:line="360" w:lineRule="auto"/>
        <w:ind w:firstLine="480" w:firstLineChars="200"/>
        <w:rPr>
          <w:sz w:val="24"/>
        </w:rPr>
      </w:pPr>
      <w:r>
        <w:rPr>
          <w:rFonts w:hint="eastAsia"/>
          <w:sz w:val="24"/>
          <w:highlight w:val="white"/>
        </w:rPr>
        <w:t>评标活动遵循公平、公正、科学和择优的原则。</w:t>
      </w:r>
    </w:p>
    <w:p w14:paraId="156809E6">
      <w:pPr>
        <w:pStyle w:val="4"/>
        <w:spacing w:line="360" w:lineRule="auto"/>
        <w:ind w:firstLine="118"/>
        <w:rPr>
          <w:sz w:val="24"/>
          <w:szCs w:val="24"/>
        </w:rPr>
      </w:pPr>
      <w:bookmarkStart w:id="166" w:name="_Toc256000054"/>
      <w:r>
        <w:rPr>
          <w:rFonts w:hint="eastAsia" w:ascii="Times New Roman" w:hAnsi="Times New Roman"/>
          <w:sz w:val="24"/>
          <w:szCs w:val="24"/>
          <w:highlight w:val="white"/>
        </w:rPr>
        <w:t>6.3</w:t>
      </w:r>
      <w:r>
        <w:rPr>
          <w:rFonts w:hint="eastAsia"/>
          <w:sz w:val="24"/>
          <w:szCs w:val="24"/>
          <w:highlight w:val="white"/>
        </w:rPr>
        <w:t xml:space="preserve"> 评标</w:t>
      </w:r>
      <w:bookmarkEnd w:id="166"/>
    </w:p>
    <w:p w14:paraId="2C22421B">
      <w:pPr>
        <w:spacing w:line="360" w:lineRule="auto"/>
        <w:ind w:firstLine="480" w:firstLineChars="200"/>
        <w:rPr>
          <w:rFonts w:hint="eastAsia"/>
          <w:sz w:val="24"/>
        </w:rPr>
      </w:pPr>
      <w:r>
        <w:rPr>
          <w:rFonts w:hint="eastAsia"/>
          <w:sz w:val="24"/>
          <w:highlight w:val="white"/>
        </w:rPr>
        <w:t>评标委员会按照第三章“评标办法”规定的方法、评审因素、标准和程序对投标文件进行评审。第三章“评标办法”没有规定的方法、评审因素和标准，不作为评标依据。</w:t>
      </w:r>
    </w:p>
    <w:p w14:paraId="3946DCFB">
      <w:pPr>
        <w:rPr>
          <w:rFonts w:hint="eastAsia"/>
          <w:color w:val="000080"/>
          <w:sz w:val="20"/>
          <w:highlight w:val="cyan"/>
        </w:rPr>
      </w:pPr>
      <w:bookmarkStart w:id="167" w:name="EBd8fc57b324f54f4280b94f34c458d74c"/>
      <w:r>
        <w:rPr>
          <w:rFonts w:hint="eastAsia"/>
          <w:color w:val="000080"/>
          <w:sz w:val="20"/>
          <w:highlight w:val="white"/>
        </w:rPr>
        <w:t xml:space="preserve"> </w:t>
      </w:r>
      <w:bookmarkEnd w:id="167"/>
    </w:p>
    <w:p w14:paraId="1DC3D67B">
      <w:pPr>
        <w:rPr>
          <w:highlight w:val="yellow"/>
        </w:rPr>
      </w:pPr>
      <w:bookmarkStart w:id="168" w:name="EBdc01f842b68f4717a8f1a9123bbbe6f7"/>
      <w:r>
        <w:rPr>
          <w:rFonts w:hint="eastAsia"/>
          <w:color w:val="000080"/>
          <w:sz w:val="20"/>
          <w:highlight w:val="white"/>
        </w:rPr>
        <w:t xml:space="preserve"> </w:t>
      </w:r>
      <w:bookmarkEnd w:id="168"/>
      <w:bookmarkStart w:id="169" w:name="EBad82f622a15a4508b03b6784258f0e21"/>
      <w:r>
        <w:rPr>
          <w:rFonts w:hint="eastAsia"/>
          <w:color w:val="000080"/>
          <w:sz w:val="20"/>
          <w:highlight w:val="white"/>
        </w:rPr>
        <w:t xml:space="preserve"> </w:t>
      </w:r>
      <w:bookmarkEnd w:id="169"/>
    </w:p>
    <w:p w14:paraId="1D212517">
      <w:pPr>
        <w:pStyle w:val="3"/>
        <w:spacing w:line="360" w:lineRule="auto"/>
        <w:rPr>
          <w:sz w:val="24"/>
          <w:szCs w:val="24"/>
        </w:rPr>
      </w:pPr>
      <w:bookmarkStart w:id="170" w:name="_Toc256000055"/>
      <w:r>
        <w:rPr>
          <w:rFonts w:hint="eastAsia"/>
          <w:sz w:val="24"/>
          <w:szCs w:val="24"/>
          <w:highlight w:val="white"/>
        </w:rPr>
        <w:t>7. 合同授予</w:t>
      </w:r>
      <w:bookmarkEnd w:id="170"/>
    </w:p>
    <w:p w14:paraId="5975B21C">
      <w:pPr>
        <w:pStyle w:val="4"/>
        <w:spacing w:line="360" w:lineRule="auto"/>
        <w:ind w:firstLine="118"/>
        <w:rPr>
          <w:sz w:val="24"/>
          <w:szCs w:val="24"/>
        </w:rPr>
      </w:pPr>
      <w:bookmarkStart w:id="171" w:name="_Toc256000056"/>
      <w:r>
        <w:rPr>
          <w:rFonts w:hint="eastAsia" w:ascii="Times New Roman" w:hAnsi="Times New Roman"/>
          <w:sz w:val="24"/>
          <w:szCs w:val="24"/>
          <w:highlight w:val="white"/>
        </w:rPr>
        <w:t>7.1</w:t>
      </w:r>
      <w:r>
        <w:rPr>
          <w:rFonts w:hint="eastAsia"/>
          <w:sz w:val="24"/>
          <w:szCs w:val="24"/>
          <w:highlight w:val="white"/>
        </w:rPr>
        <w:t xml:space="preserve"> 定标方式</w:t>
      </w:r>
      <w:bookmarkEnd w:id="171"/>
    </w:p>
    <w:p w14:paraId="28AF0BC9">
      <w:pPr>
        <w:spacing w:line="360" w:lineRule="auto"/>
        <w:ind w:firstLine="480" w:firstLineChars="200"/>
        <w:rPr>
          <w:rFonts w:hint="eastAsia"/>
          <w:sz w:val="24"/>
        </w:rPr>
      </w:pPr>
      <w:r>
        <w:rPr>
          <w:rFonts w:hint="eastAsia"/>
          <w:sz w:val="24"/>
          <w:highlight w:val="white"/>
        </w:rPr>
        <w:t>除投标人须知前附表规定评标委员会直接确定中标人外，招标人依据评标委员会推荐的中标候选人确定中标人，评标委员会推荐中标候选人的人数见投标人须知前附表。</w:t>
      </w:r>
    </w:p>
    <w:p w14:paraId="2C47C62D">
      <w:pPr>
        <w:pStyle w:val="4"/>
        <w:spacing w:line="360" w:lineRule="auto"/>
        <w:ind w:firstLine="118"/>
        <w:rPr>
          <w:rFonts w:hint="eastAsia"/>
          <w:sz w:val="24"/>
          <w:szCs w:val="24"/>
        </w:rPr>
      </w:pPr>
      <w:bookmarkStart w:id="172" w:name="_Toc256000057"/>
      <w:r>
        <w:rPr>
          <w:rFonts w:hint="eastAsia" w:ascii="Times New Roman" w:hAnsi="Times New Roman"/>
          <w:sz w:val="24"/>
          <w:szCs w:val="24"/>
          <w:highlight w:val="white"/>
        </w:rPr>
        <w:t>7.2</w:t>
      </w:r>
      <w:r>
        <w:rPr>
          <w:rFonts w:hint="eastAsia"/>
          <w:sz w:val="24"/>
          <w:szCs w:val="24"/>
          <w:highlight w:val="white"/>
        </w:rPr>
        <w:t xml:space="preserve"> 中标候选人公示</w:t>
      </w:r>
      <w:bookmarkEnd w:id="172"/>
    </w:p>
    <w:p w14:paraId="03D7659C">
      <w:pPr>
        <w:spacing w:line="360" w:lineRule="auto"/>
        <w:ind w:firstLine="480" w:firstLineChars="200"/>
        <w:rPr>
          <w:rFonts w:hint="eastAsia"/>
          <w:sz w:val="24"/>
        </w:rPr>
      </w:pPr>
      <w:r>
        <w:rPr>
          <w:rFonts w:hint="eastAsia"/>
          <w:sz w:val="24"/>
          <w:highlight w:val="white"/>
        </w:rPr>
        <w:t>招标人在投标人须知前附表规定的媒介公示中标候选人。</w:t>
      </w:r>
    </w:p>
    <w:p w14:paraId="358CEB53">
      <w:pPr>
        <w:pStyle w:val="4"/>
        <w:spacing w:line="360" w:lineRule="auto"/>
        <w:ind w:firstLine="118"/>
        <w:rPr>
          <w:sz w:val="24"/>
          <w:szCs w:val="24"/>
        </w:rPr>
      </w:pPr>
      <w:bookmarkStart w:id="173" w:name="_Toc256000058"/>
      <w:r>
        <w:rPr>
          <w:rFonts w:hint="eastAsia" w:ascii="Times New Roman" w:hAnsi="Times New Roman"/>
          <w:sz w:val="24"/>
          <w:szCs w:val="24"/>
          <w:highlight w:val="white"/>
        </w:rPr>
        <w:t>7.3</w:t>
      </w:r>
      <w:r>
        <w:rPr>
          <w:rFonts w:hint="eastAsia"/>
          <w:sz w:val="24"/>
          <w:szCs w:val="24"/>
          <w:highlight w:val="white"/>
        </w:rPr>
        <w:t xml:space="preserve"> 中标通知</w:t>
      </w:r>
      <w:bookmarkEnd w:id="173"/>
    </w:p>
    <w:p w14:paraId="4D936F4D">
      <w:pPr>
        <w:spacing w:line="360" w:lineRule="auto"/>
        <w:ind w:firstLine="480" w:firstLineChars="200"/>
        <w:rPr>
          <w:sz w:val="24"/>
        </w:rPr>
      </w:pPr>
      <w:r>
        <w:rPr>
          <w:rFonts w:hint="eastAsia"/>
          <w:sz w:val="24"/>
          <w:highlight w:val="white"/>
        </w:rPr>
        <w:t>在本章第3.3款规定的投标有效期内，招标人以书面形式向中标人发出中标通知书，同时将中标结果通知未中标的投标人。中标通知书按本章附表格式填写。</w:t>
      </w:r>
    </w:p>
    <w:p w14:paraId="1AFF85A9">
      <w:pPr>
        <w:pStyle w:val="4"/>
        <w:spacing w:line="360" w:lineRule="auto"/>
        <w:ind w:firstLine="118"/>
        <w:rPr>
          <w:sz w:val="24"/>
          <w:szCs w:val="24"/>
        </w:rPr>
      </w:pPr>
      <w:bookmarkStart w:id="174" w:name="_Toc256000059"/>
      <w:r>
        <w:rPr>
          <w:rFonts w:hint="eastAsia" w:ascii="Times New Roman" w:hAnsi="Times New Roman"/>
          <w:sz w:val="24"/>
          <w:szCs w:val="24"/>
          <w:highlight w:val="white"/>
        </w:rPr>
        <w:t>7.4</w:t>
      </w:r>
      <w:r>
        <w:rPr>
          <w:rFonts w:hint="eastAsia"/>
          <w:sz w:val="24"/>
          <w:szCs w:val="24"/>
          <w:highlight w:val="white"/>
        </w:rPr>
        <w:t xml:space="preserve"> 履约担保</w:t>
      </w:r>
      <w:bookmarkEnd w:id="174"/>
    </w:p>
    <w:p w14:paraId="1D730CAA">
      <w:pPr>
        <w:spacing w:line="360" w:lineRule="auto"/>
        <w:ind w:firstLine="480" w:firstLineChars="200"/>
        <w:rPr>
          <w:sz w:val="24"/>
        </w:rPr>
      </w:pPr>
      <w:r>
        <w:rPr>
          <w:rFonts w:hint="eastAsia"/>
          <w:sz w:val="24"/>
          <w:highlight w:val="white"/>
        </w:rPr>
        <w:t>7.4.1 在签订合同前，中标人应按投标人须知前附表规定的担保形式和招标文件第四章“合同条款及格式”规定的或者事先经过招标人书面认可的履约担保格式向招标人提交履约担保。除投标人须知前附表另有规定外，履约担保金额为中标合同金额的10%。联合体中标的，其履约担保由联合体各方或者联合体中牵头人的名义提交。</w:t>
      </w:r>
    </w:p>
    <w:p w14:paraId="0BC50CE3">
      <w:pPr>
        <w:spacing w:line="360" w:lineRule="auto"/>
        <w:ind w:firstLine="480" w:firstLineChars="200"/>
        <w:rPr>
          <w:sz w:val="24"/>
        </w:rPr>
      </w:pPr>
      <w:r>
        <w:rPr>
          <w:rFonts w:hint="eastAsia"/>
          <w:sz w:val="24"/>
          <w:highlight w:val="white"/>
        </w:rPr>
        <w:t>7.4.2 中标人不能按本章第7.4.1项要求提交履约担保的，视为放弃中标，其投标保证金不予退还，给招标人造成的损失超过投标保证金数额的，中标人还应当对超过部分予以赔偿。</w:t>
      </w:r>
    </w:p>
    <w:p w14:paraId="47D87183">
      <w:pPr>
        <w:pStyle w:val="4"/>
        <w:spacing w:line="360" w:lineRule="auto"/>
        <w:ind w:firstLine="118"/>
        <w:rPr>
          <w:sz w:val="24"/>
          <w:szCs w:val="24"/>
        </w:rPr>
      </w:pPr>
      <w:bookmarkStart w:id="175" w:name="_Toc256000060"/>
      <w:r>
        <w:rPr>
          <w:rFonts w:hint="eastAsia" w:ascii="Times New Roman" w:hAnsi="Times New Roman"/>
          <w:sz w:val="24"/>
          <w:szCs w:val="24"/>
          <w:highlight w:val="white"/>
        </w:rPr>
        <w:t>7.5</w:t>
      </w:r>
      <w:r>
        <w:rPr>
          <w:rFonts w:hint="eastAsia"/>
          <w:sz w:val="24"/>
          <w:szCs w:val="24"/>
          <w:highlight w:val="white"/>
        </w:rPr>
        <w:t xml:space="preserve"> 签订合同</w:t>
      </w:r>
      <w:bookmarkEnd w:id="175"/>
    </w:p>
    <w:p w14:paraId="1A1CA724">
      <w:pPr>
        <w:spacing w:line="360" w:lineRule="auto"/>
        <w:ind w:firstLine="480" w:firstLineChars="200"/>
        <w:rPr>
          <w:sz w:val="24"/>
        </w:rPr>
      </w:pPr>
      <w:r>
        <w:rPr>
          <w:rFonts w:hint="eastAsia"/>
          <w:sz w:val="24"/>
          <w:highlight w:val="white"/>
        </w:rPr>
        <w:t xml:space="preserve">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28FE776F">
      <w:pPr>
        <w:spacing w:line="360" w:lineRule="auto"/>
        <w:ind w:firstLine="480" w:firstLineChars="200"/>
        <w:rPr>
          <w:rFonts w:hint="eastAsia"/>
          <w:sz w:val="24"/>
        </w:rPr>
      </w:pPr>
      <w:r>
        <w:rPr>
          <w:rFonts w:hint="eastAsia"/>
          <w:sz w:val="24"/>
          <w:highlight w:val="white"/>
        </w:rPr>
        <w:t xml:space="preserve">7.5.2 发出中标通知书后，招标人无正当理由拒签合同的，招标人向中标人退还投标保证金；给中标人造成损失的，还应当赔偿损失。 </w:t>
      </w:r>
    </w:p>
    <w:p w14:paraId="21D2A0E7">
      <w:pPr>
        <w:rPr>
          <w:rFonts w:hint="eastAsia"/>
          <w:color w:val="000080"/>
          <w:sz w:val="20"/>
          <w:highlight w:val="cyan"/>
        </w:rPr>
      </w:pPr>
      <w:bookmarkStart w:id="176" w:name="EB83e5ebc041ff41f69f89fdef278b0664"/>
      <w:r>
        <w:rPr>
          <w:rFonts w:hint="eastAsia"/>
          <w:color w:val="000080"/>
          <w:sz w:val="20"/>
          <w:highlight w:val="white"/>
        </w:rPr>
        <w:t xml:space="preserve"> </w:t>
      </w:r>
      <w:bookmarkEnd w:id="176"/>
    </w:p>
    <w:p w14:paraId="2B0DC4E6">
      <w:pPr>
        <w:rPr>
          <w:highlight w:val="yellow"/>
        </w:rPr>
      </w:pPr>
      <w:bookmarkStart w:id="177" w:name="EBb3b4f6fa5b8b405e84e4791a3d82e3b7"/>
      <w:r>
        <w:rPr>
          <w:rFonts w:hint="eastAsia"/>
          <w:color w:val="000080"/>
          <w:sz w:val="20"/>
          <w:highlight w:val="white"/>
        </w:rPr>
        <w:t xml:space="preserve"> </w:t>
      </w:r>
      <w:bookmarkEnd w:id="177"/>
      <w:bookmarkStart w:id="178" w:name="EBc6316e21dd094d1090841d57e930db3c"/>
      <w:r>
        <w:rPr>
          <w:rFonts w:hint="eastAsia"/>
          <w:color w:val="000080"/>
          <w:sz w:val="20"/>
          <w:highlight w:val="white"/>
        </w:rPr>
        <w:t xml:space="preserve"> </w:t>
      </w:r>
      <w:bookmarkEnd w:id="178"/>
    </w:p>
    <w:p w14:paraId="3039C928">
      <w:pPr>
        <w:pStyle w:val="3"/>
        <w:spacing w:line="360" w:lineRule="auto"/>
        <w:rPr>
          <w:sz w:val="24"/>
          <w:szCs w:val="24"/>
        </w:rPr>
      </w:pPr>
      <w:bookmarkStart w:id="179" w:name="_Toc256000061"/>
      <w:r>
        <w:rPr>
          <w:rFonts w:hint="eastAsia"/>
          <w:sz w:val="24"/>
          <w:szCs w:val="24"/>
          <w:highlight w:val="white"/>
        </w:rPr>
        <w:t>8. 纪律和监督</w:t>
      </w:r>
      <w:bookmarkEnd w:id="179"/>
    </w:p>
    <w:p w14:paraId="2383C5DF">
      <w:pPr>
        <w:pStyle w:val="4"/>
        <w:spacing w:line="360" w:lineRule="auto"/>
        <w:ind w:firstLine="118"/>
        <w:rPr>
          <w:sz w:val="24"/>
          <w:szCs w:val="24"/>
        </w:rPr>
      </w:pPr>
      <w:bookmarkStart w:id="180" w:name="_Toc256000062"/>
      <w:r>
        <w:rPr>
          <w:rFonts w:hint="eastAsia" w:ascii="Times New Roman" w:hAnsi="Times New Roman"/>
          <w:sz w:val="24"/>
          <w:szCs w:val="24"/>
          <w:highlight w:val="white"/>
        </w:rPr>
        <w:t>8.1</w:t>
      </w:r>
      <w:r>
        <w:rPr>
          <w:rFonts w:hint="eastAsia"/>
          <w:sz w:val="24"/>
          <w:szCs w:val="24"/>
          <w:highlight w:val="white"/>
        </w:rPr>
        <w:t xml:space="preserve"> 对招标人的纪律要求</w:t>
      </w:r>
      <w:bookmarkEnd w:id="180"/>
    </w:p>
    <w:p w14:paraId="3F09F93D">
      <w:pPr>
        <w:spacing w:line="360" w:lineRule="auto"/>
        <w:ind w:firstLine="480" w:firstLineChars="200"/>
        <w:rPr>
          <w:sz w:val="24"/>
        </w:rPr>
      </w:pPr>
      <w:r>
        <w:rPr>
          <w:rFonts w:hint="eastAsia"/>
          <w:sz w:val="24"/>
          <w:highlight w:val="white"/>
        </w:rPr>
        <w:t>招标人不得泄漏招标投标活动中应当保密的情况和资料，不得与投标人串通损害国家利益、社会公共利益或者他人合法权益。</w:t>
      </w:r>
    </w:p>
    <w:p w14:paraId="76B2F25D">
      <w:pPr>
        <w:pStyle w:val="4"/>
        <w:spacing w:line="360" w:lineRule="auto"/>
        <w:ind w:firstLine="118"/>
        <w:rPr>
          <w:sz w:val="24"/>
          <w:szCs w:val="24"/>
        </w:rPr>
      </w:pPr>
      <w:bookmarkStart w:id="181" w:name="_Toc256000063"/>
      <w:r>
        <w:rPr>
          <w:rFonts w:hint="eastAsia" w:ascii="Times New Roman" w:hAnsi="Times New Roman"/>
          <w:sz w:val="24"/>
          <w:szCs w:val="24"/>
          <w:highlight w:val="white"/>
        </w:rPr>
        <w:t>8.2</w:t>
      </w:r>
      <w:r>
        <w:rPr>
          <w:rFonts w:hint="eastAsia"/>
          <w:sz w:val="24"/>
          <w:szCs w:val="24"/>
          <w:highlight w:val="white"/>
        </w:rPr>
        <w:t xml:space="preserve"> 对投标人的纪律要求</w:t>
      </w:r>
      <w:bookmarkEnd w:id="181"/>
    </w:p>
    <w:p w14:paraId="0A637CFB">
      <w:pPr>
        <w:spacing w:line="360" w:lineRule="auto"/>
        <w:ind w:firstLine="480" w:firstLineChars="200"/>
        <w:rPr>
          <w:sz w:val="24"/>
        </w:rPr>
      </w:pPr>
      <w:r>
        <w:rPr>
          <w:rFonts w:hint="eastAsia"/>
          <w:sz w:val="24"/>
          <w:highlight w:val="whit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C6B1BA4">
      <w:pPr>
        <w:pStyle w:val="4"/>
        <w:spacing w:line="360" w:lineRule="auto"/>
        <w:ind w:firstLine="118"/>
        <w:rPr>
          <w:sz w:val="24"/>
          <w:szCs w:val="24"/>
        </w:rPr>
      </w:pPr>
      <w:bookmarkStart w:id="182" w:name="_Toc256000064"/>
      <w:r>
        <w:rPr>
          <w:rFonts w:hint="eastAsia" w:ascii="Times New Roman" w:hAnsi="Times New Roman"/>
          <w:sz w:val="24"/>
          <w:szCs w:val="24"/>
          <w:highlight w:val="white"/>
        </w:rPr>
        <w:t>8.3</w:t>
      </w:r>
      <w:r>
        <w:rPr>
          <w:rFonts w:hint="eastAsia"/>
          <w:sz w:val="24"/>
          <w:szCs w:val="24"/>
          <w:highlight w:val="white"/>
        </w:rPr>
        <w:t xml:space="preserve"> 对评标委员会成员的纪律要求</w:t>
      </w:r>
      <w:bookmarkEnd w:id="182"/>
    </w:p>
    <w:p w14:paraId="0841C080">
      <w:pPr>
        <w:spacing w:line="360" w:lineRule="auto"/>
        <w:ind w:firstLine="480" w:firstLineChars="200"/>
        <w:rPr>
          <w:sz w:val="24"/>
        </w:rPr>
      </w:pPr>
      <w:r>
        <w:rPr>
          <w:rFonts w:hint="eastAsia"/>
          <w:sz w:val="24"/>
          <w:highlight w:val="whit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F1D36FF">
      <w:pPr>
        <w:pStyle w:val="4"/>
        <w:spacing w:line="360" w:lineRule="auto"/>
        <w:ind w:firstLine="118"/>
        <w:rPr>
          <w:sz w:val="24"/>
          <w:szCs w:val="24"/>
        </w:rPr>
      </w:pPr>
      <w:bookmarkStart w:id="183" w:name="_Toc256000065"/>
      <w:r>
        <w:rPr>
          <w:rFonts w:hint="eastAsia" w:ascii="Times New Roman" w:hAnsi="Times New Roman"/>
          <w:sz w:val="24"/>
          <w:szCs w:val="24"/>
          <w:highlight w:val="white"/>
        </w:rPr>
        <w:t>8.4</w:t>
      </w:r>
      <w:r>
        <w:rPr>
          <w:rFonts w:hint="eastAsia"/>
          <w:sz w:val="24"/>
          <w:szCs w:val="24"/>
          <w:highlight w:val="white"/>
        </w:rPr>
        <w:t xml:space="preserve"> 对与评标活动有关的工作人员的纪律要求</w:t>
      </w:r>
      <w:bookmarkEnd w:id="183"/>
    </w:p>
    <w:p w14:paraId="75D07DFA">
      <w:pPr>
        <w:spacing w:line="360" w:lineRule="auto"/>
        <w:ind w:firstLine="480" w:firstLineChars="200"/>
        <w:rPr>
          <w:sz w:val="24"/>
        </w:rPr>
      </w:pPr>
      <w:r>
        <w:rPr>
          <w:rFonts w:hint="eastAsia"/>
          <w:sz w:val="24"/>
          <w:highlight w:val="whit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EBA0F8F">
      <w:pPr>
        <w:pStyle w:val="4"/>
        <w:spacing w:line="360" w:lineRule="auto"/>
        <w:ind w:firstLine="118"/>
        <w:rPr>
          <w:sz w:val="24"/>
          <w:szCs w:val="24"/>
        </w:rPr>
      </w:pPr>
      <w:bookmarkStart w:id="184" w:name="_Toc256000066"/>
      <w:r>
        <w:rPr>
          <w:rFonts w:hint="eastAsia" w:ascii="Times New Roman" w:hAnsi="Times New Roman"/>
          <w:sz w:val="24"/>
          <w:szCs w:val="24"/>
          <w:highlight w:val="white"/>
        </w:rPr>
        <w:t>8.5</w:t>
      </w:r>
      <w:r>
        <w:rPr>
          <w:rFonts w:hint="eastAsia"/>
          <w:sz w:val="24"/>
          <w:szCs w:val="24"/>
          <w:highlight w:val="white"/>
        </w:rPr>
        <w:t xml:space="preserve"> 投诉</w:t>
      </w:r>
      <w:bookmarkEnd w:id="184"/>
    </w:p>
    <w:p w14:paraId="05723B30">
      <w:pPr>
        <w:spacing w:line="360" w:lineRule="auto"/>
        <w:ind w:firstLine="480" w:firstLineChars="200"/>
        <w:rPr>
          <w:rFonts w:hint="eastAsia"/>
          <w:sz w:val="24"/>
        </w:rPr>
      </w:pPr>
      <w:r>
        <w:rPr>
          <w:rFonts w:hint="eastAsia"/>
          <w:sz w:val="24"/>
          <w:highlight w:val="white"/>
        </w:rPr>
        <w:t>投标人和其他利害关系人认为本次招标活动违反法律、法规和规章规定的，有权向有关行政监督部门投诉。</w:t>
      </w:r>
    </w:p>
    <w:p w14:paraId="5C8E3A1B">
      <w:pPr>
        <w:rPr>
          <w:rFonts w:hint="eastAsia"/>
          <w:color w:val="000080"/>
          <w:sz w:val="20"/>
          <w:highlight w:val="cyan"/>
        </w:rPr>
      </w:pPr>
      <w:bookmarkStart w:id="185" w:name="EB76acfb7e9f084da988e70ecc468ec232"/>
      <w:r>
        <w:rPr>
          <w:rFonts w:hint="eastAsia"/>
          <w:color w:val="000080"/>
          <w:sz w:val="20"/>
          <w:highlight w:val="white"/>
        </w:rPr>
        <w:t xml:space="preserve"> </w:t>
      </w:r>
      <w:bookmarkEnd w:id="185"/>
    </w:p>
    <w:p w14:paraId="62BC52D0">
      <w:pPr>
        <w:rPr>
          <w:highlight w:val="yellow"/>
        </w:rPr>
      </w:pPr>
      <w:bookmarkStart w:id="186" w:name="EB88742a568912486faee483b125393b77"/>
      <w:r>
        <w:rPr>
          <w:rFonts w:hint="eastAsia"/>
          <w:color w:val="000080"/>
          <w:sz w:val="20"/>
          <w:highlight w:val="white"/>
        </w:rPr>
        <w:t xml:space="preserve"> </w:t>
      </w:r>
      <w:bookmarkEnd w:id="186"/>
      <w:bookmarkStart w:id="187" w:name="EB58b7885fd0a24bafae1530140c828890"/>
      <w:r>
        <w:rPr>
          <w:rFonts w:hint="eastAsia"/>
          <w:color w:val="000080"/>
          <w:sz w:val="20"/>
          <w:highlight w:val="white"/>
        </w:rPr>
        <w:t xml:space="preserve"> </w:t>
      </w:r>
      <w:bookmarkEnd w:id="187"/>
    </w:p>
    <w:p w14:paraId="3874EAD7">
      <w:pPr>
        <w:pStyle w:val="3"/>
        <w:spacing w:line="360" w:lineRule="auto"/>
        <w:rPr>
          <w:sz w:val="24"/>
          <w:szCs w:val="24"/>
        </w:rPr>
      </w:pPr>
      <w:bookmarkStart w:id="188" w:name="_Toc256000067"/>
      <w:r>
        <w:rPr>
          <w:rFonts w:hint="eastAsia"/>
          <w:sz w:val="24"/>
          <w:szCs w:val="24"/>
          <w:highlight w:val="white"/>
        </w:rPr>
        <w:t>9. 需要补充的其他内容</w:t>
      </w:r>
      <w:bookmarkEnd w:id="188"/>
    </w:p>
    <w:p w14:paraId="72BCA647">
      <w:pPr>
        <w:spacing w:line="360" w:lineRule="auto"/>
        <w:ind w:firstLine="480" w:firstLineChars="200"/>
        <w:rPr>
          <w:rFonts w:hint="eastAsia"/>
          <w:sz w:val="24"/>
        </w:rPr>
      </w:pPr>
      <w:r>
        <w:rPr>
          <w:rFonts w:hint="eastAsia"/>
          <w:sz w:val="24"/>
          <w:highlight w:val="white"/>
        </w:rPr>
        <w:t>需要补充的其他内容：见投标人须知前附表。</w:t>
      </w:r>
    </w:p>
    <w:p w14:paraId="3754AFB2">
      <w:pPr>
        <w:rPr>
          <w:rFonts w:hint="eastAsia"/>
          <w:highlight w:val="cyan"/>
        </w:rPr>
      </w:pPr>
      <w:bookmarkStart w:id="189" w:name="EB8e601740dcfe44b186f544e9069338c2"/>
      <w:r>
        <w:rPr>
          <w:rFonts w:hint="eastAsia"/>
          <w:color w:val="000080"/>
          <w:sz w:val="20"/>
          <w:highlight w:val="white"/>
        </w:rPr>
        <w:t xml:space="preserve"> </w:t>
      </w:r>
      <w:bookmarkEnd w:id="189"/>
    </w:p>
    <w:p w14:paraId="6EBAA995">
      <w:pPr>
        <w:rPr>
          <w:highlight w:val="yellow"/>
        </w:rPr>
      </w:pPr>
      <w:r>
        <w:rPr>
          <w:highlight w:val="white"/>
        </w:rPr>
        <w:br w:type="page"/>
      </w:r>
      <w:bookmarkStart w:id="190" w:name="EB4c655af83758429d9028e3ab36b97f2e"/>
      <w:r>
        <w:rPr>
          <w:rFonts w:hint="eastAsia"/>
          <w:color w:val="000080"/>
          <w:sz w:val="20"/>
          <w:highlight w:val="white"/>
        </w:rPr>
        <w:t xml:space="preserve"> </w:t>
      </w:r>
      <w:bookmarkEnd w:id="190"/>
      <w:bookmarkStart w:id="191" w:name="EB18520766d1fb4fc989968a6eca46f169"/>
      <w:r>
        <w:rPr>
          <w:rFonts w:hint="eastAsia"/>
          <w:color w:val="000080"/>
          <w:sz w:val="20"/>
          <w:highlight w:val="white"/>
        </w:rPr>
        <w:t xml:space="preserve"> </w:t>
      </w:r>
      <w:bookmarkEnd w:id="191"/>
    </w:p>
    <w:p w14:paraId="4E46F514">
      <w:pPr>
        <w:pStyle w:val="3"/>
        <w:spacing w:line="360" w:lineRule="auto"/>
        <w:rPr>
          <w:rFonts w:hint="eastAsia" w:ascii="宋体" w:hAnsi="宋体" w:eastAsia="宋体"/>
          <w:sz w:val="24"/>
          <w:szCs w:val="24"/>
        </w:rPr>
      </w:pPr>
      <w:bookmarkStart w:id="192" w:name="_Toc256000068"/>
      <w:r>
        <w:rPr>
          <w:rFonts w:hint="eastAsia" w:ascii="宋体" w:hAnsi="宋体" w:eastAsia="宋体"/>
          <w:sz w:val="24"/>
          <w:szCs w:val="24"/>
          <w:highlight w:val="white"/>
        </w:rPr>
        <w:t>附件一：开标记录表</w:t>
      </w:r>
      <w:bookmarkEnd w:id="192"/>
    </w:p>
    <w:p w14:paraId="72264A49">
      <w:pPr>
        <w:spacing w:line="400" w:lineRule="exact"/>
      </w:pPr>
      <w:r>
        <w:rPr>
          <w:highlight w:val="white"/>
        </w:rPr>
        <w:t xml:space="preserve">              </w:t>
      </w:r>
    </w:p>
    <w:p w14:paraId="5FE9D0D1">
      <w:pPr>
        <w:spacing w:line="360" w:lineRule="auto"/>
        <w:jc w:val="center"/>
        <w:rPr>
          <w:rFonts w:hint="eastAsia" w:ascii="宋体" w:hAnsi="宋体"/>
          <w:b/>
          <w:sz w:val="24"/>
        </w:rPr>
      </w:pPr>
      <w:r>
        <w:rPr>
          <w:rFonts w:hint="eastAsia" w:ascii="宋体" w:hAnsi="宋体"/>
          <w:b/>
          <w:sz w:val="24"/>
          <w:highlight w:val="white"/>
          <w:u w:val="single"/>
        </w:rPr>
        <w:t xml:space="preserve">     （项目名称）</w:t>
      </w:r>
      <w:r>
        <w:rPr>
          <w:rFonts w:hint="eastAsia" w:ascii="宋体" w:hAnsi="宋体"/>
          <w:b/>
          <w:sz w:val="24"/>
          <w:highlight w:val="white"/>
        </w:rPr>
        <w:t>设计施工总承包</w:t>
      </w:r>
      <w:r>
        <w:rPr>
          <w:rFonts w:hint="eastAsia" w:ascii="宋体" w:hAnsi="宋体"/>
          <w:b/>
          <w:sz w:val="24"/>
          <w:highlight w:val="white"/>
          <w:u w:val="single"/>
        </w:rPr>
        <w:t xml:space="preserve">    </w:t>
      </w:r>
      <w:r>
        <w:rPr>
          <w:rFonts w:hint="eastAsia" w:ascii="宋体" w:hAnsi="宋体"/>
          <w:b/>
          <w:sz w:val="24"/>
          <w:highlight w:val="white"/>
        </w:rPr>
        <w:t>标段招标开标记录表</w:t>
      </w:r>
    </w:p>
    <w:p w14:paraId="794173C0">
      <w:pPr>
        <w:spacing w:line="400" w:lineRule="exact"/>
      </w:pPr>
    </w:p>
    <w:p w14:paraId="14E0A136">
      <w:pPr>
        <w:spacing w:line="400" w:lineRule="exact"/>
        <w:ind w:right="420" w:firstLine="2400" w:firstLineChars="1000"/>
        <w:rPr>
          <w:rFonts w:hint="eastAsia" w:ascii="宋体" w:hAnsi="宋体" w:cs="宋体"/>
          <w:sz w:val="24"/>
        </w:rPr>
      </w:pPr>
      <w:r>
        <w:rPr>
          <w:rFonts w:hint="eastAsia" w:ascii="宋体" w:hAnsi="宋体" w:cs="宋体"/>
          <w:sz w:val="24"/>
          <w:highlight w:val="white"/>
        </w:rPr>
        <w:t>开标时间：</w:t>
      </w:r>
      <w:r>
        <w:rPr>
          <w:rFonts w:hint="eastAsia" w:ascii="宋体" w:hAnsi="宋体" w:cs="宋体"/>
          <w:sz w:val="24"/>
          <w:highlight w:val="white"/>
          <w:u w:val="single"/>
        </w:rPr>
        <w:t xml:space="preserve">    </w:t>
      </w:r>
      <w:r>
        <w:rPr>
          <w:rFonts w:hint="eastAsia" w:ascii="宋体" w:hAnsi="宋体" w:cs="宋体"/>
          <w:sz w:val="24"/>
          <w:highlight w:val="white"/>
        </w:rPr>
        <w:t>年</w:t>
      </w:r>
      <w:r>
        <w:rPr>
          <w:rFonts w:hint="eastAsia" w:ascii="宋体" w:hAnsi="宋体" w:cs="宋体"/>
          <w:sz w:val="24"/>
          <w:highlight w:val="white"/>
          <w:u w:val="single"/>
        </w:rPr>
        <w:t xml:space="preserve">    </w:t>
      </w:r>
      <w:r>
        <w:rPr>
          <w:rFonts w:hint="eastAsia" w:ascii="宋体" w:hAnsi="宋体" w:cs="宋体"/>
          <w:sz w:val="24"/>
          <w:highlight w:val="white"/>
        </w:rPr>
        <w:t>月</w:t>
      </w:r>
      <w:r>
        <w:rPr>
          <w:rFonts w:hint="eastAsia" w:ascii="宋体" w:hAnsi="宋体" w:cs="宋体"/>
          <w:sz w:val="24"/>
          <w:highlight w:val="white"/>
          <w:u w:val="single"/>
        </w:rPr>
        <w:t xml:space="preserve">    </w:t>
      </w:r>
      <w:r>
        <w:rPr>
          <w:rFonts w:hint="eastAsia" w:ascii="宋体" w:hAnsi="宋体" w:cs="宋体"/>
          <w:sz w:val="24"/>
          <w:highlight w:val="white"/>
        </w:rPr>
        <w:t>日</w:t>
      </w:r>
      <w:r>
        <w:rPr>
          <w:rFonts w:hint="eastAsia" w:ascii="宋体" w:hAnsi="宋体" w:cs="宋体"/>
          <w:sz w:val="24"/>
          <w:highlight w:val="white"/>
          <w:u w:val="single"/>
        </w:rPr>
        <w:t xml:space="preserve">     </w:t>
      </w:r>
      <w:r>
        <w:rPr>
          <w:rFonts w:hint="eastAsia" w:ascii="宋体" w:hAnsi="宋体" w:cs="宋体"/>
          <w:sz w:val="24"/>
          <w:highlight w:val="white"/>
        </w:rPr>
        <w:t>时</w:t>
      </w:r>
      <w:r>
        <w:rPr>
          <w:rFonts w:hint="eastAsia" w:ascii="宋体" w:hAnsi="宋体" w:cs="宋体"/>
          <w:sz w:val="24"/>
          <w:highlight w:val="white"/>
          <w:u w:val="single"/>
        </w:rPr>
        <w:t xml:space="preserve">      </w:t>
      </w:r>
      <w:r>
        <w:rPr>
          <w:rFonts w:hint="eastAsia" w:ascii="宋体" w:hAnsi="宋体" w:cs="宋体"/>
          <w:sz w:val="24"/>
          <w:highlight w:val="white"/>
        </w:rPr>
        <w:t>分</w:t>
      </w:r>
    </w:p>
    <w:p w14:paraId="0341784A">
      <w:pPr>
        <w:spacing w:line="400" w:lineRule="exact"/>
        <w:ind w:right="420" w:firstLine="5160" w:firstLineChars="2150"/>
        <w:rPr>
          <w:rFonts w:hint="eastAsia" w:ascii="宋体" w:hAnsi="宋体" w:cs="宋体"/>
          <w:sz w:val="24"/>
        </w:rPr>
      </w:pPr>
    </w:p>
    <w:tbl>
      <w:tblPr>
        <w:tblStyle w:val="33"/>
        <w:tblW w:w="0" w:type="auto"/>
        <w:tblInd w:w="0" w:type="dxa"/>
        <w:tblLayout w:type="fixed"/>
        <w:tblCellMar>
          <w:top w:w="0" w:type="dxa"/>
          <w:left w:w="108" w:type="dxa"/>
          <w:bottom w:w="0" w:type="dxa"/>
          <w:right w:w="108" w:type="dxa"/>
        </w:tblCellMar>
      </w:tblPr>
      <w:tblGrid>
        <w:gridCol w:w="649"/>
        <w:gridCol w:w="945"/>
        <w:gridCol w:w="1419"/>
        <w:gridCol w:w="1206"/>
        <w:gridCol w:w="1667"/>
        <w:gridCol w:w="1758"/>
        <w:gridCol w:w="700"/>
        <w:gridCol w:w="763"/>
      </w:tblGrid>
      <w:tr w14:paraId="7DAAA00C">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center"/>
          </w:tcPr>
          <w:p w14:paraId="1683509C">
            <w:pPr>
              <w:spacing w:line="500" w:lineRule="exact"/>
              <w:jc w:val="center"/>
              <w:rPr>
                <w:rFonts w:hint="eastAsia" w:ascii="宋体" w:hAnsi="宋体" w:cs="宋体"/>
                <w:sz w:val="24"/>
              </w:rPr>
            </w:pPr>
            <w:r>
              <w:rPr>
                <w:rFonts w:hint="eastAsia" w:ascii="宋体" w:hAnsi="宋体" w:cs="宋体"/>
                <w:sz w:val="24"/>
                <w:highlight w:val="whit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81209A2">
            <w:pPr>
              <w:spacing w:line="500" w:lineRule="exact"/>
              <w:jc w:val="center"/>
              <w:rPr>
                <w:rFonts w:hint="eastAsia" w:ascii="宋体" w:hAnsi="宋体" w:cs="宋体"/>
                <w:sz w:val="24"/>
              </w:rPr>
            </w:pPr>
            <w:r>
              <w:rPr>
                <w:rFonts w:hint="eastAsia" w:ascii="宋体" w:hAnsi="宋体" w:cs="宋体"/>
                <w:sz w:val="24"/>
                <w:highlight w:val="white"/>
              </w:rPr>
              <w:t>投标人</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2A4B4391">
            <w:pPr>
              <w:spacing w:line="500" w:lineRule="exact"/>
              <w:jc w:val="center"/>
              <w:rPr>
                <w:rFonts w:hint="eastAsia" w:ascii="宋体" w:hAnsi="宋体" w:cs="宋体"/>
                <w:sz w:val="24"/>
              </w:rPr>
            </w:pPr>
            <w:r>
              <w:rPr>
                <w:rFonts w:hint="eastAsia" w:ascii="宋体" w:hAnsi="宋体" w:cs="宋体"/>
                <w:sz w:val="24"/>
                <w:highlight w:val="white"/>
              </w:rPr>
              <w:t>是否提交投标保证金</w:t>
            </w:r>
          </w:p>
        </w:tc>
        <w:tc>
          <w:tcPr>
            <w:tcW w:w="1206" w:type="dxa"/>
            <w:tcBorders>
              <w:top w:val="single" w:color="auto" w:sz="4" w:space="0"/>
              <w:left w:val="single" w:color="auto" w:sz="4" w:space="0"/>
              <w:bottom w:val="single" w:color="auto" w:sz="4" w:space="0"/>
              <w:right w:val="single" w:color="auto" w:sz="4" w:space="0"/>
            </w:tcBorders>
            <w:noWrap w:val="0"/>
            <w:vAlign w:val="center"/>
          </w:tcPr>
          <w:p w14:paraId="430E6A65">
            <w:pPr>
              <w:spacing w:line="500" w:lineRule="exact"/>
              <w:jc w:val="center"/>
              <w:rPr>
                <w:rFonts w:hint="eastAsia" w:ascii="宋体" w:hAnsi="宋体" w:cs="宋体"/>
                <w:sz w:val="24"/>
              </w:rPr>
            </w:pPr>
            <w:r>
              <w:rPr>
                <w:rFonts w:hint="eastAsia" w:ascii="宋体" w:hAnsi="宋体" w:cs="宋体"/>
                <w:sz w:val="24"/>
                <w:highlight w:val="white"/>
              </w:rPr>
              <w:t>投标报价</w:t>
            </w:r>
          </w:p>
        </w:tc>
        <w:tc>
          <w:tcPr>
            <w:tcW w:w="1667" w:type="dxa"/>
            <w:tcBorders>
              <w:top w:val="single" w:color="auto" w:sz="4" w:space="0"/>
              <w:left w:val="single" w:color="auto" w:sz="4" w:space="0"/>
              <w:bottom w:val="single" w:color="auto" w:sz="4" w:space="0"/>
              <w:right w:val="single" w:color="auto" w:sz="4" w:space="0"/>
            </w:tcBorders>
            <w:noWrap w:val="0"/>
            <w:vAlign w:val="center"/>
          </w:tcPr>
          <w:p w14:paraId="24791D23">
            <w:pPr>
              <w:spacing w:line="500" w:lineRule="exact"/>
              <w:jc w:val="center"/>
              <w:rPr>
                <w:rFonts w:hint="eastAsia" w:ascii="宋体" w:hAnsi="宋体" w:cs="宋体"/>
                <w:sz w:val="24"/>
              </w:rPr>
            </w:pPr>
            <w:r>
              <w:rPr>
                <w:rFonts w:hint="eastAsia" w:ascii="宋体" w:hAnsi="宋体" w:cs="宋体"/>
                <w:sz w:val="24"/>
                <w:highlight w:val="white"/>
              </w:rPr>
              <w:t>设计质量标准</w:t>
            </w:r>
          </w:p>
        </w:tc>
        <w:tc>
          <w:tcPr>
            <w:tcW w:w="1758" w:type="dxa"/>
            <w:tcBorders>
              <w:top w:val="single" w:color="auto" w:sz="4" w:space="0"/>
              <w:left w:val="single" w:color="auto" w:sz="4" w:space="0"/>
              <w:bottom w:val="single" w:color="auto" w:sz="4" w:space="0"/>
              <w:right w:val="single" w:color="auto" w:sz="4" w:space="0"/>
            </w:tcBorders>
            <w:noWrap w:val="0"/>
            <w:vAlign w:val="center"/>
          </w:tcPr>
          <w:p w14:paraId="0BE33113">
            <w:pPr>
              <w:spacing w:line="500" w:lineRule="exact"/>
              <w:jc w:val="center"/>
              <w:rPr>
                <w:rFonts w:hint="eastAsia" w:ascii="宋体" w:hAnsi="宋体" w:cs="宋体"/>
                <w:sz w:val="24"/>
              </w:rPr>
            </w:pPr>
            <w:r>
              <w:rPr>
                <w:rFonts w:hint="eastAsia" w:ascii="宋体" w:hAnsi="宋体" w:cs="宋体"/>
                <w:sz w:val="24"/>
                <w:highlight w:val="white"/>
              </w:rPr>
              <w:t>施工质量标准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6E3A0C8A">
            <w:pPr>
              <w:spacing w:line="500" w:lineRule="exact"/>
              <w:jc w:val="center"/>
              <w:rPr>
                <w:rFonts w:hint="eastAsia" w:ascii="宋体" w:hAnsi="宋体" w:cs="宋体"/>
                <w:sz w:val="24"/>
              </w:rPr>
            </w:pPr>
            <w:r>
              <w:rPr>
                <w:rFonts w:hint="eastAsia" w:ascii="宋体" w:hAnsi="宋体" w:cs="宋体"/>
                <w:sz w:val="24"/>
                <w:highlight w:val="white"/>
              </w:rPr>
              <w:t>工期</w:t>
            </w:r>
          </w:p>
        </w:tc>
        <w:tc>
          <w:tcPr>
            <w:tcW w:w="763" w:type="dxa"/>
            <w:tcBorders>
              <w:top w:val="single" w:color="auto" w:sz="4" w:space="0"/>
              <w:left w:val="single" w:color="auto" w:sz="4" w:space="0"/>
              <w:bottom w:val="single" w:color="auto" w:sz="4" w:space="0"/>
              <w:right w:val="single" w:color="auto" w:sz="4" w:space="0"/>
            </w:tcBorders>
            <w:noWrap w:val="0"/>
            <w:vAlign w:val="center"/>
          </w:tcPr>
          <w:p w14:paraId="0174EF52">
            <w:pPr>
              <w:spacing w:line="500" w:lineRule="exact"/>
              <w:jc w:val="center"/>
              <w:rPr>
                <w:rFonts w:hint="eastAsia" w:ascii="宋体" w:hAnsi="宋体" w:cs="宋体"/>
                <w:sz w:val="24"/>
              </w:rPr>
            </w:pPr>
            <w:r>
              <w:rPr>
                <w:rFonts w:hint="eastAsia" w:ascii="宋体" w:hAnsi="宋体" w:cs="宋体"/>
                <w:sz w:val="24"/>
                <w:highlight w:val="white"/>
              </w:rPr>
              <w:t>备注</w:t>
            </w:r>
          </w:p>
        </w:tc>
      </w:tr>
      <w:tr w14:paraId="7354BB58">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03190C49">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213F653">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61336A9B">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4703389C">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47E5813B">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12258DDB">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5DA644B9">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697DA8FC">
            <w:pPr>
              <w:spacing w:line="500" w:lineRule="exact"/>
              <w:jc w:val="left"/>
              <w:rPr>
                <w:rFonts w:hint="eastAsia" w:ascii="宋体" w:hAnsi="宋体" w:cs="宋体"/>
                <w:szCs w:val="21"/>
              </w:rPr>
            </w:pPr>
          </w:p>
        </w:tc>
      </w:tr>
      <w:tr w14:paraId="7FCCC98F">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0F3B3C13">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18C2EB3">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7A6A64BF">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2C281094">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64D35E72">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3200E1A5">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5AE87A19">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59EC2D02">
            <w:pPr>
              <w:spacing w:line="500" w:lineRule="exact"/>
              <w:jc w:val="left"/>
              <w:rPr>
                <w:rFonts w:hint="eastAsia" w:ascii="宋体" w:hAnsi="宋体" w:cs="宋体"/>
                <w:szCs w:val="21"/>
              </w:rPr>
            </w:pPr>
          </w:p>
        </w:tc>
      </w:tr>
      <w:tr w14:paraId="0400CE6F">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36D2B8D2">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296E895">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0D01E2D6">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32EA1DC7">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29E99A37">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43569A95">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7B8CD43E">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471AEB88">
            <w:pPr>
              <w:spacing w:line="500" w:lineRule="exact"/>
              <w:jc w:val="left"/>
              <w:rPr>
                <w:rFonts w:hint="eastAsia" w:ascii="宋体" w:hAnsi="宋体" w:cs="宋体"/>
                <w:szCs w:val="21"/>
              </w:rPr>
            </w:pPr>
          </w:p>
        </w:tc>
      </w:tr>
      <w:tr w14:paraId="72A7DDDB">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79018C3B">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0345C4C">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5E5FF16E">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12A08880">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14A52417">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642FEBC6">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2EC3DD21">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5214B770">
            <w:pPr>
              <w:spacing w:line="500" w:lineRule="exact"/>
              <w:jc w:val="left"/>
              <w:rPr>
                <w:rFonts w:hint="eastAsia" w:ascii="宋体" w:hAnsi="宋体" w:cs="宋体"/>
                <w:szCs w:val="21"/>
              </w:rPr>
            </w:pPr>
          </w:p>
        </w:tc>
      </w:tr>
      <w:tr w14:paraId="451B1ACA">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6DE35533">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149ACA">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0056E590">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0E6FC057">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2BDF6E8C">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6AC264DE">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4E951A91">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2D06FC35">
            <w:pPr>
              <w:spacing w:line="500" w:lineRule="exact"/>
              <w:jc w:val="left"/>
              <w:rPr>
                <w:rFonts w:hint="eastAsia" w:ascii="宋体" w:hAnsi="宋体" w:cs="宋体"/>
                <w:szCs w:val="21"/>
              </w:rPr>
            </w:pPr>
          </w:p>
        </w:tc>
      </w:tr>
      <w:tr w14:paraId="50FA185D">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184F5E80">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9BC553">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31866465">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54C24AF7">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17ACE199">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702E4A37">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1951329B">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70DFF675">
            <w:pPr>
              <w:spacing w:line="500" w:lineRule="exact"/>
              <w:jc w:val="left"/>
              <w:rPr>
                <w:rFonts w:hint="eastAsia" w:ascii="宋体" w:hAnsi="宋体" w:cs="宋体"/>
                <w:szCs w:val="21"/>
              </w:rPr>
            </w:pPr>
          </w:p>
        </w:tc>
      </w:tr>
      <w:tr w14:paraId="09EEACB1">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4FCD3318">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2F2A863">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63B370BD">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2CB78F61">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58EFE1C0">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5EB6526A">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60B8FB87">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0259256F">
            <w:pPr>
              <w:spacing w:line="500" w:lineRule="exact"/>
              <w:jc w:val="left"/>
              <w:rPr>
                <w:rFonts w:hint="eastAsia" w:ascii="宋体" w:hAnsi="宋体" w:cs="宋体"/>
                <w:szCs w:val="21"/>
              </w:rPr>
            </w:pPr>
          </w:p>
        </w:tc>
      </w:tr>
      <w:tr w14:paraId="32248DF7">
        <w:tblPrEx>
          <w:tblCellMar>
            <w:top w:w="0" w:type="dxa"/>
            <w:left w:w="108" w:type="dxa"/>
            <w:bottom w:w="0" w:type="dxa"/>
            <w:right w:w="108" w:type="dxa"/>
          </w:tblCellMar>
        </w:tblPrEx>
        <w:trPr>
          <w:wBefore w:w="0" w:type="dxa"/>
          <w:trHeight w:val="57" w:hRule="atLeast"/>
        </w:trPr>
        <w:tc>
          <w:tcPr>
            <w:tcW w:w="649" w:type="dxa"/>
            <w:tcBorders>
              <w:top w:val="single" w:color="auto" w:sz="4" w:space="0"/>
              <w:left w:val="single" w:color="auto" w:sz="4" w:space="0"/>
              <w:bottom w:val="single" w:color="auto" w:sz="4" w:space="0"/>
              <w:right w:val="single" w:color="auto" w:sz="4" w:space="0"/>
            </w:tcBorders>
            <w:noWrap w:val="0"/>
            <w:vAlign w:val="top"/>
          </w:tcPr>
          <w:p w14:paraId="51632F64">
            <w:pPr>
              <w:spacing w:line="500" w:lineRule="exact"/>
              <w:jc w:val="left"/>
              <w:rPr>
                <w:rFonts w:hint="eastAsia"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106E553">
            <w:pPr>
              <w:spacing w:line="500" w:lineRule="exact"/>
              <w:jc w:val="left"/>
              <w:rPr>
                <w:rFonts w:hint="eastAsia" w:ascii="宋体" w:hAnsi="宋体" w:cs="宋体"/>
                <w:szCs w:val="21"/>
              </w:rPr>
            </w:pPr>
          </w:p>
        </w:tc>
        <w:tc>
          <w:tcPr>
            <w:tcW w:w="1419" w:type="dxa"/>
            <w:tcBorders>
              <w:top w:val="single" w:color="auto" w:sz="4" w:space="0"/>
              <w:left w:val="single" w:color="auto" w:sz="4" w:space="0"/>
              <w:bottom w:val="single" w:color="auto" w:sz="4" w:space="0"/>
              <w:right w:val="single" w:color="auto" w:sz="4" w:space="0"/>
            </w:tcBorders>
            <w:noWrap w:val="0"/>
            <w:vAlign w:val="top"/>
          </w:tcPr>
          <w:p w14:paraId="47323FD2">
            <w:pPr>
              <w:spacing w:line="500" w:lineRule="exact"/>
              <w:jc w:val="left"/>
              <w:rPr>
                <w:rFonts w:hint="eastAsia" w:ascii="宋体" w:hAnsi="宋体" w:cs="宋体"/>
                <w:szCs w:val="21"/>
              </w:rPr>
            </w:pPr>
          </w:p>
        </w:tc>
        <w:tc>
          <w:tcPr>
            <w:tcW w:w="1206" w:type="dxa"/>
            <w:tcBorders>
              <w:top w:val="single" w:color="auto" w:sz="4" w:space="0"/>
              <w:left w:val="single" w:color="auto" w:sz="4" w:space="0"/>
              <w:bottom w:val="single" w:color="auto" w:sz="4" w:space="0"/>
              <w:right w:val="single" w:color="auto" w:sz="4" w:space="0"/>
            </w:tcBorders>
            <w:noWrap w:val="0"/>
            <w:vAlign w:val="top"/>
          </w:tcPr>
          <w:p w14:paraId="04EA5AB7">
            <w:pPr>
              <w:spacing w:line="500" w:lineRule="exact"/>
              <w:jc w:val="left"/>
              <w:rPr>
                <w:rFonts w:hint="eastAsia" w:ascii="宋体" w:hAnsi="宋体" w:cs="宋体"/>
                <w:szCs w:val="21"/>
              </w:rPr>
            </w:pPr>
          </w:p>
        </w:tc>
        <w:tc>
          <w:tcPr>
            <w:tcW w:w="1667" w:type="dxa"/>
            <w:tcBorders>
              <w:top w:val="single" w:color="auto" w:sz="4" w:space="0"/>
              <w:left w:val="single" w:color="auto" w:sz="4" w:space="0"/>
              <w:bottom w:val="single" w:color="auto" w:sz="4" w:space="0"/>
              <w:right w:val="single" w:color="auto" w:sz="4" w:space="0"/>
            </w:tcBorders>
            <w:noWrap w:val="0"/>
            <w:vAlign w:val="top"/>
          </w:tcPr>
          <w:p w14:paraId="50063E4C">
            <w:pPr>
              <w:spacing w:line="500" w:lineRule="exact"/>
              <w:jc w:val="left"/>
              <w:rPr>
                <w:rFonts w:hint="eastAsia" w:ascii="宋体" w:hAnsi="宋体" w:cs="宋体"/>
                <w:szCs w:val="21"/>
              </w:rPr>
            </w:pPr>
          </w:p>
        </w:tc>
        <w:tc>
          <w:tcPr>
            <w:tcW w:w="1758" w:type="dxa"/>
            <w:tcBorders>
              <w:top w:val="single" w:color="auto" w:sz="4" w:space="0"/>
              <w:left w:val="single" w:color="auto" w:sz="4" w:space="0"/>
              <w:bottom w:val="single" w:color="auto" w:sz="4" w:space="0"/>
              <w:right w:val="single" w:color="auto" w:sz="4" w:space="0"/>
            </w:tcBorders>
            <w:noWrap w:val="0"/>
            <w:vAlign w:val="top"/>
          </w:tcPr>
          <w:p w14:paraId="4A6BC0DD">
            <w:pPr>
              <w:spacing w:line="500" w:lineRule="exact"/>
              <w:jc w:val="left"/>
              <w:rPr>
                <w:rFonts w:hint="eastAsia" w:ascii="宋体" w:hAnsi="宋体" w:cs="宋体"/>
                <w:szCs w:val="21"/>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42986C06">
            <w:pPr>
              <w:spacing w:line="500" w:lineRule="exact"/>
              <w:jc w:val="left"/>
              <w:rPr>
                <w:rFonts w:hint="eastAsia" w:ascii="宋体" w:hAnsi="宋体" w:cs="宋体"/>
                <w:szCs w:val="21"/>
              </w:rPr>
            </w:pPr>
          </w:p>
        </w:tc>
        <w:tc>
          <w:tcPr>
            <w:tcW w:w="763" w:type="dxa"/>
            <w:tcBorders>
              <w:top w:val="single" w:color="auto" w:sz="4" w:space="0"/>
              <w:left w:val="single" w:color="auto" w:sz="4" w:space="0"/>
              <w:bottom w:val="single" w:color="auto" w:sz="4" w:space="0"/>
              <w:right w:val="single" w:color="auto" w:sz="4" w:space="0"/>
            </w:tcBorders>
            <w:noWrap w:val="0"/>
            <w:vAlign w:val="top"/>
          </w:tcPr>
          <w:p w14:paraId="241EAA40">
            <w:pPr>
              <w:spacing w:line="500" w:lineRule="exact"/>
              <w:jc w:val="left"/>
              <w:rPr>
                <w:rFonts w:hint="eastAsia" w:ascii="宋体" w:hAnsi="宋体" w:cs="宋体"/>
                <w:szCs w:val="21"/>
              </w:rPr>
            </w:pPr>
          </w:p>
        </w:tc>
      </w:tr>
      <w:tr w14:paraId="64156273">
        <w:tblPrEx>
          <w:tblCellMar>
            <w:top w:w="0" w:type="dxa"/>
            <w:left w:w="108" w:type="dxa"/>
            <w:bottom w:w="0" w:type="dxa"/>
            <w:right w:w="108" w:type="dxa"/>
          </w:tblCellMar>
        </w:tblPrEx>
        <w:trPr>
          <w:wBefore w:w="0" w:type="dxa"/>
          <w:trHeight w:val="57" w:hRule="atLeast"/>
        </w:trPr>
        <w:tc>
          <w:tcPr>
            <w:tcW w:w="3013" w:type="dxa"/>
            <w:gridSpan w:val="3"/>
            <w:tcBorders>
              <w:top w:val="single" w:color="auto" w:sz="4" w:space="0"/>
              <w:left w:val="single" w:color="auto" w:sz="4" w:space="0"/>
              <w:bottom w:val="single" w:color="auto" w:sz="4" w:space="0"/>
              <w:right w:val="single" w:color="auto" w:sz="4" w:space="0"/>
            </w:tcBorders>
            <w:noWrap w:val="0"/>
            <w:vAlign w:val="top"/>
          </w:tcPr>
          <w:p w14:paraId="2331E192">
            <w:pPr>
              <w:spacing w:line="500" w:lineRule="exact"/>
              <w:jc w:val="left"/>
              <w:rPr>
                <w:rFonts w:hint="eastAsia" w:ascii="宋体" w:hAnsi="宋体" w:cs="宋体"/>
                <w:szCs w:val="21"/>
              </w:rPr>
            </w:pPr>
            <w:r>
              <w:rPr>
                <w:rFonts w:hint="eastAsia" w:ascii="宋体" w:hAnsi="宋体" w:cs="宋体"/>
                <w:szCs w:val="21"/>
                <w:highlight w:val="white"/>
              </w:rPr>
              <w:t>最高限价</w:t>
            </w:r>
          </w:p>
        </w:tc>
        <w:tc>
          <w:tcPr>
            <w:tcW w:w="6094" w:type="dxa"/>
            <w:gridSpan w:val="5"/>
            <w:tcBorders>
              <w:top w:val="single" w:color="auto" w:sz="4" w:space="0"/>
              <w:left w:val="single" w:color="auto" w:sz="4" w:space="0"/>
              <w:bottom w:val="single" w:color="auto" w:sz="4" w:space="0"/>
              <w:right w:val="single" w:color="auto" w:sz="4" w:space="0"/>
            </w:tcBorders>
            <w:noWrap w:val="0"/>
            <w:vAlign w:val="top"/>
          </w:tcPr>
          <w:p w14:paraId="2357E30E">
            <w:pPr>
              <w:spacing w:line="500" w:lineRule="exact"/>
              <w:jc w:val="left"/>
              <w:rPr>
                <w:rFonts w:hint="eastAsia" w:ascii="宋体" w:hAnsi="宋体" w:cs="宋体"/>
                <w:szCs w:val="21"/>
              </w:rPr>
            </w:pPr>
          </w:p>
        </w:tc>
      </w:tr>
    </w:tbl>
    <w:p w14:paraId="2AE2657D">
      <w:pPr>
        <w:spacing w:line="440" w:lineRule="exact"/>
        <w:rPr>
          <w:rFonts w:hint="eastAsia" w:ascii="宋体" w:hAnsi="宋体" w:cs="宋体"/>
          <w:szCs w:val="21"/>
        </w:rPr>
      </w:pPr>
      <w:r>
        <w:rPr>
          <w:rFonts w:hint="eastAsia" w:ascii="宋体" w:hAnsi="宋体" w:cs="宋体"/>
          <w:highlight w:val="white"/>
        </w:rPr>
        <w:t>　　</w:t>
      </w:r>
      <w:r>
        <w:rPr>
          <w:rFonts w:hint="eastAsia" w:ascii="宋体" w:hAnsi="宋体" w:cs="宋体"/>
          <w:szCs w:val="21"/>
          <w:highlight w:val="white"/>
        </w:rPr>
        <w:t>　</w:t>
      </w:r>
    </w:p>
    <w:p w14:paraId="32C63CA5">
      <w:pPr>
        <w:spacing w:line="360" w:lineRule="auto"/>
        <w:rPr>
          <w:rFonts w:ascii="宋体" w:hAnsi="宋体"/>
          <w:sz w:val="24"/>
          <w:u w:val="single"/>
        </w:rPr>
      </w:pPr>
      <w:r>
        <w:rPr>
          <w:rFonts w:hint="eastAsia" w:ascii="宋体" w:hAnsi="宋体"/>
          <w:sz w:val="24"/>
          <w:highlight w:val="white"/>
        </w:rPr>
        <w:t>招标人代表：</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监督</w:t>
      </w:r>
      <w:r>
        <w:rPr>
          <w:rFonts w:ascii="宋体" w:hAnsi="宋体"/>
          <w:sz w:val="24"/>
          <w:highlight w:val="white"/>
        </w:rPr>
        <w:t>人：</w:t>
      </w:r>
      <w:r>
        <w:rPr>
          <w:rFonts w:hint="eastAsia" w:ascii="宋体" w:hAnsi="宋体"/>
          <w:sz w:val="24"/>
          <w:highlight w:val="white"/>
          <w:u w:val="single"/>
        </w:rPr>
        <w:t xml:space="preserve">              </w:t>
      </w:r>
    </w:p>
    <w:p w14:paraId="5FEF905D">
      <w:pPr>
        <w:spacing w:line="360" w:lineRule="auto"/>
        <w:rPr>
          <w:rFonts w:ascii="宋体" w:hAnsi="宋体"/>
          <w:sz w:val="24"/>
          <w:u w:val="single"/>
        </w:rPr>
      </w:pPr>
      <w:r>
        <w:rPr>
          <w:rFonts w:hint="eastAsia" w:ascii="宋体" w:hAnsi="宋体"/>
          <w:sz w:val="24"/>
          <w:highlight w:val="white"/>
        </w:rPr>
        <w:t>招标代理机构代表：</w:t>
      </w:r>
      <w:r>
        <w:rPr>
          <w:rFonts w:hint="eastAsia"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记录人</w:t>
      </w:r>
      <w:r>
        <w:rPr>
          <w:rFonts w:ascii="宋体" w:hAnsi="宋体"/>
          <w:sz w:val="24"/>
          <w:highlight w:val="white"/>
        </w:rPr>
        <w:t>：</w:t>
      </w:r>
      <w:r>
        <w:rPr>
          <w:rFonts w:hint="eastAsia" w:ascii="宋体" w:hAnsi="宋体"/>
          <w:sz w:val="24"/>
          <w:highlight w:val="white"/>
          <w:u w:val="single"/>
        </w:rPr>
        <w:t xml:space="preserve">              </w:t>
      </w:r>
    </w:p>
    <w:p w14:paraId="09D6A844">
      <w:pPr>
        <w:spacing w:line="360" w:lineRule="auto"/>
        <w:rPr>
          <w:rFonts w:ascii="宋体" w:hAnsi="宋体"/>
          <w:sz w:val="24"/>
        </w:rPr>
      </w:pPr>
    </w:p>
    <w:p w14:paraId="79EE08C2">
      <w:pPr>
        <w:spacing w:line="360" w:lineRule="auto"/>
        <w:jc w:val="center"/>
        <w:rPr>
          <w:rFonts w:ascii="宋体" w:hAnsi="宋体"/>
          <w:sz w:val="24"/>
        </w:rPr>
      </w:pPr>
      <w:r>
        <w:rPr>
          <w:rFonts w:hint="eastAsia" w:ascii="宋体" w:hAnsi="宋体"/>
          <w:sz w:val="24"/>
          <w:highlight w:val="white"/>
        </w:rPr>
        <w:t xml:space="preserve">                                        年  月  日</w:t>
      </w:r>
    </w:p>
    <w:p w14:paraId="05A765D2">
      <w:pPr>
        <w:pStyle w:val="3"/>
        <w:spacing w:line="360" w:lineRule="auto"/>
        <w:rPr>
          <w:rFonts w:hint="eastAsia" w:ascii="宋体" w:hAnsi="宋体" w:eastAsia="宋体"/>
          <w:sz w:val="24"/>
          <w:szCs w:val="24"/>
        </w:rPr>
      </w:pPr>
      <w:r>
        <w:rPr>
          <w:rFonts w:hint="eastAsia" w:ascii="宋体" w:hAnsi="宋体" w:eastAsia="宋体"/>
          <w:sz w:val="24"/>
          <w:szCs w:val="24"/>
          <w:highlight w:val="white"/>
        </w:rPr>
        <w:br w:type="page"/>
      </w:r>
      <w:bookmarkStart w:id="193" w:name="_Toc256000069"/>
      <w:r>
        <w:rPr>
          <w:rFonts w:hint="eastAsia" w:ascii="宋体" w:hAnsi="宋体" w:eastAsia="宋体"/>
          <w:sz w:val="24"/>
          <w:szCs w:val="24"/>
          <w:highlight w:val="white"/>
        </w:rPr>
        <w:t>附件二：问题澄清通知</w:t>
      </w:r>
      <w:bookmarkEnd w:id="193"/>
    </w:p>
    <w:p w14:paraId="0EE47117">
      <w:pPr>
        <w:spacing w:line="440" w:lineRule="exact"/>
        <w:jc w:val="center"/>
        <w:rPr>
          <w:szCs w:val="21"/>
        </w:rPr>
      </w:pPr>
    </w:p>
    <w:p w14:paraId="726A3A65">
      <w:pPr>
        <w:spacing w:line="360" w:lineRule="auto"/>
        <w:jc w:val="center"/>
        <w:rPr>
          <w:rFonts w:hint="eastAsia" w:ascii="宋体" w:hAnsi="宋体"/>
          <w:b/>
          <w:sz w:val="24"/>
        </w:rPr>
      </w:pPr>
      <w:r>
        <w:rPr>
          <w:rFonts w:hint="eastAsia" w:ascii="宋体" w:hAnsi="宋体"/>
          <w:b/>
          <w:sz w:val="24"/>
          <w:highlight w:val="white"/>
        </w:rPr>
        <w:t>问题澄清通知</w:t>
      </w:r>
    </w:p>
    <w:p w14:paraId="2DEBCEFA">
      <w:pPr>
        <w:spacing w:line="440" w:lineRule="exact"/>
        <w:rPr>
          <w:szCs w:val="21"/>
        </w:rPr>
      </w:pPr>
      <w:r>
        <w:rPr>
          <w:szCs w:val="21"/>
          <w:highlight w:val="white"/>
        </w:rPr>
        <w:t xml:space="preserve">                               </w:t>
      </w:r>
      <w:r>
        <w:rPr>
          <w:rFonts w:hint="eastAsia"/>
          <w:szCs w:val="21"/>
          <w:highlight w:val="white"/>
        </w:rPr>
        <w:t xml:space="preserve">                                         </w:t>
      </w:r>
      <w:r>
        <w:rPr>
          <w:szCs w:val="21"/>
          <w:highlight w:val="white"/>
        </w:rPr>
        <w:t>编号：</w:t>
      </w:r>
    </w:p>
    <w:p w14:paraId="2A5FE51D">
      <w:pPr>
        <w:spacing w:line="440" w:lineRule="exact"/>
        <w:rPr>
          <w:szCs w:val="21"/>
        </w:rPr>
      </w:pPr>
    </w:p>
    <w:p w14:paraId="3AAA5838">
      <w:pPr>
        <w:widowControl/>
        <w:spacing w:line="360" w:lineRule="auto"/>
        <w:rPr>
          <w:rFonts w:ascii="宋体" w:hAnsi="宋体" w:cs="Arial"/>
          <w:kern w:val="0"/>
          <w:sz w:val="24"/>
        </w:rPr>
      </w:pPr>
      <w:r>
        <w:rPr>
          <w:szCs w:val="21"/>
          <w:highlight w:val="white"/>
        </w:rPr>
        <w:t xml:space="preserve">  </w:t>
      </w:r>
      <w:r>
        <w:rPr>
          <w:rFonts w:hint="eastAsia" w:cs="Arial"/>
          <w:kern w:val="0"/>
          <w:sz w:val="24"/>
          <w:highlight w:val="white"/>
          <w:u w:val="single"/>
        </w:rPr>
        <w:t xml:space="preserve">                    </w:t>
      </w:r>
      <w:r>
        <w:rPr>
          <w:rFonts w:hint="eastAsia" w:cs="Arial"/>
          <w:kern w:val="0"/>
          <w:sz w:val="24"/>
          <w:highlight w:val="white"/>
        </w:rPr>
        <w:t>（投标人名称）：</w:t>
      </w:r>
    </w:p>
    <w:p w14:paraId="08E3DCCB">
      <w:pPr>
        <w:widowControl/>
        <w:spacing w:line="360" w:lineRule="auto"/>
        <w:rPr>
          <w:rFonts w:cs="Arial"/>
          <w:kern w:val="0"/>
          <w:sz w:val="24"/>
          <w:u w:val="single"/>
        </w:rPr>
      </w:pPr>
      <w:r>
        <w:rPr>
          <w:rFonts w:eastAsia="Calibri" w:cs="Arial"/>
          <w:kern w:val="0"/>
          <w:sz w:val="24"/>
          <w:highlight w:val="white"/>
        </w:rPr>
        <w:t xml:space="preserve">   </w:t>
      </w:r>
      <w:r>
        <w:rPr>
          <w:rFonts w:hint="eastAsia" w:cs="Arial"/>
          <w:kern w:val="0"/>
          <w:sz w:val="24"/>
          <w:highlight w:val="white"/>
        </w:rPr>
        <w:t xml:space="preserve">  </w:t>
      </w:r>
      <w:r>
        <w:rPr>
          <w:rFonts w:hint="eastAsia" w:cs="Arial"/>
          <w:kern w:val="0"/>
          <w:sz w:val="24"/>
          <w:highlight w:val="white"/>
          <w:u w:val="single"/>
        </w:rPr>
        <w:t xml:space="preserve">          </w:t>
      </w:r>
      <w:r>
        <w:rPr>
          <w:rFonts w:hint="eastAsia" w:ascii="宋体" w:hAnsi="宋体" w:cs="Arial"/>
          <w:kern w:val="0"/>
          <w:sz w:val="24"/>
          <w:highlight w:val="white"/>
          <w:u w:val="single"/>
        </w:rPr>
        <w:t>（项目名称）</w:t>
      </w:r>
      <w:r>
        <w:rPr>
          <w:rFonts w:hint="eastAsia" w:ascii="宋体" w:hAnsi="宋体" w:cs="Arial"/>
          <w:kern w:val="0"/>
          <w:sz w:val="24"/>
          <w:highlight w:val="white"/>
        </w:rPr>
        <w:t>设计施工总承包_______标段招标的评标委员会，对你方的投标文件进行了仔细的审查，现需你方对下列问题以书面形式予以澄清、说明或补正：</w:t>
      </w:r>
      <w:r>
        <w:rPr>
          <w:rFonts w:hint="eastAsia" w:cs="Arial"/>
          <w:kern w:val="0"/>
          <w:sz w:val="24"/>
          <w:highlight w:val="white"/>
          <w:u w:val="single"/>
        </w:rPr>
        <w:t xml:space="preserve">                                                </w:t>
      </w:r>
    </w:p>
    <w:p w14:paraId="3FA65DDA">
      <w:pPr>
        <w:widowControl/>
        <w:spacing w:line="360" w:lineRule="auto"/>
        <w:jc w:val="left"/>
        <w:rPr>
          <w:rFonts w:cs="Arial"/>
          <w:kern w:val="0"/>
          <w:sz w:val="24"/>
          <w:u w:val="single"/>
        </w:rPr>
      </w:pPr>
    </w:p>
    <w:p w14:paraId="3FEE0B25">
      <w:pPr>
        <w:widowControl/>
        <w:spacing w:line="360" w:lineRule="auto"/>
        <w:jc w:val="left"/>
        <w:rPr>
          <w:rFonts w:cs="Arial"/>
          <w:kern w:val="0"/>
          <w:sz w:val="24"/>
        </w:rPr>
      </w:pPr>
    </w:p>
    <w:p w14:paraId="757B6274">
      <w:pPr>
        <w:widowControl/>
        <w:spacing w:line="360" w:lineRule="auto"/>
        <w:jc w:val="left"/>
        <w:rPr>
          <w:rFonts w:cs="Arial"/>
          <w:kern w:val="0"/>
          <w:sz w:val="24"/>
        </w:rPr>
      </w:pPr>
    </w:p>
    <w:p w14:paraId="086347FB">
      <w:pPr>
        <w:widowControl/>
        <w:spacing w:line="360" w:lineRule="auto"/>
        <w:jc w:val="left"/>
        <w:rPr>
          <w:rFonts w:eastAsia="Calibri" w:cs="Arial"/>
          <w:kern w:val="0"/>
          <w:sz w:val="24"/>
        </w:rPr>
      </w:pPr>
    </w:p>
    <w:p w14:paraId="128B365D">
      <w:pPr>
        <w:widowControl/>
        <w:spacing w:line="360" w:lineRule="auto"/>
        <w:jc w:val="left"/>
        <w:rPr>
          <w:rFonts w:ascii="宋体" w:hAnsi="宋体" w:cs="Arial"/>
          <w:kern w:val="0"/>
          <w:sz w:val="24"/>
        </w:rPr>
      </w:pPr>
    </w:p>
    <w:p w14:paraId="740C49F9">
      <w:pPr>
        <w:widowControl/>
        <w:spacing w:line="360" w:lineRule="auto"/>
        <w:jc w:val="left"/>
        <w:rPr>
          <w:rFonts w:ascii="宋体" w:hAnsi="宋体" w:cs="Arial"/>
          <w:kern w:val="0"/>
          <w:sz w:val="24"/>
        </w:rPr>
      </w:pPr>
    </w:p>
    <w:p w14:paraId="6F199020">
      <w:pPr>
        <w:widowControl/>
        <w:spacing w:line="360" w:lineRule="auto"/>
        <w:ind w:firstLine="480"/>
        <w:rPr>
          <w:rFonts w:ascii="宋体" w:hAnsi="宋体" w:cs="Arial"/>
          <w:kern w:val="0"/>
          <w:sz w:val="24"/>
        </w:rPr>
      </w:pPr>
      <w:r>
        <w:rPr>
          <w:rFonts w:hint="eastAsia" w:ascii="宋体" w:hAnsi="宋体" w:cs="Arial"/>
          <w:kern w:val="0"/>
          <w:sz w:val="24"/>
          <w:highlight w:val="white"/>
        </w:rPr>
        <w:t>请将上述问题的澄清、说明或补正于接到通知</w:t>
      </w:r>
      <w:r>
        <w:rPr>
          <w:rFonts w:hint="eastAsia" w:ascii="宋体" w:hAnsi="宋体" w:cs="Arial"/>
          <w:kern w:val="0"/>
          <w:sz w:val="24"/>
          <w:highlight w:val="white"/>
          <w:u w:val="single"/>
        </w:rPr>
        <w:t xml:space="preserve">    </w:t>
      </w:r>
      <w:r>
        <w:rPr>
          <w:rFonts w:hint="eastAsia" w:ascii="宋体" w:hAnsi="宋体" w:cs="Arial"/>
          <w:kern w:val="0"/>
          <w:sz w:val="24"/>
          <w:highlight w:val="white"/>
        </w:rPr>
        <w:t>分钟内通过在线形式递交至评标委员会。</w:t>
      </w:r>
    </w:p>
    <w:p w14:paraId="37F606A5">
      <w:pPr>
        <w:widowControl/>
        <w:spacing w:line="360" w:lineRule="auto"/>
        <w:rPr>
          <w:rFonts w:ascii="宋体" w:hAnsi="宋体" w:cs="Arial"/>
          <w:kern w:val="0"/>
          <w:sz w:val="24"/>
        </w:rPr>
      </w:pPr>
      <w:r>
        <w:rPr>
          <w:rFonts w:hint="eastAsia" w:ascii="宋体" w:hAnsi="宋体" w:cs="Arial"/>
          <w:kern w:val="0"/>
          <w:sz w:val="24"/>
          <w:highlight w:val="white"/>
        </w:rPr>
        <w:t>评标委员会成员签字：</w:t>
      </w:r>
      <w:r>
        <w:rPr>
          <w:rFonts w:hint="eastAsia" w:ascii="宋体" w:hAnsi="宋体" w:cs="Arial"/>
          <w:kern w:val="0"/>
          <w:sz w:val="24"/>
          <w:highlight w:val="white"/>
          <w:u w:val="single"/>
        </w:rPr>
        <w:t xml:space="preserve">                         </w:t>
      </w:r>
    </w:p>
    <w:p w14:paraId="6C5DE042">
      <w:pPr>
        <w:widowControl/>
        <w:spacing w:line="360" w:lineRule="auto"/>
        <w:jc w:val="center"/>
        <w:rPr>
          <w:rFonts w:eastAsia="Calibri" w:cs="Arial"/>
          <w:kern w:val="0"/>
          <w:sz w:val="24"/>
        </w:rPr>
      </w:pPr>
    </w:p>
    <w:p w14:paraId="53D0F0F6">
      <w:pPr>
        <w:widowControl/>
        <w:spacing w:line="360" w:lineRule="auto"/>
        <w:jc w:val="center"/>
        <w:rPr>
          <w:rFonts w:ascii="宋体" w:hAnsi="宋体" w:cs="Arial"/>
          <w:kern w:val="0"/>
          <w:sz w:val="24"/>
        </w:rPr>
      </w:pPr>
      <w:r>
        <w:rPr>
          <w:rFonts w:eastAsia="Calibri" w:cs="Arial"/>
          <w:kern w:val="0"/>
          <w:sz w:val="24"/>
          <w:highlight w:val="white"/>
        </w:rPr>
        <w:t xml:space="preserve">  </w:t>
      </w:r>
      <w:r>
        <w:rPr>
          <w:rFonts w:hint="eastAsia" w:cs="Arial"/>
          <w:kern w:val="0"/>
          <w:sz w:val="24"/>
          <w:highlight w:val="white"/>
        </w:rPr>
        <w:t xml:space="preserve">          </w:t>
      </w:r>
      <w:r>
        <w:rPr>
          <w:rFonts w:eastAsia="Calibri" w:cs="Arial"/>
          <w:kern w:val="0"/>
          <w:sz w:val="24"/>
          <w:highlight w:val="white"/>
        </w:rPr>
        <w:t xml:space="preserve">     </w:t>
      </w:r>
      <w:r>
        <w:rPr>
          <w:rFonts w:hint="eastAsia" w:ascii="宋体" w:hAnsi="宋体" w:cs="Arial"/>
          <w:kern w:val="0"/>
          <w:sz w:val="24"/>
          <w:highlight w:val="white"/>
        </w:rPr>
        <w:t>_______年_______月_______日</w:t>
      </w:r>
    </w:p>
    <w:p w14:paraId="2336B09D">
      <w:pPr>
        <w:spacing w:line="400" w:lineRule="exact"/>
      </w:pPr>
    </w:p>
    <w:p w14:paraId="6D91BFE9">
      <w:pPr>
        <w:spacing w:line="360" w:lineRule="auto"/>
        <w:rPr>
          <w:rFonts w:ascii="宋体" w:hAnsi="宋体"/>
          <w:sz w:val="24"/>
        </w:rPr>
      </w:pPr>
      <w:r>
        <w:rPr>
          <w:rFonts w:hint="eastAsia"/>
          <w:highlight w:val="white"/>
        </w:rPr>
        <w:t>注：</w:t>
      </w:r>
      <w:r>
        <w:rPr>
          <w:rFonts w:hint="eastAsia" w:ascii="宋体" w:hAnsi="宋体"/>
          <w:sz w:val="24"/>
          <w:highlight w:val="white"/>
        </w:rPr>
        <w:t>评标委员会在评标过程中，如要求投标人澄清或说明的，评标委员会要求投标人在线澄清或说明的时间距投标人收到评标委员会通知的时间不得少于 60分钟。</w:t>
      </w:r>
    </w:p>
    <w:p w14:paraId="4E20F62D">
      <w:pPr>
        <w:spacing w:line="360" w:lineRule="auto"/>
        <w:rPr>
          <w:rFonts w:ascii="宋体" w:hAnsi="宋体"/>
          <w:sz w:val="24"/>
        </w:rPr>
      </w:pPr>
      <w:r>
        <w:rPr>
          <w:highlight w:val="white"/>
        </w:rPr>
        <w:t xml:space="preserve">    </w:t>
      </w:r>
      <w:r>
        <w:rPr>
          <w:rFonts w:hint="eastAsia" w:ascii="宋体" w:hAnsi="宋体"/>
          <w:sz w:val="24"/>
          <w:highlight w:val="white"/>
        </w:rPr>
        <w:t>评标委员会认为投标人的澄清或说明不够明确，应再次要求投标人对不明确的内容进行澄清或说明，评标委员会要求投标人再次在线澄清或说明的时间距投标人收到评标委员会通知的时间不得少于 30 分钟。</w:t>
      </w:r>
    </w:p>
    <w:p w14:paraId="228B6E6E">
      <w:pPr>
        <w:spacing w:line="400" w:lineRule="exact"/>
      </w:pPr>
      <w:r>
        <w:rPr>
          <w:highlight w:val="white"/>
        </w:rPr>
        <w:t xml:space="preserve">    </w:t>
      </w:r>
      <w:r>
        <w:rPr>
          <w:rFonts w:hint="eastAsia" w:ascii="宋体" w:hAnsi="宋体"/>
          <w:sz w:val="24"/>
          <w:highlight w:val="white"/>
        </w:rPr>
        <w:t>投标人未在规定时间内作出澄清或说明的，或者评标委员会成员认为该投标人的两次澄清或说明都不符合评标委员会要求的，作否决投标处理。</w:t>
      </w:r>
      <w:r>
        <w:rPr>
          <w:highlight w:val="white"/>
        </w:rPr>
        <w:br w:type="page"/>
      </w:r>
    </w:p>
    <w:p w14:paraId="7618C813">
      <w:pPr>
        <w:pStyle w:val="3"/>
        <w:spacing w:line="360" w:lineRule="auto"/>
        <w:rPr>
          <w:rFonts w:hint="eastAsia" w:ascii="宋体" w:hAnsi="宋体" w:eastAsia="宋体"/>
          <w:sz w:val="24"/>
          <w:szCs w:val="24"/>
        </w:rPr>
      </w:pPr>
      <w:bookmarkStart w:id="194" w:name="_Toc256000070"/>
      <w:r>
        <w:rPr>
          <w:rFonts w:hint="eastAsia" w:ascii="宋体" w:hAnsi="宋体" w:eastAsia="宋体"/>
          <w:sz w:val="24"/>
          <w:szCs w:val="24"/>
          <w:highlight w:val="white"/>
        </w:rPr>
        <w:t>附件三：问题的澄清</w:t>
      </w:r>
      <w:bookmarkEnd w:id="194"/>
    </w:p>
    <w:p w14:paraId="214ADD88">
      <w:pPr>
        <w:spacing w:line="400" w:lineRule="exact"/>
        <w:jc w:val="center"/>
        <w:rPr>
          <w:rFonts w:ascii="黑体" w:eastAsia="黑体"/>
          <w:sz w:val="28"/>
          <w:szCs w:val="28"/>
        </w:rPr>
      </w:pPr>
    </w:p>
    <w:p w14:paraId="40F80E99">
      <w:pPr>
        <w:spacing w:line="360" w:lineRule="auto"/>
        <w:jc w:val="center"/>
        <w:rPr>
          <w:rFonts w:hint="eastAsia" w:ascii="宋体" w:hAnsi="宋体"/>
          <w:b/>
          <w:sz w:val="24"/>
        </w:rPr>
      </w:pPr>
      <w:r>
        <w:rPr>
          <w:rFonts w:hint="eastAsia" w:ascii="宋体" w:hAnsi="宋体"/>
          <w:b/>
          <w:sz w:val="24"/>
          <w:highlight w:val="white"/>
        </w:rPr>
        <w:t>问题的澄清</w:t>
      </w:r>
    </w:p>
    <w:p w14:paraId="7A7186B6">
      <w:pPr>
        <w:spacing w:line="440" w:lineRule="exact"/>
        <w:ind w:firstLine="7140" w:firstLineChars="3400"/>
        <w:rPr>
          <w:rFonts w:hint="eastAsia"/>
          <w:szCs w:val="21"/>
        </w:rPr>
      </w:pPr>
      <w:r>
        <w:rPr>
          <w:rFonts w:hint="eastAsia"/>
          <w:szCs w:val="21"/>
          <w:highlight w:val="white"/>
        </w:rPr>
        <w:t xml:space="preserve">编号： </w:t>
      </w:r>
    </w:p>
    <w:p w14:paraId="2AC0398F">
      <w:pPr>
        <w:spacing w:line="400" w:lineRule="exact"/>
        <w:rPr>
          <w:szCs w:val="21"/>
        </w:rPr>
      </w:pPr>
    </w:p>
    <w:p w14:paraId="4E7B070C">
      <w:pPr>
        <w:spacing w:line="360" w:lineRule="auto"/>
        <w:rPr>
          <w:rFonts w:ascii="宋体" w:hAnsi="宋体"/>
          <w:sz w:val="24"/>
        </w:rPr>
      </w:pPr>
      <w:r>
        <w:rPr>
          <w:rFonts w:hint="eastAsia" w:ascii="宋体" w:hAnsi="宋体"/>
          <w:sz w:val="24"/>
          <w:highlight w:val="white"/>
        </w:rPr>
        <w:t>评标委员会：</w:t>
      </w:r>
    </w:p>
    <w:p w14:paraId="0AEBD14A">
      <w:pPr>
        <w:spacing w:line="360" w:lineRule="auto"/>
        <w:rPr>
          <w:sz w:val="24"/>
          <w:u w:val="single"/>
        </w:rPr>
      </w:pPr>
      <w:r>
        <w:rPr>
          <w:sz w:val="24"/>
          <w:highlight w:val="white"/>
        </w:rPr>
        <w:t xml:space="preserve">    </w:t>
      </w:r>
      <w:r>
        <w:rPr>
          <w:rFonts w:hint="eastAsia" w:ascii="宋体" w:hAnsi="宋体"/>
          <w:sz w:val="24"/>
          <w:highlight w:val="white"/>
        </w:rPr>
        <w:t>问题澄清通知（编号：_______）已收悉，现澄清、说明或补正如下：</w:t>
      </w:r>
      <w:r>
        <w:rPr>
          <w:sz w:val="24"/>
          <w:highlight w:val="white"/>
          <w:u w:val="single"/>
        </w:rPr>
        <w:t xml:space="preserve"> </w:t>
      </w:r>
      <w:r>
        <w:rPr>
          <w:rFonts w:hint="eastAsia"/>
          <w:sz w:val="24"/>
          <w:highlight w:val="white"/>
          <w:u w:val="single"/>
        </w:rPr>
        <w:t xml:space="preserve">                          </w:t>
      </w:r>
    </w:p>
    <w:p w14:paraId="26060960">
      <w:pPr>
        <w:spacing w:line="360" w:lineRule="auto"/>
        <w:rPr>
          <w:sz w:val="24"/>
        </w:rPr>
      </w:pPr>
    </w:p>
    <w:p w14:paraId="03657CCD">
      <w:pPr>
        <w:spacing w:line="360" w:lineRule="auto"/>
        <w:rPr>
          <w:sz w:val="24"/>
        </w:rPr>
      </w:pPr>
    </w:p>
    <w:p w14:paraId="5A791ABE">
      <w:pPr>
        <w:spacing w:line="360" w:lineRule="auto"/>
        <w:rPr>
          <w:sz w:val="24"/>
        </w:rPr>
      </w:pPr>
    </w:p>
    <w:p w14:paraId="2B6F721D">
      <w:pPr>
        <w:spacing w:line="360" w:lineRule="auto"/>
        <w:rPr>
          <w:sz w:val="24"/>
        </w:rPr>
      </w:pPr>
    </w:p>
    <w:p w14:paraId="3721B1C5">
      <w:pPr>
        <w:spacing w:line="360" w:lineRule="auto"/>
        <w:rPr>
          <w:sz w:val="24"/>
        </w:rPr>
      </w:pPr>
    </w:p>
    <w:p w14:paraId="1F5A9C14">
      <w:pPr>
        <w:spacing w:line="360" w:lineRule="auto"/>
        <w:rPr>
          <w:sz w:val="24"/>
        </w:rPr>
      </w:pPr>
    </w:p>
    <w:p w14:paraId="23BDB5E6">
      <w:pPr>
        <w:spacing w:line="360" w:lineRule="auto"/>
        <w:rPr>
          <w:sz w:val="24"/>
        </w:rPr>
      </w:pPr>
    </w:p>
    <w:p w14:paraId="673C995A">
      <w:pPr>
        <w:spacing w:line="360" w:lineRule="auto"/>
        <w:rPr>
          <w:rFonts w:ascii="宋体" w:hAnsi="宋体"/>
          <w:sz w:val="24"/>
        </w:rPr>
      </w:pPr>
      <w:r>
        <w:rPr>
          <w:sz w:val="24"/>
          <w:highlight w:val="white"/>
        </w:rPr>
        <w:t xml:space="preserve">    </w:t>
      </w:r>
      <w:r>
        <w:rPr>
          <w:rFonts w:hint="eastAsia"/>
          <w:sz w:val="24"/>
          <w:highlight w:val="white"/>
        </w:rPr>
        <w:t>（投标人可另行附页）</w:t>
      </w:r>
    </w:p>
    <w:p w14:paraId="361847D1">
      <w:pPr>
        <w:spacing w:line="360" w:lineRule="auto"/>
        <w:ind w:firstLine="480"/>
        <w:rPr>
          <w:rFonts w:ascii="宋体" w:hAnsi="宋体"/>
          <w:sz w:val="24"/>
        </w:rPr>
      </w:pPr>
      <w:r>
        <w:rPr>
          <w:rFonts w:hint="eastAsia"/>
          <w:sz w:val="24"/>
          <w:highlight w:val="white"/>
        </w:rPr>
        <w:t>上述问题</w:t>
      </w:r>
      <w:r>
        <w:rPr>
          <w:rFonts w:hint="eastAsia" w:ascii="宋体" w:hAnsi="宋体"/>
          <w:sz w:val="24"/>
          <w:highlight w:val="white"/>
        </w:rPr>
        <w:t>澄清、说明或补正，不改变我方投标文件的实质性内容，构成我方投标文件的组成部分</w:t>
      </w:r>
    </w:p>
    <w:p w14:paraId="64ABFFCF">
      <w:pPr>
        <w:spacing w:line="360" w:lineRule="auto"/>
        <w:ind w:firstLine="480"/>
        <w:rPr>
          <w:rFonts w:ascii="宋体" w:hAnsi="宋体"/>
          <w:sz w:val="24"/>
        </w:rPr>
      </w:pPr>
    </w:p>
    <w:p w14:paraId="50BCD701">
      <w:pPr>
        <w:spacing w:line="360" w:lineRule="auto"/>
        <w:ind w:firstLine="480"/>
        <w:jc w:val="center"/>
        <w:rPr>
          <w:rFonts w:hint="eastAsia" w:ascii="宋体" w:hAnsi="宋体"/>
          <w:sz w:val="24"/>
          <w:u w:val="single"/>
        </w:rPr>
      </w:pPr>
      <w:r>
        <w:rPr>
          <w:rFonts w:hint="eastAsia" w:ascii="宋体" w:hAnsi="宋体"/>
          <w:sz w:val="24"/>
          <w:highlight w:val="white"/>
        </w:rPr>
        <w:t xml:space="preserve">  投标人名称：</w:t>
      </w:r>
      <w:r>
        <w:rPr>
          <w:rFonts w:hint="eastAsia" w:ascii="宋体" w:hAnsi="宋体"/>
          <w:sz w:val="24"/>
          <w:highlight w:val="white"/>
          <w:u w:val="single"/>
        </w:rPr>
        <w:t xml:space="preserve">                         </w:t>
      </w:r>
    </w:p>
    <w:p w14:paraId="3D7264CA">
      <w:pPr>
        <w:spacing w:line="360" w:lineRule="auto"/>
        <w:jc w:val="right"/>
        <w:rPr>
          <w:rFonts w:ascii="宋体" w:hAnsi="宋体"/>
          <w:sz w:val="24"/>
        </w:rPr>
      </w:pPr>
      <w:r>
        <w:rPr>
          <w:sz w:val="24"/>
          <w:highlight w:val="white"/>
        </w:rPr>
        <w:t xml:space="preserve">    </w:t>
      </w:r>
    </w:p>
    <w:p w14:paraId="5C4ACDA0">
      <w:pPr>
        <w:wordWrap w:val="0"/>
        <w:spacing w:line="360" w:lineRule="auto"/>
        <w:jc w:val="right"/>
        <w:rPr>
          <w:rFonts w:ascii="宋体" w:hAnsi="宋体"/>
          <w:sz w:val="24"/>
        </w:rPr>
      </w:pPr>
      <w:r>
        <w:rPr>
          <w:sz w:val="24"/>
          <w:highlight w:val="white"/>
        </w:rPr>
        <w:t xml:space="preserve">                          </w:t>
      </w:r>
      <w:r>
        <w:rPr>
          <w:rFonts w:hint="eastAsia" w:ascii="宋体" w:hAnsi="宋体"/>
          <w:sz w:val="24"/>
          <w:highlight w:val="white"/>
        </w:rPr>
        <w:t>_______年_______月_______日</w:t>
      </w:r>
      <w:r>
        <w:rPr>
          <w:rFonts w:hint="eastAsia" w:ascii="宋体" w:hAnsi="宋体"/>
          <w:sz w:val="24"/>
          <w:highlight w:val="white"/>
          <w:u w:val="single"/>
        </w:rPr>
        <w:t xml:space="preserve">     </w:t>
      </w:r>
      <w:r>
        <w:rPr>
          <w:rFonts w:hint="eastAsia" w:ascii="宋体" w:hAnsi="宋体"/>
          <w:sz w:val="24"/>
          <w:highlight w:val="white"/>
        </w:rPr>
        <w:t>时</w:t>
      </w:r>
      <w:r>
        <w:rPr>
          <w:rFonts w:hint="eastAsia" w:ascii="宋体" w:hAnsi="宋体"/>
          <w:sz w:val="24"/>
          <w:highlight w:val="white"/>
          <w:u w:val="single"/>
        </w:rPr>
        <w:t xml:space="preserve">    </w:t>
      </w:r>
      <w:r>
        <w:rPr>
          <w:rFonts w:hint="eastAsia" w:ascii="宋体" w:hAnsi="宋体"/>
          <w:sz w:val="24"/>
          <w:highlight w:val="white"/>
        </w:rPr>
        <w:t>分</w:t>
      </w:r>
    </w:p>
    <w:p w14:paraId="05214A12">
      <w:pPr>
        <w:spacing w:line="360" w:lineRule="auto"/>
        <w:ind w:firstLine="480"/>
        <w:rPr>
          <w:sz w:val="24"/>
        </w:rPr>
      </w:pPr>
    </w:p>
    <w:p w14:paraId="7F005380">
      <w:pPr>
        <w:spacing w:line="360" w:lineRule="auto"/>
        <w:ind w:firstLine="480"/>
        <w:rPr>
          <w:sz w:val="24"/>
        </w:rPr>
      </w:pPr>
    </w:p>
    <w:p w14:paraId="50724B66">
      <w:pPr>
        <w:spacing w:line="360" w:lineRule="auto"/>
        <w:ind w:firstLine="480"/>
        <w:rPr>
          <w:sz w:val="24"/>
        </w:rPr>
      </w:pPr>
      <w:r>
        <w:rPr>
          <w:rFonts w:hint="eastAsia"/>
          <w:sz w:val="24"/>
          <w:highlight w:val="white"/>
        </w:rPr>
        <w:t>评标委员会意见：</w:t>
      </w:r>
      <w:r>
        <w:rPr>
          <w:rFonts w:hint="eastAsia" w:ascii="宋体" w:hAnsi="宋体"/>
          <w:sz w:val="24"/>
          <w:highlight w:val="white"/>
        </w:rPr>
        <w:t>___________________________________</w:t>
      </w:r>
    </w:p>
    <w:p w14:paraId="18A62A72">
      <w:pPr>
        <w:spacing w:line="360" w:lineRule="auto"/>
        <w:ind w:firstLine="480"/>
        <w:rPr>
          <w:sz w:val="24"/>
        </w:rPr>
      </w:pPr>
    </w:p>
    <w:p w14:paraId="5F02B8E9">
      <w:pPr>
        <w:spacing w:line="360" w:lineRule="auto"/>
        <w:ind w:firstLine="480"/>
        <w:rPr>
          <w:sz w:val="24"/>
        </w:rPr>
      </w:pPr>
      <w:r>
        <w:rPr>
          <w:rFonts w:hint="eastAsia"/>
          <w:sz w:val="24"/>
          <w:highlight w:val="white"/>
        </w:rPr>
        <w:t>评标委员会成员签字：</w:t>
      </w:r>
      <w:r>
        <w:rPr>
          <w:rFonts w:hint="eastAsia" w:ascii="宋体" w:hAnsi="宋体"/>
          <w:sz w:val="24"/>
          <w:highlight w:val="white"/>
        </w:rPr>
        <w:t>_________________________</w:t>
      </w:r>
    </w:p>
    <w:p w14:paraId="084D6C48">
      <w:pPr>
        <w:spacing w:line="360" w:lineRule="auto"/>
        <w:rPr>
          <w:rFonts w:ascii="宋体" w:hAnsi="宋体"/>
          <w:sz w:val="24"/>
        </w:rPr>
      </w:pPr>
      <w:r>
        <w:rPr>
          <w:sz w:val="24"/>
          <w:highlight w:val="white"/>
        </w:rPr>
        <w:t xml:space="preserve">   </w:t>
      </w:r>
    </w:p>
    <w:p w14:paraId="727B807B">
      <w:pPr>
        <w:spacing w:line="360" w:lineRule="auto"/>
        <w:jc w:val="right"/>
      </w:pPr>
      <w:r>
        <w:rPr>
          <w:sz w:val="24"/>
          <w:highlight w:val="white"/>
        </w:rPr>
        <w:t xml:space="preserve">     </w:t>
      </w:r>
      <w:r>
        <w:rPr>
          <w:rFonts w:hint="eastAsia" w:ascii="宋体" w:hAnsi="宋体"/>
          <w:sz w:val="24"/>
          <w:highlight w:val="white"/>
        </w:rPr>
        <w:t>_______年_______月_______日</w:t>
      </w:r>
    </w:p>
    <w:p w14:paraId="4DA973DF">
      <w:pPr>
        <w:pStyle w:val="3"/>
        <w:spacing w:line="360" w:lineRule="auto"/>
        <w:rPr>
          <w:rFonts w:hint="eastAsia" w:ascii="宋体" w:hAnsi="宋体" w:eastAsia="宋体"/>
          <w:sz w:val="24"/>
          <w:szCs w:val="24"/>
        </w:rPr>
      </w:pPr>
      <w:r>
        <w:rPr>
          <w:rFonts w:ascii="宋体" w:hAnsi="宋体" w:eastAsia="宋体"/>
          <w:sz w:val="24"/>
          <w:szCs w:val="24"/>
          <w:highlight w:val="white"/>
        </w:rPr>
        <w:br w:type="page"/>
      </w:r>
      <w:bookmarkStart w:id="195" w:name="_Toc256000071"/>
      <w:r>
        <w:rPr>
          <w:rFonts w:hint="eastAsia" w:ascii="宋体" w:hAnsi="宋体" w:eastAsia="宋体"/>
          <w:sz w:val="24"/>
          <w:szCs w:val="24"/>
          <w:highlight w:val="white"/>
        </w:rPr>
        <w:t>附件四：中标通知书</w:t>
      </w:r>
      <w:bookmarkEnd w:id="195"/>
    </w:p>
    <w:p w14:paraId="13AEA3B0">
      <w:pPr>
        <w:spacing w:line="400" w:lineRule="exact"/>
      </w:pPr>
    </w:p>
    <w:p w14:paraId="2B8C1730">
      <w:pPr>
        <w:spacing w:line="360" w:lineRule="auto"/>
        <w:jc w:val="center"/>
        <w:rPr>
          <w:rFonts w:hint="eastAsia" w:ascii="宋体" w:hAnsi="宋体"/>
          <w:b/>
          <w:sz w:val="24"/>
        </w:rPr>
      </w:pPr>
      <w:r>
        <w:rPr>
          <w:rFonts w:hint="eastAsia" w:ascii="宋体" w:hAnsi="宋体"/>
          <w:b/>
          <w:sz w:val="24"/>
          <w:highlight w:val="white"/>
        </w:rPr>
        <w:t>中标通知书</w:t>
      </w:r>
    </w:p>
    <w:p w14:paraId="0C0427EE">
      <w:pPr>
        <w:spacing w:line="400" w:lineRule="exact"/>
      </w:pPr>
      <w:r>
        <w:rPr>
          <w:highlight w:val="white"/>
        </w:rPr>
        <w:t xml:space="preserve">                              </w:t>
      </w:r>
    </w:p>
    <w:p w14:paraId="6AB757BA">
      <w:pPr>
        <w:spacing w:line="440" w:lineRule="exact"/>
        <w:rPr>
          <w:sz w:val="24"/>
        </w:rPr>
      </w:pPr>
      <w:r>
        <w:rPr>
          <w:szCs w:val="21"/>
          <w:highlight w:val="white"/>
          <w:u w:val="single"/>
        </w:rPr>
        <w:t xml:space="preserve"> </w:t>
      </w:r>
      <w:r>
        <w:rPr>
          <w:sz w:val="24"/>
          <w:highlight w:val="white"/>
          <w:u w:val="single"/>
        </w:rPr>
        <w:t xml:space="preserve">                  </w:t>
      </w:r>
      <w:r>
        <w:rPr>
          <w:sz w:val="24"/>
          <w:highlight w:val="white"/>
        </w:rPr>
        <w:t>（中标人名称）：</w:t>
      </w:r>
    </w:p>
    <w:p w14:paraId="39C355C1">
      <w:pPr>
        <w:spacing w:line="440" w:lineRule="exact"/>
        <w:rPr>
          <w:sz w:val="24"/>
        </w:rPr>
      </w:pPr>
    </w:p>
    <w:p w14:paraId="3F21E011">
      <w:pPr>
        <w:spacing w:line="440" w:lineRule="exact"/>
        <w:rPr>
          <w:sz w:val="24"/>
        </w:rPr>
      </w:pPr>
      <w:r>
        <w:rPr>
          <w:sz w:val="24"/>
          <w:highlight w:val="white"/>
        </w:rPr>
        <w:t>　　你方于</w:t>
      </w:r>
      <w:r>
        <w:rPr>
          <w:sz w:val="24"/>
          <w:highlight w:val="white"/>
          <w:u w:val="single"/>
        </w:rPr>
        <w:t xml:space="preserve">         </w:t>
      </w:r>
      <w:r>
        <w:rPr>
          <w:sz w:val="24"/>
          <w:highlight w:val="white"/>
        </w:rPr>
        <w:t>（投标日期）所递交的</w:t>
      </w:r>
      <w:r>
        <w:rPr>
          <w:sz w:val="24"/>
          <w:highlight w:val="white"/>
          <w:u w:val="single"/>
        </w:rPr>
        <w:t xml:space="preserve">              </w:t>
      </w:r>
      <w:r>
        <w:rPr>
          <w:sz w:val="24"/>
          <w:highlight w:val="white"/>
        </w:rPr>
        <w:t>（项目名称）</w:t>
      </w:r>
      <w:r>
        <w:rPr>
          <w:rFonts w:hint="eastAsia"/>
          <w:sz w:val="24"/>
          <w:highlight w:val="white"/>
        </w:rPr>
        <w:t>设计施工总承包</w:t>
      </w:r>
      <w:r>
        <w:rPr>
          <w:rFonts w:hint="eastAsia"/>
          <w:sz w:val="24"/>
          <w:highlight w:val="white"/>
          <w:u w:val="single"/>
        </w:rPr>
        <w:t xml:space="preserve">   </w:t>
      </w:r>
      <w:r>
        <w:rPr>
          <w:rFonts w:hint="eastAsia"/>
          <w:sz w:val="24"/>
          <w:highlight w:val="white"/>
        </w:rPr>
        <w:t>标段招标的</w:t>
      </w:r>
      <w:r>
        <w:rPr>
          <w:sz w:val="24"/>
          <w:highlight w:val="white"/>
        </w:rPr>
        <w:t>投标文件已被我方接受，被确定为中标人。</w:t>
      </w:r>
    </w:p>
    <w:p w14:paraId="0FF865C3">
      <w:pPr>
        <w:spacing w:line="440" w:lineRule="exact"/>
        <w:rPr>
          <w:sz w:val="24"/>
        </w:rPr>
      </w:pPr>
      <w:r>
        <w:rPr>
          <w:sz w:val="24"/>
          <w:highlight w:val="white"/>
        </w:rPr>
        <w:t>　　中标价：</w:t>
      </w:r>
      <w:r>
        <w:rPr>
          <w:sz w:val="24"/>
          <w:highlight w:val="white"/>
          <w:u w:val="single"/>
        </w:rPr>
        <w:t xml:space="preserve">                   </w:t>
      </w:r>
      <w:r>
        <w:rPr>
          <w:sz w:val="24"/>
          <w:highlight w:val="white"/>
        </w:rPr>
        <w:t>。</w:t>
      </w:r>
    </w:p>
    <w:p w14:paraId="092BDC2E">
      <w:pPr>
        <w:spacing w:line="440" w:lineRule="exact"/>
        <w:rPr>
          <w:sz w:val="24"/>
        </w:rPr>
      </w:pPr>
      <w:r>
        <w:rPr>
          <w:sz w:val="24"/>
          <w:highlight w:val="white"/>
        </w:rPr>
        <w:t>　　工期：</w:t>
      </w:r>
      <w:r>
        <w:rPr>
          <w:sz w:val="24"/>
          <w:highlight w:val="white"/>
          <w:u w:val="single"/>
        </w:rPr>
        <w:t xml:space="preserve">      </w:t>
      </w:r>
      <w:r>
        <w:rPr>
          <w:sz w:val="24"/>
          <w:highlight w:val="white"/>
        </w:rPr>
        <w:t>日历天。</w:t>
      </w:r>
    </w:p>
    <w:p w14:paraId="747D25BE">
      <w:pPr>
        <w:spacing w:line="440" w:lineRule="exact"/>
        <w:rPr>
          <w:sz w:val="24"/>
        </w:rPr>
      </w:pPr>
      <w:r>
        <w:rPr>
          <w:sz w:val="24"/>
          <w:highlight w:val="white"/>
        </w:rPr>
        <w:t>　  质量标准：</w:t>
      </w:r>
      <w:r>
        <w:rPr>
          <w:sz w:val="24"/>
          <w:highlight w:val="white"/>
          <w:u w:val="single"/>
        </w:rPr>
        <w:t xml:space="preserve">                      </w:t>
      </w:r>
      <w:r>
        <w:rPr>
          <w:sz w:val="24"/>
          <w:highlight w:val="white"/>
        </w:rPr>
        <w:t>。</w:t>
      </w:r>
    </w:p>
    <w:p w14:paraId="5FCE1128">
      <w:pPr>
        <w:spacing w:line="440" w:lineRule="exact"/>
        <w:ind w:firstLine="420"/>
        <w:rPr>
          <w:sz w:val="24"/>
        </w:rPr>
      </w:pPr>
      <w:r>
        <w:rPr>
          <w:sz w:val="24"/>
          <w:highlight w:val="white"/>
        </w:rPr>
        <w:t>项目经理：</w:t>
      </w:r>
      <w:r>
        <w:rPr>
          <w:sz w:val="24"/>
          <w:highlight w:val="white"/>
          <w:u w:val="single"/>
        </w:rPr>
        <w:t xml:space="preserve">      </w:t>
      </w:r>
      <w:r>
        <w:rPr>
          <w:rFonts w:hint="eastAsia"/>
          <w:sz w:val="24"/>
          <w:highlight w:val="white"/>
          <w:u w:val="single"/>
        </w:rPr>
        <w:t xml:space="preserve">     </w:t>
      </w:r>
      <w:r>
        <w:rPr>
          <w:sz w:val="24"/>
          <w:highlight w:val="white"/>
          <w:u w:val="single"/>
        </w:rPr>
        <w:t xml:space="preserve">        </w:t>
      </w:r>
      <w:r>
        <w:rPr>
          <w:sz w:val="24"/>
          <w:highlight w:val="white"/>
        </w:rPr>
        <w:t>（姓名）。</w:t>
      </w:r>
    </w:p>
    <w:p w14:paraId="28290236">
      <w:pPr>
        <w:spacing w:line="440" w:lineRule="exact"/>
        <w:ind w:firstLine="420"/>
        <w:rPr>
          <w:rFonts w:hint="eastAsia"/>
          <w:sz w:val="24"/>
        </w:rPr>
      </w:pPr>
      <w:r>
        <w:rPr>
          <w:rFonts w:hint="eastAsia"/>
          <w:sz w:val="24"/>
          <w:highlight w:val="white"/>
        </w:rPr>
        <w:t>设计负责人：</w:t>
      </w:r>
      <w:r>
        <w:rPr>
          <w:sz w:val="24"/>
          <w:highlight w:val="white"/>
          <w:u w:val="single"/>
        </w:rPr>
        <w:t xml:space="preserve">     </w:t>
      </w:r>
      <w:r>
        <w:rPr>
          <w:rFonts w:hint="eastAsia"/>
          <w:sz w:val="24"/>
          <w:highlight w:val="white"/>
          <w:u w:val="single"/>
        </w:rPr>
        <w:t xml:space="preserve">   </w:t>
      </w:r>
      <w:r>
        <w:rPr>
          <w:sz w:val="24"/>
          <w:highlight w:val="white"/>
          <w:u w:val="single"/>
        </w:rPr>
        <w:t xml:space="preserve">         </w:t>
      </w:r>
      <w:r>
        <w:rPr>
          <w:sz w:val="24"/>
          <w:highlight w:val="white"/>
        </w:rPr>
        <w:t>（姓名）。</w:t>
      </w:r>
    </w:p>
    <w:p w14:paraId="04967601">
      <w:pPr>
        <w:spacing w:line="440" w:lineRule="exact"/>
        <w:ind w:firstLine="420"/>
        <w:rPr>
          <w:rFonts w:hint="eastAsia"/>
          <w:sz w:val="24"/>
        </w:rPr>
      </w:pPr>
      <w:r>
        <w:rPr>
          <w:rFonts w:hint="eastAsia"/>
          <w:sz w:val="24"/>
          <w:highlight w:val="white"/>
        </w:rPr>
        <w:t>施工负责人：</w:t>
      </w:r>
      <w:r>
        <w:rPr>
          <w:rFonts w:hint="eastAsia"/>
          <w:sz w:val="24"/>
          <w:highlight w:val="white"/>
          <w:u w:val="single"/>
        </w:rPr>
        <w:t xml:space="preserve">                 </w:t>
      </w:r>
      <w:r>
        <w:rPr>
          <w:rFonts w:hint="eastAsia"/>
          <w:sz w:val="24"/>
          <w:highlight w:val="white"/>
        </w:rPr>
        <w:t>（姓名）。</w:t>
      </w:r>
    </w:p>
    <w:p w14:paraId="224BE272">
      <w:pPr>
        <w:spacing w:line="440" w:lineRule="exact"/>
        <w:ind w:firstLine="420"/>
        <w:rPr>
          <w:rFonts w:hint="eastAsia"/>
          <w:sz w:val="24"/>
        </w:rPr>
      </w:pPr>
      <w:r>
        <w:rPr>
          <w:sz w:val="24"/>
          <w:highlight w:val="white"/>
        </w:rPr>
        <w:t>请你方在接到本通知书后的</w:t>
      </w:r>
      <w:r>
        <w:rPr>
          <w:sz w:val="24"/>
          <w:highlight w:val="white"/>
          <w:u w:val="single"/>
        </w:rPr>
        <w:t xml:space="preserve">     </w:t>
      </w:r>
      <w:r>
        <w:rPr>
          <w:sz w:val="24"/>
          <w:highlight w:val="white"/>
        </w:rPr>
        <w:t>日内到</w:t>
      </w:r>
      <w:r>
        <w:rPr>
          <w:sz w:val="24"/>
          <w:highlight w:val="white"/>
          <w:u w:val="single"/>
        </w:rPr>
        <w:t xml:space="preserve">                      </w:t>
      </w:r>
      <w:r>
        <w:rPr>
          <w:sz w:val="24"/>
          <w:highlight w:val="white"/>
        </w:rPr>
        <w:t>（指定地点）与我方签订</w:t>
      </w:r>
      <w:r>
        <w:rPr>
          <w:rFonts w:hint="eastAsia"/>
          <w:sz w:val="24"/>
          <w:highlight w:val="white"/>
        </w:rPr>
        <w:t>设计施工总承包</w:t>
      </w:r>
      <w:r>
        <w:rPr>
          <w:sz w:val="24"/>
          <w:highlight w:val="white"/>
        </w:rPr>
        <w:t>合同，在此之前按招标文件第二章“投标人须知”第7.</w:t>
      </w:r>
      <w:r>
        <w:rPr>
          <w:rFonts w:hint="eastAsia"/>
          <w:sz w:val="24"/>
          <w:highlight w:val="white"/>
        </w:rPr>
        <w:t>4</w:t>
      </w:r>
      <w:r>
        <w:rPr>
          <w:sz w:val="24"/>
          <w:highlight w:val="white"/>
        </w:rPr>
        <w:t>款规定向我方提交履约担保。</w:t>
      </w:r>
    </w:p>
    <w:p w14:paraId="79F002AA">
      <w:pPr>
        <w:spacing w:line="440" w:lineRule="exact"/>
        <w:ind w:firstLine="420"/>
        <w:rPr>
          <w:rFonts w:hint="eastAsia"/>
          <w:sz w:val="24"/>
        </w:rPr>
      </w:pPr>
      <w:r>
        <w:rPr>
          <w:rFonts w:hint="eastAsia"/>
          <w:sz w:val="24"/>
          <w:highlight w:val="white"/>
        </w:rPr>
        <w:t>随附的澄清、说明、补正事项纪要，是本中标通知书的组成部分。</w:t>
      </w:r>
    </w:p>
    <w:p w14:paraId="55F6024B">
      <w:pPr>
        <w:spacing w:line="440" w:lineRule="exact"/>
        <w:rPr>
          <w:sz w:val="24"/>
        </w:rPr>
      </w:pPr>
      <w:r>
        <w:rPr>
          <w:sz w:val="24"/>
          <w:highlight w:val="white"/>
        </w:rPr>
        <w:t>　　特此通知。</w:t>
      </w:r>
    </w:p>
    <w:p w14:paraId="09EB39D3">
      <w:pPr>
        <w:spacing w:line="440" w:lineRule="exact"/>
        <w:ind w:firstLine="480" w:firstLineChars="200"/>
        <w:rPr>
          <w:rFonts w:hint="eastAsia"/>
          <w:sz w:val="24"/>
        </w:rPr>
      </w:pPr>
      <w:r>
        <w:rPr>
          <w:rFonts w:hint="eastAsia"/>
          <w:sz w:val="24"/>
          <w:highlight w:val="white"/>
        </w:rPr>
        <w:t>附：澄清、说明、补正事项纪要</w:t>
      </w:r>
    </w:p>
    <w:p w14:paraId="55528862">
      <w:pPr>
        <w:spacing w:line="440" w:lineRule="exact"/>
        <w:rPr>
          <w:sz w:val="24"/>
        </w:rPr>
      </w:pPr>
    </w:p>
    <w:p w14:paraId="520C33C9">
      <w:pPr>
        <w:spacing w:line="440" w:lineRule="exact"/>
        <w:rPr>
          <w:sz w:val="24"/>
        </w:rPr>
      </w:pPr>
    </w:p>
    <w:p w14:paraId="6682440E">
      <w:pPr>
        <w:spacing w:line="540" w:lineRule="exact"/>
        <w:ind w:firstLine="3700" w:firstLineChars="1542"/>
        <w:rPr>
          <w:sz w:val="24"/>
        </w:rPr>
      </w:pPr>
      <w:r>
        <w:rPr>
          <w:sz w:val="24"/>
          <w:highlight w:val="white"/>
        </w:rPr>
        <w:t>招标人：</w:t>
      </w:r>
      <w:r>
        <w:rPr>
          <w:sz w:val="24"/>
          <w:highlight w:val="white"/>
          <w:u w:val="single"/>
        </w:rPr>
        <w:t xml:space="preserve">              </w:t>
      </w:r>
      <w:r>
        <w:rPr>
          <w:sz w:val="24"/>
          <w:highlight w:val="white"/>
        </w:rPr>
        <w:t xml:space="preserve">（盖单位章）            </w:t>
      </w:r>
    </w:p>
    <w:p w14:paraId="704DDF09">
      <w:pPr>
        <w:spacing w:line="540" w:lineRule="exact"/>
        <w:ind w:firstLine="3700" w:firstLineChars="1542"/>
        <w:rPr>
          <w:sz w:val="24"/>
        </w:rPr>
      </w:pPr>
      <w:r>
        <w:rPr>
          <w:sz w:val="24"/>
          <w:highlight w:val="white"/>
        </w:rPr>
        <w:t>法定代表人：</w:t>
      </w:r>
      <w:r>
        <w:rPr>
          <w:sz w:val="24"/>
          <w:highlight w:val="white"/>
          <w:u w:val="single"/>
        </w:rPr>
        <w:t xml:space="preserve">            </w:t>
      </w:r>
      <w:r>
        <w:rPr>
          <w:sz w:val="24"/>
          <w:highlight w:val="white"/>
        </w:rPr>
        <w:t>（</w:t>
      </w:r>
      <w:r>
        <w:rPr>
          <w:rFonts w:hint="eastAsia"/>
          <w:sz w:val="24"/>
          <w:highlight w:val="white"/>
        </w:rPr>
        <w:t>签字或</w:t>
      </w:r>
      <w:r>
        <w:rPr>
          <w:sz w:val="24"/>
          <w:highlight w:val="white"/>
        </w:rPr>
        <w:t>盖章）</w:t>
      </w:r>
    </w:p>
    <w:p w14:paraId="18DDB293">
      <w:pPr>
        <w:spacing w:line="540" w:lineRule="exact"/>
        <w:ind w:firstLine="4416" w:firstLineChars="1840"/>
        <w:rPr>
          <w:sz w:val="24"/>
        </w:rPr>
      </w:pPr>
      <w:r>
        <w:rPr>
          <w:sz w:val="24"/>
          <w:highlight w:val="white"/>
        </w:rPr>
        <w:t xml:space="preserve"> </w:t>
      </w:r>
      <w:r>
        <w:rPr>
          <w:rFonts w:ascii="宋体" w:hAnsi="宋体"/>
          <w:sz w:val="24"/>
          <w:highlight w:val="white"/>
          <w:u w:val="single"/>
        </w:rPr>
        <w:t xml:space="preserve">     </w:t>
      </w:r>
      <w:r>
        <w:rPr>
          <w:sz w:val="24"/>
          <w:highlight w:val="white"/>
        </w:rPr>
        <w:t>年</w:t>
      </w:r>
      <w:r>
        <w:rPr>
          <w:rFonts w:ascii="宋体" w:hAnsi="宋体"/>
          <w:sz w:val="24"/>
          <w:highlight w:val="white"/>
          <w:u w:val="single"/>
        </w:rPr>
        <w:t xml:space="preserve">     </w:t>
      </w:r>
      <w:r>
        <w:rPr>
          <w:sz w:val="24"/>
          <w:highlight w:val="white"/>
        </w:rPr>
        <w:t>月</w:t>
      </w:r>
      <w:r>
        <w:rPr>
          <w:rFonts w:ascii="宋体" w:hAnsi="宋体"/>
          <w:sz w:val="24"/>
          <w:highlight w:val="white"/>
          <w:u w:val="single"/>
        </w:rPr>
        <w:t xml:space="preserve">     </w:t>
      </w:r>
      <w:r>
        <w:rPr>
          <w:sz w:val="24"/>
          <w:highlight w:val="white"/>
        </w:rPr>
        <w:t>日</w:t>
      </w:r>
    </w:p>
    <w:p w14:paraId="362C1D96">
      <w:pPr>
        <w:rPr>
          <w:highlight w:val="cyan"/>
        </w:rPr>
      </w:pPr>
      <w:bookmarkStart w:id="196" w:name="EB03eea6f6eafd42e3882b279611aa45ea"/>
      <w:r>
        <w:rPr>
          <w:rFonts w:hint="eastAsia"/>
          <w:color w:val="000080"/>
          <w:sz w:val="20"/>
          <w:highlight w:val="white"/>
        </w:rPr>
        <w:t xml:space="preserve"> </w:t>
      </w:r>
      <w:bookmarkEnd w:id="196"/>
    </w:p>
    <w:p w14:paraId="39E69924">
      <w:pPr>
        <w:spacing w:line="400" w:lineRule="exact"/>
      </w:pPr>
      <w:r>
        <w:rPr>
          <w:highlight w:val="white"/>
        </w:rPr>
        <w:br w:type="page"/>
      </w:r>
    </w:p>
    <w:p w14:paraId="6A0CD7FD">
      <w:pPr>
        <w:pStyle w:val="2"/>
        <w:jc w:val="center"/>
        <w:rPr>
          <w:rFonts w:hint="eastAsia"/>
        </w:rPr>
      </w:pPr>
      <w:bookmarkStart w:id="197" w:name="_Toc256000072"/>
      <w:r>
        <w:rPr>
          <w:rFonts w:hint="eastAsia" w:ascii="宋体" w:hAnsi="宋体" w:cs="宋体"/>
          <w:bCs w:val="0"/>
          <w:sz w:val="32"/>
          <w:szCs w:val="32"/>
          <w:highlight w:val="white"/>
        </w:rPr>
        <w:t>第三章 评标办法（综合评估法）</w:t>
      </w:r>
      <w:bookmarkEnd w:id="197"/>
    </w:p>
    <w:p w14:paraId="02E02FDF">
      <w:pPr>
        <w:pStyle w:val="2"/>
        <w:widowControl/>
        <w:adjustRightInd w:val="0"/>
        <w:snapToGrid w:val="0"/>
        <w:spacing w:line="360" w:lineRule="auto"/>
        <w:jc w:val="center"/>
        <w:rPr>
          <w:rFonts w:hint="eastAsia" w:ascii="宋体" w:hAnsi="宋体"/>
          <w:bCs w:val="0"/>
          <w:sz w:val="28"/>
          <w:szCs w:val="28"/>
        </w:rPr>
      </w:pPr>
      <w:bookmarkStart w:id="198" w:name="_Toc256000073"/>
      <w:r>
        <w:rPr>
          <w:rFonts w:hint="eastAsia" w:ascii="宋体" w:hAnsi="宋体"/>
          <w:bCs w:val="0"/>
          <w:sz w:val="28"/>
          <w:szCs w:val="28"/>
          <w:highlight w:val="white"/>
        </w:rPr>
        <w:t>评标办法前附表</w:t>
      </w:r>
      <w:bookmarkEnd w:id="198"/>
    </w:p>
    <w:p w14:paraId="230D5367">
      <w:pPr>
        <w:rPr>
          <w:rFonts w:hint="eastAsia"/>
          <w:color w:val="000080"/>
          <w:sz w:val="20"/>
          <w:highlight w:val="red"/>
        </w:rPr>
      </w:pPr>
      <w:bookmarkStart w:id="199" w:name="EB3597fa8ec2e340acac59e519e30c6bd7"/>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2"/>
        <w:gridCol w:w="1297"/>
        <w:gridCol w:w="1730"/>
        <w:gridCol w:w="3893"/>
      </w:tblGrid>
      <w:tr w14:paraId="4112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A272DD">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条款号</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DFFAF1">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评审因素</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35B1CB">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评审标准</w:t>
            </w:r>
          </w:p>
        </w:tc>
      </w:tr>
      <w:tr w14:paraId="3073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C4F91A">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2.1.1</w:t>
            </w:r>
          </w:p>
        </w:tc>
        <w:tc>
          <w:tcPr>
            <w:tcW w:w="6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2EB6E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形式评审</w:t>
            </w:r>
          </w:p>
          <w:p w14:paraId="3C2C6C07">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标准</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B8015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投标人名称</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C683A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与营业执照、资质证书、安全生产许可证一致</w:t>
            </w:r>
          </w:p>
        </w:tc>
      </w:tr>
      <w:tr w14:paraId="054FC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8E48CF">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483E9E">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0B8C7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签字、盖章</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D672B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 3.7.3 项要求</w:t>
            </w:r>
          </w:p>
        </w:tc>
      </w:tr>
      <w:tr w14:paraId="2D83E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0779D2">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EFAE72">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6ACAB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投标文件格式</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F8852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符合第七章“投标文件格式”的要求和符合第二章“投标人须知”第 3.7.1 项和第5.2项要求</w:t>
            </w:r>
          </w:p>
        </w:tc>
      </w:tr>
      <w:tr w14:paraId="22C0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7F4103">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31E5DB">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746E16">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联合体投标人</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44F1D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提交联合体协议书，并明确联合体牵头人（如有）</w:t>
            </w:r>
          </w:p>
        </w:tc>
      </w:tr>
      <w:tr w14:paraId="4B8F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D88569">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12CF54">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8A29E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报价唯一</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90AB68">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只能有一个报价，即符合第二章“投标人须知”第9.3项要求</w:t>
            </w:r>
          </w:p>
        </w:tc>
      </w:tr>
      <w:tr w14:paraId="024D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D4A894">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2.1.2</w:t>
            </w:r>
          </w:p>
        </w:tc>
        <w:tc>
          <w:tcPr>
            <w:tcW w:w="6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B4097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资格评审</w:t>
            </w:r>
          </w:p>
          <w:p w14:paraId="3A034E2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标准</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503EE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营业执照</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59863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具备有效的营业执照</w:t>
            </w:r>
          </w:p>
        </w:tc>
      </w:tr>
      <w:tr w14:paraId="3E1F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4EA1E3">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E7CE9C">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83FE0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资质等级</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9822BD">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7045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2C0CF4">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5C2D0">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97A778">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财务状况</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24E360">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1D3DC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BB51E9">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132F4B">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D8BEC6">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类似项目业绩</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D7B25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132AD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BCCEDF">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C63F5D">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117E6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信誉</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34ED7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5B63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D94169">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5DB14D">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1D14E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项目经理</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3691A6">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3C5A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5CD897">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FA3CF9">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12362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设计负责人</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33549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0371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EF3DC0">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80CBCC">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7A8B84">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施工负责人</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E96C3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6EDA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3C7D9C">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ACAADE">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7C9319">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安全生产许可证</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1BAAAF">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7E6AF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DACF14">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4B5970">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A51A3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其他要求</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DAD055">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符合第二章“投标人须知”第1.4.1项规定</w:t>
            </w:r>
          </w:p>
        </w:tc>
      </w:tr>
      <w:tr w14:paraId="5125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1496B1">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16494D">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BC2A78">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联合体投标人</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071E5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符合第二章“投标人须知”第1.4.2项规定（如有）</w:t>
            </w:r>
          </w:p>
        </w:tc>
      </w:tr>
      <w:tr w14:paraId="5127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2E2BA0">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9CE1F9">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54A3AB">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投标要求</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9CE60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不存在本章第 3.1.2 项任何一种情形之一</w:t>
            </w:r>
          </w:p>
        </w:tc>
      </w:tr>
      <w:tr w14:paraId="4C94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0945E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2.1.3</w:t>
            </w:r>
          </w:p>
        </w:tc>
        <w:tc>
          <w:tcPr>
            <w:tcW w:w="6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655562">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响应性评</w:t>
            </w:r>
          </w:p>
          <w:p w14:paraId="49DCE45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审标准</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2CFDC9">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投标报价</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2B92A8">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符合第二章“投标人须知”第3.2.4项规定</w:t>
            </w:r>
          </w:p>
        </w:tc>
      </w:tr>
      <w:tr w14:paraId="5A36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70FAFE">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49B5CB">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979E9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投标内容</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A1202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符合第二章“投标人须知”第1.3.1项规定</w:t>
            </w:r>
          </w:p>
        </w:tc>
      </w:tr>
      <w:tr w14:paraId="76E99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DD4533">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8F93CC">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B4C87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工期</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3E728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符合第二章“投标人须知”第1.3.2项规定</w:t>
            </w:r>
          </w:p>
        </w:tc>
      </w:tr>
      <w:tr w14:paraId="0092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DBD0E4">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81579B">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84330B">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质量标准</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3D9315">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符合第二章“投标人须知”第1.3.3项规定</w:t>
            </w:r>
          </w:p>
        </w:tc>
      </w:tr>
      <w:tr w14:paraId="0805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F8F0C4">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08F168">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C2ECC4">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投标有效期</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6BC87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符合第二章“投标人须知”第3.3.1项规定</w:t>
            </w:r>
          </w:p>
        </w:tc>
      </w:tr>
      <w:tr w14:paraId="7810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1443D2">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E63CA9">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5683C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投标保证金</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032C90">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符合第二章“投标人须知”第3.4款规定</w:t>
            </w:r>
          </w:p>
        </w:tc>
      </w:tr>
      <w:tr w14:paraId="0029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2B9BA6">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0ED628">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1ED10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权利义务</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EA61F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符合第四章“合同条款及格式”规定的权利义务</w:t>
            </w:r>
          </w:p>
        </w:tc>
      </w:tr>
      <w:tr w14:paraId="1782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299AFF">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23936C">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BC81F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承包人建议</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6B362D">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符合第五章“发包人要求”的规定</w:t>
            </w:r>
          </w:p>
        </w:tc>
      </w:tr>
      <w:tr w14:paraId="645D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67561C">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条款号</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785C7F">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条款内容</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C26078">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编列内容</w:t>
            </w:r>
          </w:p>
        </w:tc>
      </w:tr>
      <w:tr w14:paraId="1245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C6322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2.2.1</w:t>
            </w:r>
          </w:p>
        </w:tc>
        <w:tc>
          <w:tcPr>
            <w:tcW w:w="6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3BC6FF">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6D81B1">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分值构成</w:t>
            </w:r>
          </w:p>
          <w:p w14:paraId="25E0FD0A">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(总分100.0分)</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7C4BC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承包人建议书：0.0 分</w:t>
            </w:r>
          </w:p>
          <w:p w14:paraId="572F1C89">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资信业绩部分：</w:t>
            </w:r>
            <w:r>
              <w:rPr>
                <w:rFonts w:hint="eastAsia" w:ascii="宋体" w:hAnsi="宋体" w:eastAsia="宋体" w:cs="宋体"/>
                <w:kern w:val="0"/>
                <w:sz w:val="21"/>
                <w:szCs w:val="24"/>
                <w:lang w:val="en-US" w:eastAsia="zh-CN" w:bidi="ar-SA"/>
              </w:rPr>
              <w:t>4</w:t>
            </w:r>
            <w:r>
              <w:rPr>
                <w:rFonts w:ascii="宋体" w:hAnsi="宋体" w:eastAsia="宋体" w:cs="宋体"/>
                <w:kern w:val="0"/>
                <w:sz w:val="21"/>
                <w:szCs w:val="24"/>
                <w:lang w:val="en-US" w:eastAsia="en-US" w:bidi="ar-SA"/>
              </w:rPr>
              <w:t>.0 分</w:t>
            </w:r>
          </w:p>
          <w:p w14:paraId="6F62A4A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承包人实施方案：2</w:t>
            </w:r>
            <w:r>
              <w:rPr>
                <w:rFonts w:hint="eastAsia" w:ascii="宋体" w:hAnsi="宋体" w:eastAsia="宋体" w:cs="宋体"/>
                <w:kern w:val="0"/>
                <w:sz w:val="21"/>
                <w:szCs w:val="24"/>
                <w:lang w:val="en-US" w:eastAsia="zh-CN" w:bidi="ar-SA"/>
              </w:rPr>
              <w:t>4</w:t>
            </w:r>
            <w:r>
              <w:rPr>
                <w:rFonts w:ascii="宋体" w:hAnsi="宋体" w:eastAsia="宋体" w:cs="宋体"/>
                <w:kern w:val="0"/>
                <w:sz w:val="21"/>
                <w:szCs w:val="24"/>
                <w:lang w:val="en-US" w:eastAsia="en-US" w:bidi="ar-SA"/>
              </w:rPr>
              <w:t>.0 分</w:t>
            </w:r>
          </w:p>
          <w:p w14:paraId="0AF9DC31">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投标报价：60.0 分（不低于60分）</w:t>
            </w:r>
          </w:p>
          <w:p w14:paraId="3B59464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其他评分因素：</w:t>
            </w:r>
            <w:r>
              <w:rPr>
                <w:rFonts w:hint="eastAsia" w:ascii="宋体" w:hAnsi="宋体" w:eastAsia="宋体" w:cs="宋体"/>
                <w:kern w:val="0"/>
                <w:sz w:val="21"/>
                <w:szCs w:val="24"/>
                <w:lang w:val="en-US" w:eastAsia="zh-CN" w:bidi="ar-SA"/>
              </w:rPr>
              <w:t>12</w:t>
            </w:r>
            <w:r>
              <w:rPr>
                <w:rFonts w:ascii="宋体" w:hAnsi="宋体" w:eastAsia="宋体" w:cs="宋体"/>
                <w:kern w:val="0"/>
                <w:sz w:val="21"/>
                <w:szCs w:val="24"/>
                <w:lang w:val="en-US" w:eastAsia="en-US" w:bidi="ar-SA"/>
              </w:rPr>
              <w:t>.0 分</w:t>
            </w:r>
          </w:p>
        </w:tc>
      </w:tr>
      <w:tr w14:paraId="046B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0D82DA">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3.2.4</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8DDB9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低于成本</w:t>
            </w:r>
          </w:p>
          <w:p w14:paraId="0A87E529">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评审</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6EDEB4">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按照第二章“投标人须知”第9.4项规定进行评审。</w:t>
            </w:r>
          </w:p>
        </w:tc>
      </w:tr>
      <w:tr w14:paraId="1086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53E55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2.2.2</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A78FF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评标基准价计算方法</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1DA060">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采用下列方式：</w:t>
            </w:r>
          </w:p>
          <w:p w14:paraId="5892CD7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□A方式：采用有效投标报价（经初步评审合格且不低于成本的投标报价；报价有修正的，以修正后的价格为准）中最低报价为评标基准价，计算公式为：</w:t>
            </w:r>
          </w:p>
          <w:p w14:paraId="3893718A">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S（评标基准价）=amin，amin为有效的最低投标报价。</w:t>
            </w:r>
          </w:p>
          <w:p w14:paraId="6F90557C">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☑B方式：采用有效投标报价（经初步评审合格且不低于成本的投标报价；报价有修正的，以修正后的价格为准）的算术平均值为评标基准价，计算公式为：</w:t>
            </w:r>
          </w:p>
          <w:p w14:paraId="229DA8BE">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S（评标基准价）=（a1 +……+an）/n，a为有效的投标报价。</w:t>
            </w:r>
          </w:p>
          <w:p w14:paraId="22C08629">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注：评标基准价小数点后保留两位。</w:t>
            </w:r>
          </w:p>
        </w:tc>
      </w:tr>
    </w:tbl>
    <w:p w14:paraId="7F02441E">
      <w:pPr>
        <w:rPr>
          <w:rFonts w:hint="eastAsia"/>
          <w:color w:val="000080"/>
          <w:sz w:val="20"/>
          <w:highlight w:val="white"/>
        </w:rPr>
      </w:pPr>
      <w:r>
        <w:rPr>
          <w:rFonts w:hint="eastAsia"/>
          <w:color w:val="000080"/>
          <w:sz w:val="20"/>
          <w:highlight w:val="white"/>
        </w:rPr>
        <w:t xml:space="preserve"> </w:t>
      </w:r>
      <w:bookmarkEnd w:id="199"/>
    </w:p>
    <w:p w14:paraId="1D0C995A">
      <w:pPr>
        <w:rPr>
          <w:rFonts w:hint="eastAsia"/>
          <w:highlight w:val="red"/>
        </w:rPr>
      </w:pPr>
      <w:bookmarkStart w:id="200" w:name="EB22e38ee901f84a99896446f400f5bd37"/>
      <w:bookmarkEnd w:id="200"/>
    </w:p>
    <w:p w14:paraId="0E1D3E2A">
      <w:pPr>
        <w:rPr>
          <w:rFonts w:hint="eastAsia"/>
          <w:color w:val="000080"/>
          <w:sz w:val="20"/>
          <w:highlight w:val="red"/>
        </w:rPr>
      </w:pPr>
      <w:bookmarkStart w:id="201" w:name="EB41ccf1e1f0bb4eef8dfadd89afb383e1"/>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5"/>
        <w:gridCol w:w="1234"/>
        <w:gridCol w:w="1646"/>
        <w:gridCol w:w="4117"/>
      </w:tblGrid>
      <w:tr w14:paraId="3D96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9"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9A1673">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2.2.3</w:t>
            </w:r>
          </w:p>
        </w:tc>
        <w:tc>
          <w:tcPr>
            <w:tcW w:w="16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F8ABA0">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投标报价的偏差率</w:t>
            </w:r>
          </w:p>
          <w:p w14:paraId="0A3F2A2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计算公式</w:t>
            </w:r>
          </w:p>
        </w:tc>
        <w:tc>
          <w:tcPr>
            <w:tcW w:w="411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FEF3F0">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偏差率=100% ×︱（投标人报价 -评标基准价）︱/评标基准价</w:t>
            </w:r>
          </w:p>
          <w:p w14:paraId="3E467433">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施工投标报价为下浮比例报价时，施工投标报价偏差率=︱投标人报价－评标基准价︱。例：某投标人施工投标报价为95%，评标基准价为90%，则施工投标报价偏差率为95%－90%=5%。</w:t>
            </w:r>
          </w:p>
          <w:p w14:paraId="13E569E4">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注：偏差率百分数小数点后保留两位。</w:t>
            </w:r>
          </w:p>
        </w:tc>
      </w:tr>
      <w:tr w14:paraId="5E9E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9"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5C4AC8">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条款号</w:t>
            </w:r>
          </w:p>
        </w:tc>
        <w:tc>
          <w:tcPr>
            <w:tcW w:w="16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9F1AE7">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评分因素（偏差率）</w:t>
            </w:r>
          </w:p>
        </w:tc>
        <w:tc>
          <w:tcPr>
            <w:tcW w:w="411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0C3124">
            <w:pPr>
              <w:widowControl/>
              <w:jc w:val="center"/>
              <w:rPr>
                <w:rFonts w:ascii="宋体" w:hAnsi="宋体" w:eastAsia="宋体" w:cs="宋体"/>
                <w:kern w:val="0"/>
                <w:sz w:val="21"/>
                <w:szCs w:val="24"/>
                <w:lang w:val="en-US" w:eastAsia="en-US" w:bidi="ar-SA"/>
              </w:rPr>
            </w:pPr>
            <w:r>
              <w:rPr>
                <w:rFonts w:ascii="宋体" w:hAnsi="宋体" w:eastAsia="宋体" w:cs="宋体"/>
                <w:b/>
                <w:kern w:val="0"/>
                <w:sz w:val="21"/>
                <w:szCs w:val="24"/>
                <w:lang w:val="en-US" w:eastAsia="en-US" w:bidi="ar-SA"/>
              </w:rPr>
              <w:t>评分标准</w:t>
            </w:r>
          </w:p>
        </w:tc>
      </w:tr>
      <w:tr w14:paraId="6147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D89A7A">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注：承包人建议书评分因素可从图纸、工程详细说明、设备方案等方面设置。</w:t>
            </w:r>
          </w:p>
        </w:tc>
      </w:tr>
      <w:tr w14:paraId="0334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152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33ABB8">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2.2.4</w:t>
            </w:r>
          </w:p>
          <w:p w14:paraId="2D2D41D1">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w:t>
            </w:r>
          </w:p>
        </w:tc>
        <w:tc>
          <w:tcPr>
            <w:tcW w:w="123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86C6B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资信业绩评分标准</w:t>
            </w:r>
          </w:p>
        </w:tc>
        <w:tc>
          <w:tcPr>
            <w:tcW w:w="1646" w:type="dxa"/>
            <w:tcBorders>
              <w:top w:val="single" w:color="000000" w:sz="2" w:space="0"/>
              <w:left w:val="single" w:color="000000" w:sz="2" w:space="0"/>
              <w:right w:val="single" w:color="000000" w:sz="2" w:space="0"/>
            </w:tcBorders>
            <w:noWrap w:val="0"/>
            <w:tcMar>
              <w:top w:w="100" w:type="dxa"/>
              <w:bottom w:w="100" w:type="dxa"/>
            </w:tcMar>
            <w:vAlign w:val="center"/>
          </w:tcPr>
          <w:p w14:paraId="65479BC4">
            <w:pPr>
              <w:widowControl/>
              <w:jc w:val="center"/>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业绩</w:t>
            </w:r>
          </w:p>
        </w:tc>
        <w:tc>
          <w:tcPr>
            <w:tcW w:w="411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A762FA">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1、设计业绩：2023 年01月01日至投标</w:t>
            </w:r>
          </w:p>
          <w:p w14:paraId="26A938EA">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截止时间每具有1个已完成或新承接或</w:t>
            </w:r>
          </w:p>
          <w:p w14:paraId="0734AB2B">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正在设计总投资不小于4000万元的</w:t>
            </w:r>
          </w:p>
          <w:p w14:paraId="5B41FAEC">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建筑工程设计业绩得1分，本项最高得 2</w:t>
            </w:r>
          </w:p>
          <w:p w14:paraId="3D69D690">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分。</w:t>
            </w:r>
          </w:p>
          <w:p w14:paraId="36DA8F97">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2、施工业绩：2023年01月01日至投标</w:t>
            </w:r>
          </w:p>
          <w:p w14:paraId="79958A18">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截止时间每具有1个已完成或新承接或</w:t>
            </w:r>
          </w:p>
          <w:p w14:paraId="54C19488">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正在施工单项合同金额不小于4000万元</w:t>
            </w:r>
          </w:p>
          <w:p w14:paraId="3D19C523">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的建筑工程施工业绩得1分，本项最高得</w:t>
            </w:r>
          </w:p>
          <w:p w14:paraId="5C7CE8B8">
            <w:pPr>
              <w:widowControl/>
              <w:jc w:val="left"/>
              <w:rPr>
                <w:rFonts w:hint="eastAsia" w:ascii="宋体" w:hAnsi="宋体" w:eastAsia="宋体" w:cs="宋体"/>
                <w:kern w:val="0"/>
                <w:sz w:val="21"/>
                <w:szCs w:val="24"/>
                <w:lang w:val="en-US" w:eastAsia="zh-CN" w:bidi="ar-SA"/>
              </w:rPr>
            </w:pPr>
            <w:r>
              <w:rPr>
                <w:rFonts w:hint="eastAsia" w:ascii="宋体" w:hAnsi="宋体" w:eastAsia="宋体" w:cs="宋体"/>
                <w:kern w:val="0"/>
                <w:sz w:val="21"/>
                <w:szCs w:val="24"/>
                <w:lang w:val="en-US" w:eastAsia="zh-CN" w:bidi="ar-SA"/>
              </w:rPr>
              <w:t>2 分</w:t>
            </w:r>
          </w:p>
        </w:tc>
      </w:tr>
      <w:tr w14:paraId="08A9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B198D9">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注：资信业绩评分因素可从信誉、类似项目业绩、项目经理业绩、设计负责人业绩、施工负责人业绩等方面设置。</w:t>
            </w:r>
          </w:p>
        </w:tc>
      </w:tr>
      <w:tr w14:paraId="661CD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89F3B4">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2.2.4</w:t>
            </w:r>
          </w:p>
          <w:p w14:paraId="5F07929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（3）</w:t>
            </w:r>
          </w:p>
        </w:tc>
        <w:tc>
          <w:tcPr>
            <w:tcW w:w="1234"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E4B156">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承包人实施方案评分标准</w:t>
            </w:r>
          </w:p>
        </w:tc>
        <w:tc>
          <w:tcPr>
            <w:tcW w:w="16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7F227C">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设计大纲</w:t>
            </w:r>
          </w:p>
        </w:tc>
        <w:tc>
          <w:tcPr>
            <w:tcW w:w="411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6FF078">
            <w:pPr>
              <w:widowControl/>
              <w:numPr>
                <w:ilvl w:val="0"/>
                <w:numId w:val="7"/>
              </w:numPr>
              <w:jc w:val="left"/>
              <w:rPr>
                <w:rFonts w:hint="eastAsia" w:ascii="宋体" w:hAnsi="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设计阶段与设计工作内容及深度的规划的合理、可行。优得1.0-2.0分，良得0.5-1.0分，一般得0.1-0.5分，不提供不得分，本项最高2分。</w:t>
            </w:r>
          </w:p>
          <w:p w14:paraId="1C4E1922">
            <w:pPr>
              <w:widowControl/>
              <w:numPr>
                <w:ilvl w:val="0"/>
                <w:numId w:val="7"/>
              </w:numPr>
              <w:jc w:val="left"/>
              <w:rPr>
                <w:rFonts w:hint="default" w:ascii="宋体" w:hAnsi="宋体" w:eastAsia="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质量保证措施是否全面合理、可行。优得1.0-2.0分，良得0.5-1.0分，一般得0.1-0.5分，不提供不得分，本项最高2分。</w:t>
            </w:r>
          </w:p>
          <w:p w14:paraId="4BC10022">
            <w:pPr>
              <w:widowControl/>
              <w:numPr>
                <w:ilvl w:val="0"/>
                <w:numId w:val="7"/>
              </w:numPr>
              <w:jc w:val="left"/>
              <w:rPr>
                <w:rFonts w:hint="default" w:ascii="宋体" w:hAnsi="宋体" w:eastAsia="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进度控制及保证措施、后续服务保障措施是否全面合理、可行。优得1.0-2.0分，良得0.5-1.0分，一般得0.1-0.5分，不提供不得分，本项最高2分。</w:t>
            </w:r>
          </w:p>
          <w:p w14:paraId="2F26B1AB">
            <w:pPr>
              <w:widowControl/>
              <w:numPr>
                <w:ilvl w:val="0"/>
                <w:numId w:val="0"/>
              </w:numPr>
              <w:jc w:val="left"/>
              <w:rPr>
                <w:rFonts w:ascii="宋体" w:hAnsi="宋体" w:eastAsia="宋体" w:cs="宋体"/>
                <w:kern w:val="0"/>
                <w:sz w:val="21"/>
                <w:szCs w:val="24"/>
                <w:lang w:val="en-US" w:eastAsia="en-US" w:bidi="ar-SA"/>
              </w:rPr>
            </w:pPr>
            <w:r>
              <w:rPr>
                <w:rFonts w:hint="eastAsia" w:ascii="宋体" w:hAnsi="宋体" w:cs="宋体"/>
                <w:kern w:val="0"/>
                <w:sz w:val="21"/>
                <w:szCs w:val="24"/>
                <w:highlight w:val="none"/>
                <w:lang w:val="en-US" w:eastAsia="zh-CN" w:bidi="ar-SA"/>
              </w:rPr>
              <w:t>4、对招标项目任务的特点、关键技术问题的认识及措施的理解是否全面合理、可行。优得1.0-2.0分，良得0.5-1.0分，一般得0.1-0.5分，不提供不得分，本项最高2分。</w:t>
            </w:r>
          </w:p>
        </w:tc>
      </w:tr>
      <w:tr w14:paraId="2201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1BAD5E">
            <w:pPr>
              <w:widowControl/>
              <w:jc w:val="center"/>
              <w:rPr>
                <w:rFonts w:ascii="宋体" w:hAnsi="宋体" w:eastAsia="宋体" w:cs="宋体"/>
                <w:kern w:val="0"/>
                <w:sz w:val="21"/>
                <w:szCs w:val="24"/>
                <w:lang w:val="en-US" w:eastAsia="en-US" w:bidi="ar-SA"/>
              </w:rPr>
            </w:pPr>
          </w:p>
        </w:tc>
        <w:tc>
          <w:tcPr>
            <w:tcW w:w="123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BA1273">
            <w:pPr>
              <w:widowControl/>
              <w:jc w:val="center"/>
              <w:rPr>
                <w:rFonts w:ascii="宋体" w:hAnsi="宋体" w:eastAsia="宋体" w:cs="宋体"/>
                <w:kern w:val="0"/>
                <w:sz w:val="21"/>
                <w:szCs w:val="24"/>
                <w:lang w:val="en-US" w:eastAsia="en-US" w:bidi="ar-SA"/>
              </w:rPr>
            </w:pPr>
          </w:p>
        </w:tc>
        <w:tc>
          <w:tcPr>
            <w:tcW w:w="16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CA03C1">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施工组织设计</w:t>
            </w:r>
          </w:p>
        </w:tc>
        <w:tc>
          <w:tcPr>
            <w:tcW w:w="411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EE4088">
            <w:pPr>
              <w:widowControl/>
              <w:jc w:val="left"/>
              <w:rPr>
                <w:rFonts w:hint="default" w:ascii="宋体" w:hAnsi="宋体" w:eastAsia="宋体" w:cs="宋体"/>
                <w:kern w:val="0"/>
                <w:sz w:val="21"/>
                <w:szCs w:val="24"/>
                <w:highlight w:val="none"/>
                <w:lang w:val="en-US" w:eastAsia="zh-CN" w:bidi="ar-SA"/>
              </w:rPr>
            </w:pPr>
            <w:r>
              <w:rPr>
                <w:rFonts w:ascii="宋体" w:hAnsi="宋体" w:eastAsia="宋体" w:cs="宋体"/>
                <w:kern w:val="0"/>
                <w:sz w:val="21"/>
                <w:szCs w:val="24"/>
                <w:highlight w:val="none"/>
                <w:lang w:val="en-US" w:eastAsia="en-US" w:bidi="ar-SA"/>
              </w:rPr>
              <w:t>1、施工方案全面、明确、可行。优得1.</w:t>
            </w:r>
            <w:r>
              <w:rPr>
                <w:rFonts w:hint="eastAsia" w:ascii="宋体" w:hAnsi="宋体" w:cs="宋体"/>
                <w:kern w:val="0"/>
                <w:sz w:val="21"/>
                <w:szCs w:val="24"/>
                <w:highlight w:val="none"/>
                <w:lang w:val="en-US" w:eastAsia="zh-CN" w:bidi="ar-SA"/>
              </w:rPr>
              <w:t>5</w:t>
            </w:r>
            <w:r>
              <w:rPr>
                <w:rFonts w:ascii="宋体" w:hAnsi="宋体" w:eastAsia="宋体" w:cs="宋体"/>
                <w:kern w:val="0"/>
                <w:sz w:val="21"/>
                <w:szCs w:val="24"/>
                <w:highlight w:val="none"/>
                <w:lang w:val="en-US" w:eastAsia="en-US" w:bidi="ar-SA"/>
              </w:rPr>
              <w:t>-</w:t>
            </w:r>
            <w:r>
              <w:rPr>
                <w:rFonts w:hint="eastAsia" w:ascii="宋体" w:hAnsi="宋体" w:cs="宋体"/>
                <w:kern w:val="0"/>
                <w:sz w:val="21"/>
                <w:szCs w:val="24"/>
                <w:highlight w:val="none"/>
                <w:lang w:val="en-US" w:eastAsia="zh-CN" w:bidi="ar-SA"/>
              </w:rPr>
              <w:t>3</w:t>
            </w:r>
            <w:r>
              <w:rPr>
                <w:rFonts w:ascii="宋体" w:hAnsi="宋体" w:eastAsia="宋体" w:cs="宋体"/>
                <w:kern w:val="0"/>
                <w:sz w:val="21"/>
                <w:szCs w:val="24"/>
                <w:highlight w:val="none"/>
                <w:lang w:val="en-US" w:eastAsia="en-US" w:bidi="ar-SA"/>
              </w:rPr>
              <w:t>.0分，良得0.</w:t>
            </w:r>
            <w:r>
              <w:rPr>
                <w:rFonts w:hint="eastAsia" w:ascii="宋体" w:hAnsi="宋体" w:cs="宋体"/>
                <w:kern w:val="0"/>
                <w:sz w:val="21"/>
                <w:szCs w:val="24"/>
                <w:highlight w:val="none"/>
                <w:lang w:val="en-US" w:eastAsia="zh-CN" w:bidi="ar-SA"/>
              </w:rPr>
              <w:t>8</w:t>
            </w:r>
            <w:r>
              <w:rPr>
                <w:rFonts w:ascii="宋体" w:hAnsi="宋体" w:eastAsia="宋体" w:cs="宋体"/>
                <w:kern w:val="0"/>
                <w:sz w:val="21"/>
                <w:szCs w:val="24"/>
                <w:highlight w:val="none"/>
                <w:lang w:val="en-US" w:eastAsia="en-US" w:bidi="ar-SA"/>
              </w:rPr>
              <w:t>-1.</w:t>
            </w:r>
            <w:r>
              <w:rPr>
                <w:rFonts w:hint="eastAsia" w:ascii="宋体" w:hAnsi="宋体" w:cs="宋体"/>
                <w:kern w:val="0"/>
                <w:sz w:val="21"/>
                <w:szCs w:val="24"/>
                <w:highlight w:val="none"/>
                <w:lang w:val="en-US" w:eastAsia="zh-CN" w:bidi="ar-SA"/>
              </w:rPr>
              <w:t>5</w:t>
            </w:r>
            <w:r>
              <w:rPr>
                <w:rFonts w:ascii="宋体" w:hAnsi="宋体" w:eastAsia="宋体" w:cs="宋体"/>
                <w:kern w:val="0"/>
                <w:sz w:val="21"/>
                <w:szCs w:val="24"/>
                <w:highlight w:val="none"/>
                <w:lang w:val="en-US" w:eastAsia="en-US" w:bidi="ar-SA"/>
              </w:rPr>
              <w:t>分，一般得0.1-0.</w:t>
            </w:r>
            <w:r>
              <w:rPr>
                <w:rFonts w:hint="eastAsia" w:ascii="宋体" w:hAnsi="宋体" w:cs="宋体"/>
                <w:kern w:val="0"/>
                <w:sz w:val="21"/>
                <w:szCs w:val="24"/>
                <w:highlight w:val="none"/>
                <w:lang w:val="en-US" w:eastAsia="zh-CN" w:bidi="ar-SA"/>
              </w:rPr>
              <w:t>8</w:t>
            </w:r>
            <w:r>
              <w:rPr>
                <w:rFonts w:ascii="宋体" w:hAnsi="宋体" w:eastAsia="宋体" w:cs="宋体"/>
                <w:kern w:val="0"/>
                <w:sz w:val="21"/>
                <w:szCs w:val="24"/>
                <w:highlight w:val="none"/>
                <w:lang w:val="en-US" w:eastAsia="en-US" w:bidi="ar-SA"/>
              </w:rPr>
              <w:t>分，不提供不得分</w:t>
            </w:r>
            <w:r>
              <w:rPr>
                <w:rFonts w:hint="eastAsia" w:ascii="宋体" w:hAnsi="宋体" w:cs="宋体"/>
                <w:kern w:val="0"/>
                <w:sz w:val="21"/>
                <w:szCs w:val="24"/>
                <w:highlight w:val="none"/>
                <w:lang w:val="en-US" w:eastAsia="zh-CN" w:bidi="ar-SA"/>
              </w:rPr>
              <w:t>，本项最高得3分。</w:t>
            </w:r>
          </w:p>
          <w:p w14:paraId="05F5F40C">
            <w:pPr>
              <w:widowControl/>
              <w:jc w:val="left"/>
              <w:rPr>
                <w:rFonts w:ascii="宋体" w:hAnsi="宋体" w:eastAsia="宋体" w:cs="宋体"/>
                <w:kern w:val="0"/>
                <w:sz w:val="21"/>
                <w:szCs w:val="24"/>
                <w:highlight w:val="none"/>
                <w:lang w:val="en-US" w:eastAsia="en-US" w:bidi="ar-SA"/>
              </w:rPr>
            </w:pPr>
            <w:r>
              <w:rPr>
                <w:rFonts w:ascii="宋体" w:hAnsi="宋体" w:eastAsia="宋体" w:cs="宋体"/>
                <w:kern w:val="0"/>
                <w:sz w:val="21"/>
                <w:szCs w:val="24"/>
                <w:highlight w:val="none"/>
                <w:lang w:val="en-US" w:eastAsia="en-US" w:bidi="ar-SA"/>
              </w:rPr>
              <w:t>2、质量控制措施：考虑全面，有针对性。优得1.</w:t>
            </w:r>
            <w:r>
              <w:rPr>
                <w:rFonts w:hint="eastAsia" w:ascii="宋体" w:hAnsi="宋体" w:cs="宋体"/>
                <w:kern w:val="0"/>
                <w:sz w:val="21"/>
                <w:szCs w:val="24"/>
                <w:highlight w:val="none"/>
                <w:lang w:val="en-US" w:eastAsia="zh-CN" w:bidi="ar-SA"/>
              </w:rPr>
              <w:t>5</w:t>
            </w:r>
            <w:r>
              <w:rPr>
                <w:rFonts w:ascii="宋体" w:hAnsi="宋体" w:eastAsia="宋体" w:cs="宋体"/>
                <w:kern w:val="0"/>
                <w:sz w:val="21"/>
                <w:szCs w:val="24"/>
                <w:highlight w:val="none"/>
                <w:lang w:val="en-US" w:eastAsia="en-US" w:bidi="ar-SA"/>
              </w:rPr>
              <w:t>-</w:t>
            </w:r>
            <w:r>
              <w:rPr>
                <w:rFonts w:hint="eastAsia" w:ascii="宋体" w:hAnsi="宋体" w:cs="宋体"/>
                <w:kern w:val="0"/>
                <w:sz w:val="21"/>
                <w:szCs w:val="24"/>
                <w:highlight w:val="none"/>
                <w:lang w:val="en-US" w:eastAsia="zh-CN" w:bidi="ar-SA"/>
              </w:rPr>
              <w:t>3</w:t>
            </w:r>
            <w:r>
              <w:rPr>
                <w:rFonts w:ascii="宋体" w:hAnsi="宋体" w:eastAsia="宋体" w:cs="宋体"/>
                <w:kern w:val="0"/>
                <w:sz w:val="21"/>
                <w:szCs w:val="24"/>
                <w:highlight w:val="none"/>
                <w:lang w:val="en-US" w:eastAsia="en-US" w:bidi="ar-SA"/>
              </w:rPr>
              <w:t>.0分，良得0.</w:t>
            </w:r>
            <w:r>
              <w:rPr>
                <w:rFonts w:hint="eastAsia" w:ascii="宋体" w:hAnsi="宋体" w:cs="宋体"/>
                <w:kern w:val="0"/>
                <w:sz w:val="21"/>
                <w:szCs w:val="24"/>
                <w:highlight w:val="none"/>
                <w:lang w:val="en-US" w:eastAsia="zh-CN" w:bidi="ar-SA"/>
              </w:rPr>
              <w:t>8</w:t>
            </w:r>
            <w:r>
              <w:rPr>
                <w:rFonts w:ascii="宋体" w:hAnsi="宋体" w:eastAsia="宋体" w:cs="宋体"/>
                <w:kern w:val="0"/>
                <w:sz w:val="21"/>
                <w:szCs w:val="24"/>
                <w:highlight w:val="none"/>
                <w:lang w:val="en-US" w:eastAsia="en-US" w:bidi="ar-SA"/>
              </w:rPr>
              <w:t>-1.</w:t>
            </w:r>
            <w:r>
              <w:rPr>
                <w:rFonts w:hint="eastAsia" w:ascii="宋体" w:hAnsi="宋体" w:cs="宋体"/>
                <w:kern w:val="0"/>
                <w:sz w:val="21"/>
                <w:szCs w:val="24"/>
                <w:highlight w:val="none"/>
                <w:lang w:val="en-US" w:eastAsia="zh-CN" w:bidi="ar-SA"/>
              </w:rPr>
              <w:t>5</w:t>
            </w:r>
            <w:r>
              <w:rPr>
                <w:rFonts w:ascii="宋体" w:hAnsi="宋体" w:eastAsia="宋体" w:cs="宋体"/>
                <w:kern w:val="0"/>
                <w:sz w:val="21"/>
                <w:szCs w:val="24"/>
                <w:highlight w:val="none"/>
                <w:lang w:val="en-US" w:eastAsia="en-US" w:bidi="ar-SA"/>
              </w:rPr>
              <w:t>分，一般得0.1-0.</w:t>
            </w:r>
            <w:r>
              <w:rPr>
                <w:rFonts w:hint="eastAsia" w:ascii="宋体" w:hAnsi="宋体" w:cs="宋体"/>
                <w:kern w:val="0"/>
                <w:sz w:val="21"/>
                <w:szCs w:val="24"/>
                <w:highlight w:val="none"/>
                <w:lang w:val="en-US" w:eastAsia="zh-CN" w:bidi="ar-SA"/>
              </w:rPr>
              <w:t>8</w:t>
            </w:r>
            <w:r>
              <w:rPr>
                <w:rFonts w:ascii="宋体" w:hAnsi="宋体" w:eastAsia="宋体" w:cs="宋体"/>
                <w:kern w:val="0"/>
                <w:sz w:val="21"/>
                <w:szCs w:val="24"/>
                <w:highlight w:val="none"/>
                <w:lang w:val="en-US" w:eastAsia="en-US" w:bidi="ar-SA"/>
              </w:rPr>
              <w:t>分，不提供不得分</w:t>
            </w:r>
            <w:r>
              <w:rPr>
                <w:rFonts w:hint="eastAsia" w:ascii="宋体" w:hAnsi="宋体" w:cs="宋体"/>
                <w:kern w:val="0"/>
                <w:sz w:val="21"/>
                <w:szCs w:val="24"/>
                <w:highlight w:val="none"/>
                <w:lang w:val="en-US" w:eastAsia="zh-CN" w:bidi="ar-SA"/>
              </w:rPr>
              <w:t>，本项最高得3分。</w:t>
            </w:r>
          </w:p>
          <w:p w14:paraId="3CDCF3DE">
            <w:pPr>
              <w:widowControl/>
              <w:jc w:val="left"/>
              <w:rPr>
                <w:rFonts w:ascii="宋体" w:hAnsi="宋体" w:eastAsia="宋体" w:cs="宋体"/>
                <w:kern w:val="0"/>
                <w:sz w:val="21"/>
                <w:szCs w:val="24"/>
                <w:highlight w:val="none"/>
                <w:lang w:val="en-US" w:eastAsia="en-US" w:bidi="ar-SA"/>
              </w:rPr>
            </w:pPr>
            <w:r>
              <w:rPr>
                <w:rFonts w:ascii="宋体" w:hAnsi="宋体" w:eastAsia="宋体" w:cs="宋体"/>
                <w:kern w:val="0"/>
                <w:sz w:val="21"/>
                <w:szCs w:val="24"/>
                <w:highlight w:val="none"/>
                <w:lang w:val="en-US" w:eastAsia="en-US" w:bidi="ar-SA"/>
              </w:rPr>
              <w:t>3、进度控制措施及资源配备计划：考虑全面，有针对性。优得1.0-2.0分，良得0.5-1.0分，一般得0.1-0.5分，不提供不得分</w:t>
            </w:r>
            <w:r>
              <w:rPr>
                <w:rFonts w:hint="eastAsia" w:ascii="宋体" w:hAnsi="宋体" w:cs="宋体"/>
                <w:kern w:val="0"/>
                <w:sz w:val="21"/>
                <w:szCs w:val="24"/>
                <w:highlight w:val="none"/>
                <w:lang w:val="en-US" w:eastAsia="zh-CN" w:bidi="ar-SA"/>
              </w:rPr>
              <w:t>，本项最高得2分。</w:t>
            </w:r>
          </w:p>
          <w:p w14:paraId="742188FE">
            <w:pPr>
              <w:widowControl/>
              <w:jc w:val="left"/>
              <w:rPr>
                <w:rFonts w:ascii="宋体" w:hAnsi="宋体" w:eastAsia="宋体" w:cs="宋体"/>
                <w:kern w:val="0"/>
                <w:sz w:val="21"/>
                <w:szCs w:val="24"/>
                <w:highlight w:val="none"/>
                <w:lang w:val="en-US" w:eastAsia="en-US" w:bidi="ar-SA"/>
              </w:rPr>
            </w:pPr>
            <w:r>
              <w:rPr>
                <w:rFonts w:ascii="宋体" w:hAnsi="宋体" w:eastAsia="宋体" w:cs="宋体"/>
                <w:kern w:val="0"/>
                <w:sz w:val="21"/>
                <w:szCs w:val="24"/>
                <w:highlight w:val="none"/>
                <w:lang w:val="en-US" w:eastAsia="en-US" w:bidi="ar-SA"/>
              </w:rPr>
              <w:t>4、安全文明施工控制措施：考虑全面，有针对性。优得1.0-2.0分，良得0.5-1.0分，一般得0.1-0.5分，不提供不得分</w:t>
            </w:r>
            <w:r>
              <w:rPr>
                <w:rFonts w:hint="eastAsia" w:ascii="宋体" w:hAnsi="宋体" w:cs="宋体"/>
                <w:kern w:val="0"/>
                <w:sz w:val="21"/>
                <w:szCs w:val="24"/>
                <w:highlight w:val="none"/>
                <w:lang w:val="en-US" w:eastAsia="zh-CN" w:bidi="ar-SA"/>
              </w:rPr>
              <w:t>，本项最高得2分。</w:t>
            </w:r>
          </w:p>
          <w:p w14:paraId="37F462D9">
            <w:pPr>
              <w:widowControl/>
              <w:jc w:val="left"/>
              <w:rPr>
                <w:rFonts w:ascii="宋体" w:hAnsi="宋体" w:eastAsia="宋体" w:cs="宋体"/>
                <w:kern w:val="0"/>
                <w:sz w:val="21"/>
                <w:szCs w:val="24"/>
                <w:highlight w:val="none"/>
                <w:lang w:val="en-US" w:eastAsia="en-US" w:bidi="ar-SA"/>
              </w:rPr>
            </w:pPr>
            <w:r>
              <w:rPr>
                <w:rFonts w:ascii="宋体" w:hAnsi="宋体" w:eastAsia="宋体" w:cs="宋体"/>
                <w:kern w:val="0"/>
                <w:sz w:val="21"/>
                <w:szCs w:val="24"/>
                <w:highlight w:val="none"/>
                <w:lang w:val="en-US" w:eastAsia="en-US" w:bidi="ar-SA"/>
              </w:rPr>
              <w:t>5、环境保护管理体系与措施：考虑全面，有针对性。优得1.0-2.0分，良得0.5-1.0分，一般得0.1-0.5分，不提供不得分</w:t>
            </w:r>
            <w:r>
              <w:rPr>
                <w:rFonts w:hint="eastAsia" w:ascii="宋体" w:hAnsi="宋体" w:cs="宋体"/>
                <w:kern w:val="0"/>
                <w:sz w:val="21"/>
                <w:szCs w:val="24"/>
                <w:highlight w:val="none"/>
                <w:lang w:val="en-US" w:eastAsia="zh-CN" w:bidi="ar-SA"/>
              </w:rPr>
              <w:t>，本项最高得2分。</w:t>
            </w:r>
          </w:p>
          <w:p w14:paraId="1264ECC1">
            <w:pPr>
              <w:widowControl/>
              <w:jc w:val="left"/>
              <w:rPr>
                <w:rFonts w:ascii="宋体" w:hAnsi="宋体" w:eastAsia="宋体" w:cs="宋体"/>
                <w:kern w:val="0"/>
                <w:sz w:val="21"/>
                <w:szCs w:val="24"/>
                <w:highlight w:val="none"/>
                <w:lang w:val="en-US" w:eastAsia="en-US" w:bidi="ar-SA"/>
              </w:rPr>
            </w:pPr>
            <w:r>
              <w:rPr>
                <w:rFonts w:ascii="宋体" w:hAnsi="宋体" w:eastAsia="宋体" w:cs="宋体"/>
                <w:kern w:val="0"/>
                <w:sz w:val="21"/>
                <w:szCs w:val="24"/>
                <w:highlight w:val="none"/>
                <w:lang w:val="en-US" w:eastAsia="en-US" w:bidi="ar-SA"/>
              </w:rPr>
              <w:t>6、建筑垃圾减排和资源化利用计划与措施：考虑全面，有针对性。优得1.0-2.0分，良得0.5-1.0分，一般得0.1-0.5分，不提供不得分</w:t>
            </w:r>
            <w:r>
              <w:rPr>
                <w:rFonts w:hint="eastAsia" w:ascii="宋体" w:hAnsi="宋体" w:cs="宋体"/>
                <w:kern w:val="0"/>
                <w:sz w:val="21"/>
                <w:szCs w:val="24"/>
                <w:highlight w:val="none"/>
                <w:lang w:val="en-US" w:eastAsia="zh-CN" w:bidi="ar-SA"/>
              </w:rPr>
              <w:t>，本项最高得2分。</w:t>
            </w:r>
          </w:p>
          <w:p w14:paraId="58D61E9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highlight w:val="none"/>
                <w:lang w:val="en-US" w:eastAsia="en-US" w:bidi="ar-SA"/>
              </w:rPr>
              <w:t>7、后续服务承诺完整、准确、合理，承诺内容明确。优得1.0-2.0分，良得0.5-1.0分，一般得0.1-0</w:t>
            </w:r>
          </w:p>
        </w:tc>
      </w:tr>
      <w:tr w14:paraId="1EB4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C5579A">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注：承包人实施方案评分因素可从总体实施方案、项目实施要点、项目管理要点等方面设置。</w:t>
            </w:r>
          </w:p>
        </w:tc>
      </w:tr>
      <w:tr w14:paraId="0224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DB897D">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2.2.4</w:t>
            </w:r>
          </w:p>
          <w:p w14:paraId="56B0C0F6">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（4）</w:t>
            </w:r>
          </w:p>
        </w:tc>
        <w:tc>
          <w:tcPr>
            <w:tcW w:w="123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85EBB9">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投标报价评分标准</w:t>
            </w:r>
          </w:p>
        </w:tc>
        <w:tc>
          <w:tcPr>
            <w:tcW w:w="164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EA2203">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偏差率</w:t>
            </w:r>
          </w:p>
        </w:tc>
        <w:tc>
          <w:tcPr>
            <w:tcW w:w="411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9177D7">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有效投标报价等于评标基准价的得满分,其他有效投标报价与评标基准价相比,每 高1%扣    （不少于0.5）分。</w:t>
            </w:r>
          </w:p>
          <w:p w14:paraId="363380BD">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 xml:space="preserve">有效投标报价等于评标基准价的得满分，其他有效投标报价与评标基准价相比，每高1%扣 1.0 （不少于1分），每低1%扣 </w:t>
            </w:r>
            <w:r>
              <w:rPr>
                <w:rFonts w:hint="eastAsia" w:ascii="宋体" w:hAnsi="宋体" w:eastAsia="宋体" w:cs="宋体"/>
                <w:kern w:val="0"/>
                <w:sz w:val="21"/>
                <w:szCs w:val="24"/>
                <w:lang w:val="en-US" w:eastAsia="zh-CN" w:bidi="ar-SA"/>
              </w:rPr>
              <w:t>1.0</w:t>
            </w:r>
            <w:r>
              <w:rPr>
                <w:rFonts w:ascii="宋体" w:hAnsi="宋体" w:eastAsia="宋体" w:cs="宋体"/>
                <w:kern w:val="0"/>
                <w:sz w:val="21"/>
                <w:szCs w:val="24"/>
                <w:lang w:val="en-US" w:eastAsia="en-US" w:bidi="ar-SA"/>
              </w:rPr>
              <w:t xml:space="preserve">  （不少于0.5）分。</w:t>
            </w:r>
          </w:p>
          <w:p w14:paraId="17BB2932">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注：中间值采用插入法计算，小数点后保留两位。每低1%所扣分值不得高于每高1%所扣分值。</w:t>
            </w:r>
          </w:p>
          <w:p w14:paraId="59423913">
            <w:pPr>
              <w:widowControl/>
              <w:jc w:val="left"/>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______/________。 (招标人可根据《四川省人民政府办公厅关于深化改革创新促进招标投标市场规范健康发展的意见》（川办规〔2025〕8号）第（二十）条和《政府采购促进中小企业发展管理办法》（ 财库〔2020〕46号） 第九条规定，增加相应评分奖励内容。）</w:t>
            </w:r>
          </w:p>
        </w:tc>
      </w:tr>
    </w:tbl>
    <w:p w14:paraId="413D8DC7">
      <w:pPr>
        <w:rPr>
          <w:rFonts w:hint="eastAsia"/>
          <w:color w:val="000080"/>
          <w:sz w:val="20"/>
          <w:highlight w:val="white"/>
        </w:rPr>
      </w:pPr>
      <w:r>
        <w:rPr>
          <w:rFonts w:hint="eastAsia"/>
          <w:color w:val="000080"/>
          <w:sz w:val="20"/>
          <w:highlight w:val="white"/>
        </w:rPr>
        <w:t xml:space="preserve"> </w:t>
      </w:r>
      <w:bookmarkEnd w:id="201"/>
    </w:p>
    <w:p w14:paraId="4D5D96E9">
      <w:pPr>
        <w:rPr>
          <w:rFonts w:hint="eastAsia"/>
          <w:highlight w:val="red"/>
        </w:rPr>
      </w:pPr>
      <w:bookmarkStart w:id="202" w:name="EB000ce89549cf428e8e4b39e1da49c5a2"/>
      <w:bookmarkEnd w:id="202"/>
    </w:p>
    <w:p w14:paraId="4251CF05">
      <w:pPr>
        <w:rPr>
          <w:rFonts w:hint="eastAsia"/>
          <w:highlight w:val="red"/>
        </w:rPr>
      </w:pPr>
      <w:bookmarkStart w:id="203" w:name="EBc65d5c0ce7884a3e918527ebe9460617"/>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2"/>
        <w:gridCol w:w="1297"/>
        <w:gridCol w:w="1730"/>
        <w:gridCol w:w="3893"/>
      </w:tblGrid>
      <w:tr w14:paraId="37D7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DE468B">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2.2.4</w:t>
            </w:r>
          </w:p>
          <w:p w14:paraId="06C46752">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（5）</w:t>
            </w:r>
          </w:p>
        </w:tc>
        <w:tc>
          <w:tcPr>
            <w:tcW w:w="600"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30791E">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其他因素评分标准</w:t>
            </w: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C70C16">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设计单位人员配备</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D4779F">
            <w:pPr>
              <w:widowControl/>
              <w:numPr>
                <w:ilvl w:val="0"/>
                <w:numId w:val="8"/>
              </w:numPr>
              <w:jc w:val="left"/>
              <w:rPr>
                <w:rFonts w:hint="eastAsia" w:ascii="宋体" w:hAnsi="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设计负责人（1人）：在满足资格评审条件得1分，具有建筑相关专业中级职称加0.5分，具有建筑相关专业高级及以上职称加1分，本项最高得2分。</w:t>
            </w:r>
          </w:p>
          <w:p w14:paraId="1DA061FF">
            <w:pPr>
              <w:widowControl/>
              <w:numPr>
                <w:ilvl w:val="0"/>
                <w:numId w:val="8"/>
              </w:numPr>
              <w:jc w:val="left"/>
              <w:rPr>
                <w:rFonts w:hint="eastAsia" w:ascii="宋体" w:hAnsi="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、给排水专业负责人：具有注册公用设备工程师（给水排水）资格得1分，具有给排水类中级及以上职称加1分，本项最高得2分。</w:t>
            </w:r>
          </w:p>
          <w:p w14:paraId="465F5374">
            <w:pPr>
              <w:widowControl/>
              <w:numPr>
                <w:ilvl w:val="0"/>
                <w:numId w:val="8"/>
              </w:numPr>
              <w:jc w:val="left"/>
              <w:rPr>
                <w:rFonts w:hint="eastAsia" w:ascii="宋体" w:hAnsi="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电气专业负责人：具有注册电气工程师（供配电）资格得1分, 具有电气类中级及以上职称加1分，本项最高得2分。</w:t>
            </w:r>
          </w:p>
          <w:p w14:paraId="771157D0">
            <w:pPr>
              <w:widowControl/>
              <w:numPr>
                <w:ilvl w:val="0"/>
                <w:numId w:val="8"/>
              </w:numPr>
              <w:jc w:val="left"/>
              <w:rPr>
                <w:rFonts w:hint="eastAsia" w:ascii="宋体" w:hAnsi="宋体" w:cs="宋体"/>
                <w:kern w:val="0"/>
                <w:sz w:val="21"/>
                <w:szCs w:val="24"/>
                <w:highlight w:val="none"/>
                <w:lang w:val="en-US" w:eastAsia="zh-CN" w:bidi="ar-SA"/>
              </w:rPr>
            </w:pPr>
            <w:r>
              <w:rPr>
                <w:rFonts w:hint="eastAsia" w:ascii="宋体" w:hAnsi="宋体" w:cs="宋体"/>
                <w:kern w:val="0"/>
                <w:sz w:val="21"/>
                <w:szCs w:val="24"/>
                <w:highlight w:val="none"/>
                <w:lang w:val="en-US" w:eastAsia="zh-CN" w:bidi="ar-SA"/>
              </w:rPr>
              <w:t>暖通专业负责人:具有注册公用设备工程师 (暖通空调)资格得1分, 具有暖通类中级及以上职称加1分，本项最高得 2分。</w:t>
            </w:r>
          </w:p>
          <w:p w14:paraId="55237353">
            <w:pPr>
              <w:widowControl/>
              <w:jc w:val="left"/>
              <w:rPr>
                <w:rFonts w:ascii="宋体" w:hAnsi="宋体" w:eastAsia="宋体" w:cs="宋体"/>
                <w:kern w:val="0"/>
                <w:sz w:val="21"/>
                <w:szCs w:val="24"/>
                <w:lang w:val="en-US" w:eastAsia="en-US" w:bidi="ar-SA"/>
              </w:rPr>
            </w:pPr>
            <w:r>
              <w:rPr>
                <w:rFonts w:hint="eastAsia" w:ascii="宋体" w:hAnsi="宋体" w:cs="宋体"/>
                <w:kern w:val="0"/>
                <w:sz w:val="21"/>
                <w:szCs w:val="24"/>
                <w:highlight w:val="none"/>
                <w:lang w:val="en-US" w:eastAsia="zh-CN" w:bidi="ar-SA"/>
              </w:rPr>
              <w:t>5、造价专业负责人：具有一级注册造价工程师或全国注册造价工程师（土建或安装）资格得1分，具有工程类中级及以上职称加1分，本项最高得2分</w:t>
            </w:r>
          </w:p>
        </w:tc>
      </w:tr>
      <w:tr w14:paraId="40A7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39038B">
            <w:pPr>
              <w:widowControl/>
              <w:jc w:val="center"/>
              <w:rPr>
                <w:rFonts w:ascii="宋体" w:hAnsi="宋体" w:eastAsia="宋体" w:cs="宋体"/>
                <w:kern w:val="0"/>
                <w:sz w:val="21"/>
                <w:szCs w:val="24"/>
                <w:lang w:val="en-US" w:eastAsia="en-US" w:bidi="ar-SA"/>
              </w:rPr>
            </w:pPr>
          </w:p>
        </w:tc>
        <w:tc>
          <w:tcPr>
            <w:tcW w:w="600"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CECD64">
            <w:pPr>
              <w:widowControl/>
              <w:jc w:val="center"/>
              <w:rPr>
                <w:rFonts w:ascii="宋体" w:hAnsi="宋体" w:eastAsia="宋体" w:cs="宋体"/>
                <w:kern w:val="0"/>
                <w:sz w:val="21"/>
                <w:szCs w:val="24"/>
                <w:lang w:val="en-US" w:eastAsia="en-US" w:bidi="ar-SA"/>
              </w:rPr>
            </w:pPr>
          </w:p>
        </w:tc>
        <w:tc>
          <w:tcPr>
            <w:tcW w:w="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471691">
            <w:pPr>
              <w:widowControl/>
              <w:jc w:val="center"/>
              <w:rPr>
                <w:rFonts w:ascii="宋体" w:hAnsi="宋体" w:eastAsia="宋体" w:cs="宋体"/>
                <w:kern w:val="0"/>
                <w:sz w:val="21"/>
                <w:szCs w:val="24"/>
                <w:lang w:val="en-US" w:eastAsia="en-US" w:bidi="ar-SA"/>
              </w:rPr>
            </w:pPr>
            <w:r>
              <w:rPr>
                <w:rFonts w:ascii="宋体" w:hAnsi="宋体" w:eastAsia="宋体" w:cs="宋体"/>
                <w:kern w:val="0"/>
                <w:sz w:val="21"/>
                <w:szCs w:val="24"/>
                <w:lang w:val="en-US" w:eastAsia="en-US" w:bidi="ar-SA"/>
              </w:rPr>
              <w:t>施工单位人员配备</w:t>
            </w:r>
          </w:p>
        </w:tc>
        <w:tc>
          <w:tcPr>
            <w:tcW w:w="180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4E452B">
            <w:pPr>
              <w:widowControl/>
              <w:jc w:val="left"/>
              <w:rPr>
                <w:rFonts w:hint="eastAsia" w:ascii="宋体" w:hAnsi="宋体" w:eastAsia="宋体" w:cs="宋体"/>
                <w:kern w:val="0"/>
                <w:sz w:val="21"/>
                <w:szCs w:val="24"/>
                <w:lang w:val="en-US" w:eastAsia="en-US" w:bidi="ar-SA"/>
              </w:rPr>
            </w:pPr>
            <w:r>
              <w:rPr>
                <w:rFonts w:hint="eastAsia" w:ascii="宋体" w:hAnsi="宋体" w:eastAsia="宋体" w:cs="宋体"/>
                <w:kern w:val="0"/>
                <w:sz w:val="21"/>
                <w:szCs w:val="24"/>
                <w:lang w:val="en-US" w:eastAsia="zh-CN" w:bidi="ar-SA"/>
              </w:rPr>
              <w:t>1、</w:t>
            </w:r>
            <w:r>
              <w:rPr>
                <w:rFonts w:hint="eastAsia" w:ascii="宋体" w:hAnsi="宋体" w:eastAsia="宋体" w:cs="宋体"/>
                <w:kern w:val="0"/>
                <w:sz w:val="21"/>
                <w:szCs w:val="24"/>
                <w:lang w:val="en-US" w:eastAsia="en-US" w:bidi="ar-SA"/>
              </w:rPr>
              <w:t>施工负责人（项目经理）：具有</w:t>
            </w:r>
            <w:r>
              <w:rPr>
                <w:rFonts w:hint="eastAsia" w:ascii="宋体" w:hAnsi="宋体" w:eastAsia="宋体" w:cs="宋体"/>
                <w:kern w:val="0"/>
                <w:sz w:val="21"/>
                <w:szCs w:val="24"/>
                <w:lang w:val="en-US" w:eastAsia="zh-CN" w:bidi="ar-SA"/>
              </w:rPr>
              <w:t>二</w:t>
            </w:r>
            <w:r>
              <w:rPr>
                <w:rFonts w:hint="eastAsia" w:ascii="宋体" w:hAnsi="宋体" w:eastAsia="宋体" w:cs="宋体"/>
                <w:kern w:val="0"/>
                <w:sz w:val="21"/>
                <w:szCs w:val="24"/>
                <w:lang w:val="en-US" w:eastAsia="en-US" w:bidi="ar-SA"/>
              </w:rPr>
              <w:t>级</w:t>
            </w:r>
            <w:r>
              <w:rPr>
                <w:rFonts w:hint="eastAsia" w:ascii="宋体" w:hAnsi="宋体" w:eastAsia="宋体" w:cs="宋体"/>
                <w:kern w:val="0"/>
                <w:sz w:val="21"/>
                <w:szCs w:val="24"/>
                <w:lang w:val="en-US" w:eastAsia="zh-CN" w:bidi="ar-SA"/>
              </w:rPr>
              <w:t>及以上</w:t>
            </w:r>
            <w:r>
              <w:rPr>
                <w:rFonts w:hint="eastAsia" w:ascii="宋体" w:hAnsi="宋体" w:eastAsia="宋体" w:cs="宋体"/>
                <w:kern w:val="0"/>
                <w:sz w:val="21"/>
                <w:szCs w:val="24"/>
                <w:lang w:val="en-US" w:eastAsia="en-US" w:bidi="ar-SA"/>
              </w:rPr>
              <w:t>注册建造师（专业：建筑工程），具备有效的省级及以上住房城乡建设主管部门颁发的安全生产考核合格证（B证）得</w:t>
            </w:r>
            <w:r>
              <w:rPr>
                <w:rFonts w:hint="eastAsia" w:ascii="宋体" w:hAnsi="宋体" w:eastAsia="宋体" w:cs="宋体"/>
                <w:kern w:val="0"/>
                <w:sz w:val="21"/>
                <w:szCs w:val="24"/>
                <w:lang w:val="en-US" w:eastAsia="zh-CN" w:bidi="ar-SA"/>
              </w:rPr>
              <w:t>0.5</w:t>
            </w:r>
            <w:r>
              <w:rPr>
                <w:rFonts w:hint="eastAsia" w:ascii="宋体" w:hAnsi="宋体" w:eastAsia="宋体" w:cs="宋体"/>
                <w:kern w:val="0"/>
                <w:sz w:val="21"/>
                <w:szCs w:val="24"/>
                <w:lang w:val="en-US" w:eastAsia="en-US" w:bidi="ar-SA"/>
              </w:rPr>
              <w:t>分，具有建筑工程</w:t>
            </w:r>
            <w:r>
              <w:rPr>
                <w:rFonts w:hint="eastAsia" w:ascii="宋体" w:hAnsi="宋体" w:cs="宋体"/>
                <w:kern w:val="0"/>
                <w:sz w:val="21"/>
                <w:szCs w:val="24"/>
                <w:lang w:val="en-US" w:eastAsia="zh-CN" w:bidi="ar-SA"/>
              </w:rPr>
              <w:t>相关专业</w:t>
            </w:r>
            <w:r>
              <w:rPr>
                <w:rFonts w:hint="eastAsia" w:ascii="宋体" w:hAnsi="宋体" w:eastAsia="宋体" w:cs="宋体"/>
                <w:kern w:val="0"/>
                <w:sz w:val="21"/>
                <w:szCs w:val="24"/>
                <w:lang w:val="en-US" w:eastAsia="en-US" w:bidi="ar-SA"/>
              </w:rPr>
              <w:t>中级及以上职称加</w:t>
            </w:r>
            <w:r>
              <w:rPr>
                <w:rFonts w:hint="eastAsia" w:ascii="宋体" w:hAnsi="宋体" w:eastAsia="宋体" w:cs="宋体"/>
                <w:kern w:val="0"/>
                <w:sz w:val="21"/>
                <w:szCs w:val="24"/>
                <w:lang w:val="en-US" w:eastAsia="zh-CN" w:bidi="ar-SA"/>
              </w:rPr>
              <w:t>0.5</w:t>
            </w:r>
            <w:r>
              <w:rPr>
                <w:rFonts w:hint="eastAsia" w:ascii="宋体" w:hAnsi="宋体" w:eastAsia="宋体" w:cs="宋体"/>
                <w:kern w:val="0"/>
                <w:sz w:val="21"/>
                <w:szCs w:val="24"/>
                <w:lang w:val="en-US" w:eastAsia="en-US" w:bidi="ar-SA"/>
              </w:rPr>
              <w:t>分</w:t>
            </w:r>
            <w:r>
              <w:rPr>
                <w:rFonts w:hint="eastAsia" w:ascii="宋体" w:hAnsi="宋体" w:cs="宋体"/>
                <w:kern w:val="0"/>
                <w:sz w:val="21"/>
                <w:szCs w:val="24"/>
                <w:lang w:val="en-US" w:eastAsia="zh-CN" w:bidi="ar-SA"/>
              </w:rPr>
              <w:t>，</w:t>
            </w:r>
            <w:r>
              <w:rPr>
                <w:rFonts w:hint="eastAsia" w:ascii="宋体" w:hAnsi="宋体" w:eastAsia="宋体" w:cs="宋体"/>
                <w:kern w:val="0"/>
                <w:sz w:val="21"/>
                <w:szCs w:val="24"/>
                <w:lang w:val="en-US" w:eastAsia="en-US" w:bidi="ar-SA"/>
              </w:rPr>
              <w:t>本项最高得</w:t>
            </w:r>
            <w:r>
              <w:rPr>
                <w:rFonts w:hint="eastAsia" w:ascii="宋体" w:hAnsi="宋体" w:eastAsia="宋体" w:cs="宋体"/>
                <w:kern w:val="0"/>
                <w:sz w:val="21"/>
                <w:szCs w:val="24"/>
                <w:lang w:val="en-US" w:eastAsia="zh-CN" w:bidi="ar-SA"/>
              </w:rPr>
              <w:t>1</w:t>
            </w:r>
            <w:r>
              <w:rPr>
                <w:rFonts w:hint="eastAsia" w:ascii="宋体" w:hAnsi="宋体" w:eastAsia="宋体" w:cs="宋体"/>
                <w:kern w:val="0"/>
                <w:sz w:val="21"/>
                <w:szCs w:val="24"/>
                <w:lang w:val="en-US" w:eastAsia="en-US" w:bidi="ar-SA"/>
              </w:rPr>
              <w:t>分。</w:t>
            </w:r>
          </w:p>
          <w:p w14:paraId="24175D38">
            <w:pPr>
              <w:widowControl/>
              <w:jc w:val="left"/>
              <w:rPr>
                <w:rFonts w:ascii="宋体" w:hAnsi="宋体" w:eastAsia="宋体" w:cs="宋体"/>
                <w:kern w:val="0"/>
                <w:sz w:val="21"/>
                <w:szCs w:val="24"/>
                <w:lang w:val="en-US" w:eastAsia="en-US" w:bidi="ar-SA"/>
              </w:rPr>
            </w:pPr>
            <w:r>
              <w:rPr>
                <w:rFonts w:hint="eastAsia" w:ascii="宋体" w:hAnsi="宋体" w:eastAsia="宋体" w:cs="宋体"/>
                <w:kern w:val="0"/>
                <w:sz w:val="21"/>
                <w:szCs w:val="24"/>
                <w:lang w:val="en-US" w:eastAsia="en-US" w:bidi="ar-SA"/>
              </w:rPr>
              <w:t>2、项目技术负责人：具有建筑工程类中级及以上职称得</w:t>
            </w:r>
            <w:r>
              <w:rPr>
                <w:rFonts w:hint="eastAsia" w:ascii="宋体" w:hAnsi="宋体" w:cs="宋体"/>
                <w:kern w:val="0"/>
                <w:sz w:val="21"/>
                <w:szCs w:val="24"/>
                <w:lang w:val="en-US" w:eastAsia="zh-CN" w:bidi="ar-SA"/>
              </w:rPr>
              <w:t>1</w:t>
            </w:r>
            <w:r>
              <w:rPr>
                <w:rFonts w:hint="eastAsia" w:ascii="宋体" w:hAnsi="宋体" w:eastAsia="宋体" w:cs="宋体"/>
                <w:kern w:val="0"/>
                <w:sz w:val="21"/>
                <w:szCs w:val="24"/>
                <w:lang w:val="en-US" w:eastAsia="en-US" w:bidi="ar-SA"/>
              </w:rPr>
              <w:t>分</w:t>
            </w:r>
            <w:r>
              <w:rPr>
                <w:rFonts w:hint="eastAsia" w:ascii="宋体" w:hAnsi="宋体" w:cs="宋体"/>
                <w:kern w:val="0"/>
                <w:sz w:val="21"/>
                <w:szCs w:val="24"/>
                <w:lang w:val="en-US" w:eastAsia="zh-CN" w:bidi="ar-SA"/>
              </w:rPr>
              <w:t>，</w:t>
            </w:r>
            <w:r>
              <w:rPr>
                <w:rFonts w:hint="eastAsia" w:ascii="宋体" w:hAnsi="宋体" w:eastAsia="宋体" w:cs="宋体"/>
                <w:kern w:val="0"/>
                <w:sz w:val="21"/>
                <w:szCs w:val="24"/>
                <w:lang w:val="en-US" w:eastAsia="en-US" w:bidi="ar-SA"/>
              </w:rPr>
              <w:t>本项最高得</w:t>
            </w:r>
            <w:r>
              <w:rPr>
                <w:rFonts w:hint="eastAsia" w:ascii="宋体" w:hAnsi="宋体" w:cs="宋体"/>
                <w:kern w:val="0"/>
                <w:sz w:val="21"/>
                <w:szCs w:val="24"/>
                <w:lang w:val="en-US" w:eastAsia="zh-CN" w:bidi="ar-SA"/>
              </w:rPr>
              <w:t>1</w:t>
            </w:r>
            <w:r>
              <w:rPr>
                <w:rFonts w:hint="eastAsia" w:ascii="宋体" w:hAnsi="宋体" w:eastAsia="宋体" w:cs="宋体"/>
                <w:kern w:val="0"/>
                <w:sz w:val="21"/>
                <w:szCs w:val="24"/>
                <w:lang w:val="en-US" w:eastAsia="en-US" w:bidi="ar-SA"/>
              </w:rPr>
              <w:t>分。</w:t>
            </w:r>
          </w:p>
        </w:tc>
      </w:tr>
    </w:tbl>
    <w:p w14:paraId="4755421A">
      <w:pPr>
        <w:rPr>
          <w:rFonts w:hint="eastAsia"/>
          <w:color w:val="000080"/>
          <w:sz w:val="20"/>
          <w:highlight w:val="white"/>
        </w:rPr>
      </w:pPr>
      <w:r>
        <w:rPr>
          <w:rFonts w:hint="eastAsia"/>
          <w:color w:val="000080"/>
          <w:sz w:val="20"/>
          <w:highlight w:val="white"/>
        </w:rPr>
        <w:t xml:space="preserve"> </w:t>
      </w:r>
      <w:bookmarkEnd w:id="203"/>
    </w:p>
    <w:p w14:paraId="52A274C0">
      <w:pPr>
        <w:spacing w:line="360" w:lineRule="auto"/>
        <w:rPr>
          <w:rFonts w:hint="eastAsia" w:ascii="宋体" w:hAnsi="宋体"/>
          <w:sz w:val="24"/>
        </w:rPr>
      </w:pPr>
      <w:r>
        <w:rPr>
          <w:rFonts w:hint="eastAsia" w:ascii="宋体" w:hAnsi="宋体"/>
          <w:sz w:val="24"/>
          <w:highlight w:val="white"/>
        </w:rPr>
        <w:t>注：</w:t>
      </w:r>
    </w:p>
    <w:p w14:paraId="2DD37FD3">
      <w:pPr>
        <w:spacing w:line="360" w:lineRule="auto"/>
        <w:ind w:firstLine="480" w:firstLineChars="200"/>
        <w:rPr>
          <w:rFonts w:hint="eastAsia" w:ascii="宋体" w:hAnsi="宋体"/>
          <w:sz w:val="24"/>
        </w:rPr>
      </w:pPr>
      <w:r>
        <w:rPr>
          <w:rFonts w:hint="eastAsia" w:ascii="宋体" w:hAnsi="宋体"/>
          <w:sz w:val="24"/>
          <w:highlight w:val="white"/>
        </w:rPr>
        <w:t>（1）招标人应科学合理地设定评标办法，以保证足够的竞争性。</w:t>
      </w:r>
    </w:p>
    <w:p w14:paraId="765D4BBA">
      <w:pPr>
        <w:spacing w:line="360" w:lineRule="auto"/>
        <w:ind w:firstLine="480" w:firstLineChars="200"/>
        <w:rPr>
          <w:rFonts w:hint="eastAsia" w:ascii="宋体" w:hAnsi="宋体"/>
          <w:sz w:val="24"/>
        </w:rPr>
      </w:pPr>
      <w:r>
        <w:rPr>
          <w:rFonts w:hint="eastAsia" w:ascii="宋体" w:hAnsi="宋体"/>
          <w:sz w:val="24"/>
          <w:highlight w:val="white"/>
        </w:rPr>
        <w:t>（2）不得设定特定行政区域或者特定行业的奖项作为加分条件，不得设定与招标项目的具体特点不相适应的奖项作为加分条件，不得设定全国评比达标表彰工作协调小组办公室按照《评比达标表彰活动管理办法》公布的目录以外的奖项作为加分条件；招标项目的技术指标达到相应奖项申报条件的，方可设置相应奖项作为加分条件；设定奖项年限为近3年（或4年，或5年）的，个数不得超过1个，设定奖项年限为近6年及以上的，个数不得超过2个；评标办法中各类奖项加分总分值不得超过3分。</w:t>
      </w:r>
    </w:p>
    <w:p w14:paraId="32AB24AB">
      <w:pPr>
        <w:spacing w:line="360" w:lineRule="auto"/>
        <w:ind w:firstLine="480" w:firstLineChars="200"/>
        <w:rPr>
          <w:rFonts w:hint="eastAsia" w:ascii="宋体" w:hAnsi="宋体"/>
          <w:sz w:val="24"/>
        </w:rPr>
      </w:pPr>
      <w:r>
        <w:rPr>
          <w:rFonts w:hint="eastAsia" w:ascii="宋体" w:hAnsi="宋体"/>
          <w:sz w:val="24"/>
          <w:highlight w:val="white"/>
        </w:rPr>
        <w:t>（3）不得设定特定行政区域或者特定行业的业绩作为加分条件；不得设定与招标项目的具体特点不相适应的业绩作为加分条件；设定的业绩每类别个数不得超过3个（含资格条件个数）。</w:t>
      </w:r>
    </w:p>
    <w:p w14:paraId="0F05AF26">
      <w:pPr>
        <w:spacing w:line="360" w:lineRule="auto"/>
        <w:ind w:firstLine="480" w:firstLineChars="200"/>
        <w:rPr>
          <w:rFonts w:hint="eastAsia" w:ascii="宋体" w:hAnsi="宋体"/>
          <w:sz w:val="24"/>
        </w:rPr>
      </w:pPr>
      <w:r>
        <w:rPr>
          <w:rFonts w:hint="eastAsia" w:ascii="宋体" w:hAnsi="宋体"/>
          <w:sz w:val="24"/>
          <w:highlight w:val="white"/>
        </w:rPr>
        <w:t>（4）按照《国务院办公厅关于加快推进社会信用体系建设构建以信用为基础的新型监管机制的指导意见》（国办发〔2019〕35号）精神，不得设定不属于国家有关部门或其授权的行业协会商会开展的信用评价作为加分条件。</w:t>
      </w:r>
    </w:p>
    <w:p w14:paraId="67A92D85">
      <w:pPr>
        <w:spacing w:line="360" w:lineRule="auto"/>
        <w:rPr>
          <w:rFonts w:hint="eastAsia" w:ascii="宋体" w:hAnsi="宋体"/>
          <w:sz w:val="24"/>
        </w:rPr>
      </w:pPr>
      <w:r>
        <w:rPr>
          <w:rFonts w:hint="eastAsia" w:ascii="宋体" w:hAnsi="宋体"/>
          <w:sz w:val="24"/>
          <w:highlight w:val="white"/>
        </w:rPr>
        <w:t xml:space="preserve">    （5）不得将施工员、质量员、安全员等现场管理人员岗位证书设定为加分条件，也不得将其他未列入国家职业资格目录的人员资格设定为加分条件。</w:t>
      </w:r>
    </w:p>
    <w:p w14:paraId="04AD6BF5">
      <w:pPr>
        <w:spacing w:line="360" w:lineRule="auto"/>
        <w:rPr>
          <w:rFonts w:ascii="宋体" w:hAnsi="宋体"/>
          <w:sz w:val="24"/>
        </w:rPr>
      </w:pPr>
      <w:r>
        <w:rPr>
          <w:highlight w:val="white"/>
        </w:rPr>
        <w:t xml:space="preserve">    </w:t>
      </w:r>
      <w:r>
        <w:rPr>
          <w:rFonts w:hint="eastAsia" w:ascii="宋体" w:hAnsi="宋体"/>
          <w:sz w:val="24"/>
          <w:highlight w:val="white"/>
        </w:rPr>
        <w:t>（6）评标委员会在评标过程中，如要求投标人澄清或说明的，评标委员会要求投标人在线澄清或说明的时间距投标人收到评标委员会通知的时间不得少于 60分钟。</w:t>
      </w:r>
    </w:p>
    <w:p w14:paraId="715D4CD1">
      <w:pPr>
        <w:spacing w:line="360" w:lineRule="auto"/>
        <w:rPr>
          <w:rFonts w:ascii="宋体" w:hAnsi="宋体"/>
          <w:sz w:val="24"/>
        </w:rPr>
      </w:pPr>
      <w:r>
        <w:rPr>
          <w:highlight w:val="white"/>
        </w:rPr>
        <w:t xml:space="preserve">    </w:t>
      </w:r>
      <w:r>
        <w:rPr>
          <w:rFonts w:hint="eastAsia" w:ascii="宋体" w:hAnsi="宋体"/>
          <w:sz w:val="24"/>
          <w:highlight w:val="white"/>
        </w:rPr>
        <w:t>评标委员会认为投标人的澄清或说明不够明确，应再次要求投标人对不明确的内容进行澄清或说明，评标委员会要求投标人再次在线澄清或说明的时间距投标人收到评标委员会通知的时间不得少于30分钟。</w:t>
      </w:r>
    </w:p>
    <w:p w14:paraId="05FF3C38">
      <w:pPr>
        <w:spacing w:line="360" w:lineRule="auto"/>
        <w:rPr>
          <w:rFonts w:ascii="宋体" w:hAnsi="宋体"/>
          <w:sz w:val="24"/>
        </w:rPr>
      </w:pPr>
      <w:r>
        <w:rPr>
          <w:highlight w:val="white"/>
        </w:rPr>
        <w:t xml:space="preserve">    </w:t>
      </w:r>
      <w:r>
        <w:rPr>
          <w:rFonts w:hint="eastAsia" w:ascii="宋体" w:hAnsi="宋体"/>
          <w:sz w:val="24"/>
          <w:highlight w:val="white"/>
        </w:rPr>
        <w:t>投标人未在规定时间内作出澄清或说明的，或者评标委员会成员认为该投标人的两次澄清或说明都不符合评标委员会要求的，作否决投标处理。</w:t>
      </w:r>
    </w:p>
    <w:p w14:paraId="043A5556">
      <w:pPr>
        <w:spacing w:line="360" w:lineRule="auto"/>
        <w:ind w:firstLine="430"/>
        <w:rPr>
          <w:rFonts w:hint="eastAsia" w:ascii="宋体" w:hAnsi="宋体"/>
          <w:sz w:val="24"/>
        </w:rPr>
      </w:pPr>
      <w:r>
        <w:rPr>
          <w:rFonts w:hint="eastAsia" w:ascii="宋体" w:hAnsi="宋体"/>
          <w:sz w:val="24"/>
          <w:highlight w:val="white"/>
        </w:rPr>
        <w:t>（7）投标人串通投标或弄虚作假或有其他违法行为，评标委员会在评标过程中发现，证据确凿的，经评标委员会成员三分之二以上同意，其投标作否决投标处理；证据不够确凿的，其投标不能作否决投标处理，但评标委员会在向招标人提交书面评标报告时，应予说明。</w:t>
      </w:r>
    </w:p>
    <w:p w14:paraId="2DB5539B">
      <w:pPr>
        <w:spacing w:line="360" w:lineRule="auto"/>
        <w:ind w:firstLine="430"/>
        <w:rPr>
          <w:rFonts w:hint="eastAsia" w:ascii="宋体" w:hAnsi="宋体"/>
          <w:sz w:val="24"/>
        </w:rPr>
      </w:pPr>
      <w:r>
        <w:rPr>
          <w:rFonts w:hint="eastAsia" w:ascii="宋体" w:hAnsi="宋体"/>
          <w:sz w:val="24"/>
          <w:highlight w:val="white"/>
        </w:rPr>
        <w:t>（8）投标文件暗标部分均不得出现可能泄露投标人单位及个人信息的文字、图片、图表等有关表述或者任何标记，否则评标委员会按零分处理，并在评标报告中载明按零分处理的具体原因。</w:t>
      </w:r>
    </w:p>
    <w:p w14:paraId="1C332747">
      <w:pPr>
        <w:spacing w:line="360" w:lineRule="auto"/>
        <w:ind w:firstLine="430"/>
        <w:rPr>
          <w:rFonts w:hint="eastAsia" w:ascii="宋体" w:hAnsi="宋体"/>
          <w:sz w:val="24"/>
        </w:rPr>
      </w:pPr>
      <w:r>
        <w:rPr>
          <w:rFonts w:hint="eastAsia" w:ascii="宋体" w:hAnsi="宋体"/>
          <w:sz w:val="24"/>
          <w:highlight w:val="white"/>
        </w:rPr>
        <w:t>在评审暗标部分时，需要向投标人发出澄清的，投标人的澄清回复内容除加盖的电子印章外，不得出现可能泄露投标人单位及个人信息的文字、图片、图表等有关表述或者任何标记，否则评标委员会对其暗标部分按零分处理，并在评标报告中载明按零分处理的具体原因。</w:t>
      </w:r>
    </w:p>
    <w:p w14:paraId="25AB804A">
      <w:pPr>
        <w:spacing w:line="360" w:lineRule="auto"/>
        <w:ind w:firstLine="430"/>
        <w:rPr>
          <w:rFonts w:ascii="宋体" w:hAnsi="宋体"/>
          <w:sz w:val="24"/>
        </w:rPr>
      </w:pPr>
      <w:r>
        <w:rPr>
          <w:rFonts w:hint="eastAsia" w:ascii="宋体" w:hAnsi="宋体"/>
          <w:sz w:val="24"/>
          <w:highlight w:val="white"/>
        </w:rPr>
        <w:t>评标委员会评审投标人的澄清回复内容时，系统不显示投标人加盖的电子印章。评标报告中的澄清回复包含投标人加盖的电子印章盖章。</w:t>
      </w:r>
    </w:p>
    <w:p w14:paraId="298D2B7B">
      <w:pPr>
        <w:spacing w:line="360" w:lineRule="auto"/>
        <w:rPr>
          <w:rFonts w:ascii="宋体" w:hAnsi="宋体"/>
          <w:sz w:val="24"/>
        </w:rPr>
      </w:pPr>
      <w:r>
        <w:rPr>
          <w:highlight w:val="white"/>
        </w:rPr>
        <w:t xml:space="preserve">    </w:t>
      </w:r>
      <w:r>
        <w:rPr>
          <w:rFonts w:hint="eastAsia" w:ascii="宋体" w:hAnsi="宋体"/>
          <w:sz w:val="24"/>
          <w:highlight w:val="white"/>
        </w:rPr>
        <w:t>在评标结束后发现投标人串通投标或弄虚作假或有其他违法行为，查证属实的，取消其中标资格。</w:t>
      </w:r>
    </w:p>
    <w:p w14:paraId="042B483D">
      <w:pPr>
        <w:spacing w:line="400" w:lineRule="exact"/>
      </w:pPr>
      <w:r>
        <w:rPr>
          <w:highlight w:val="white"/>
        </w:rPr>
        <w:br w:type="page"/>
      </w:r>
    </w:p>
    <w:p w14:paraId="0222CBF6">
      <w:pPr>
        <w:pStyle w:val="3"/>
      </w:pPr>
      <w:bookmarkStart w:id="204" w:name="_Toc256000074"/>
      <w:r>
        <w:rPr>
          <w:rFonts w:hint="eastAsia"/>
          <w:highlight w:val="white"/>
        </w:rPr>
        <w:t>1. 评标方法</w:t>
      </w:r>
      <w:bookmarkEnd w:id="204"/>
    </w:p>
    <w:p w14:paraId="68281167">
      <w:pPr>
        <w:spacing w:line="400" w:lineRule="exact"/>
        <w:ind w:firstLine="420" w:firstLineChars="200"/>
        <w:rPr>
          <w:rFonts w:hint="eastAsia"/>
        </w:rPr>
      </w:pPr>
      <w:r>
        <w:rPr>
          <w:rFonts w:hint="eastAsia"/>
          <w:highlight w:val="white"/>
        </w:rPr>
        <w:t>本次评标采用综合评估法。评标委员会对满足招标文件实质性要求的投标文件，按照本章第2.2款规定的评分标准进行打分，并按得分由高到低顺序推荐3个中标候选人，但投标报价低于其成本的除外。当有效投标为2人时，可推荐2人，不足2人时，评标委员会不推荐中标候选人，本次招标失败。综合评分相等时，以投标报价低的优先；投标报价也相等的，由评标委员会自行确定。</w:t>
      </w:r>
    </w:p>
    <w:p w14:paraId="733B99CF">
      <w:pPr>
        <w:spacing w:line="400" w:lineRule="exact"/>
        <w:ind w:firstLine="420" w:firstLineChars="200"/>
      </w:pPr>
      <w:r>
        <w:rPr>
          <w:rFonts w:hint="eastAsia"/>
          <w:highlight w:val="white"/>
        </w:rPr>
        <w:t>推荐的中标候选人不排序。评标委员会须对中标候选人逐一出具评审意见，相关评审意见应针对性阐述中标候选人投标文件的优点、不足、可能存在的风险等，不得泛泛而谈。</w:t>
      </w:r>
    </w:p>
    <w:p w14:paraId="7D69C356">
      <w:pPr>
        <w:pStyle w:val="3"/>
      </w:pPr>
      <w:bookmarkStart w:id="205" w:name="_Toc256000075"/>
      <w:r>
        <w:rPr>
          <w:rFonts w:hint="eastAsia"/>
          <w:highlight w:val="white"/>
        </w:rPr>
        <w:t>2. 评审标准</w:t>
      </w:r>
      <w:bookmarkEnd w:id="205"/>
    </w:p>
    <w:p w14:paraId="661627D5">
      <w:pPr>
        <w:pStyle w:val="4"/>
      </w:pPr>
      <w:bookmarkStart w:id="206" w:name="_Toc256000076"/>
      <w:r>
        <w:rPr>
          <w:rFonts w:hint="eastAsia" w:ascii="Times New Roman" w:hAnsi="Times New Roman"/>
          <w:highlight w:val="white"/>
        </w:rPr>
        <w:t>2.1</w:t>
      </w:r>
      <w:r>
        <w:rPr>
          <w:rFonts w:hint="eastAsia"/>
          <w:highlight w:val="white"/>
        </w:rPr>
        <w:t xml:space="preserve"> 初步评审标准</w:t>
      </w:r>
      <w:bookmarkEnd w:id="206"/>
    </w:p>
    <w:p w14:paraId="4A68E6DD">
      <w:pPr>
        <w:spacing w:line="400" w:lineRule="exact"/>
        <w:ind w:firstLine="420" w:firstLineChars="200"/>
      </w:pPr>
      <w:r>
        <w:rPr>
          <w:rFonts w:hint="eastAsia"/>
          <w:highlight w:val="white"/>
        </w:rPr>
        <w:t>2.1.1 形式评审标准：见评标办法前附表。</w:t>
      </w:r>
    </w:p>
    <w:p w14:paraId="2B4BFA16">
      <w:pPr>
        <w:spacing w:line="400" w:lineRule="exact"/>
        <w:ind w:firstLine="420" w:firstLineChars="200"/>
      </w:pPr>
      <w:r>
        <w:rPr>
          <w:rFonts w:hint="eastAsia"/>
          <w:highlight w:val="white"/>
        </w:rPr>
        <w:t>2.1.2 资格评审标准：见评标办法前附表。</w:t>
      </w:r>
    </w:p>
    <w:p w14:paraId="53D015B1">
      <w:pPr>
        <w:spacing w:line="400" w:lineRule="exact"/>
        <w:ind w:firstLine="420" w:firstLineChars="200"/>
      </w:pPr>
      <w:r>
        <w:rPr>
          <w:rFonts w:hint="eastAsia"/>
          <w:highlight w:val="white"/>
        </w:rPr>
        <w:t>2.1.3 响应性评审标准：见评标办法前附表。</w:t>
      </w:r>
    </w:p>
    <w:p w14:paraId="1D5EC673">
      <w:pPr>
        <w:pStyle w:val="4"/>
      </w:pPr>
      <w:bookmarkStart w:id="207" w:name="_Toc256000077"/>
      <w:r>
        <w:rPr>
          <w:rFonts w:hint="eastAsia" w:ascii="Times New Roman" w:hAnsi="Times New Roman"/>
          <w:highlight w:val="white"/>
        </w:rPr>
        <w:t>2.2</w:t>
      </w:r>
      <w:r>
        <w:rPr>
          <w:rFonts w:hint="eastAsia"/>
          <w:highlight w:val="white"/>
        </w:rPr>
        <w:t xml:space="preserve"> 分值构成与评分标准</w:t>
      </w:r>
      <w:bookmarkEnd w:id="207"/>
    </w:p>
    <w:p w14:paraId="4C7F9ADB">
      <w:pPr>
        <w:spacing w:line="400" w:lineRule="exact"/>
        <w:ind w:firstLine="420" w:firstLineChars="200"/>
      </w:pPr>
      <w:r>
        <w:rPr>
          <w:rFonts w:hint="eastAsia"/>
          <w:highlight w:val="white"/>
        </w:rPr>
        <w:t>2.2.1 分值构成</w:t>
      </w:r>
    </w:p>
    <w:p w14:paraId="2D250393">
      <w:pPr>
        <w:spacing w:line="400" w:lineRule="exact"/>
        <w:ind w:firstLine="420" w:firstLineChars="200"/>
      </w:pPr>
      <w:r>
        <w:rPr>
          <w:rFonts w:hint="eastAsia"/>
          <w:highlight w:val="white"/>
        </w:rPr>
        <w:t>（1）承包人建议书：见评标办法前附表；</w:t>
      </w:r>
    </w:p>
    <w:p w14:paraId="01196C93">
      <w:pPr>
        <w:spacing w:line="400" w:lineRule="exact"/>
        <w:ind w:firstLine="420" w:firstLineChars="200"/>
      </w:pPr>
      <w:r>
        <w:rPr>
          <w:rFonts w:hint="eastAsia"/>
          <w:highlight w:val="white"/>
        </w:rPr>
        <w:t>（2）资信业绩部分：见评标办法前附表；</w:t>
      </w:r>
    </w:p>
    <w:p w14:paraId="764F0D38">
      <w:pPr>
        <w:spacing w:line="400" w:lineRule="exact"/>
        <w:ind w:firstLine="420" w:firstLineChars="200"/>
      </w:pPr>
      <w:r>
        <w:rPr>
          <w:rFonts w:hint="eastAsia"/>
          <w:highlight w:val="white"/>
        </w:rPr>
        <w:t>（3）承包人实施方案：见评标办法前附表；</w:t>
      </w:r>
    </w:p>
    <w:p w14:paraId="39221B95">
      <w:pPr>
        <w:spacing w:line="400" w:lineRule="exact"/>
        <w:ind w:firstLine="420" w:firstLineChars="200"/>
        <w:rPr>
          <w:rFonts w:hint="eastAsia"/>
        </w:rPr>
      </w:pPr>
      <w:r>
        <w:rPr>
          <w:rFonts w:hint="eastAsia"/>
          <w:highlight w:val="white"/>
        </w:rPr>
        <w:t>（4）投标报价：见评标办法前附表；</w:t>
      </w:r>
    </w:p>
    <w:p w14:paraId="5756C588">
      <w:pPr>
        <w:spacing w:line="400" w:lineRule="exact"/>
        <w:ind w:firstLine="420" w:firstLineChars="200"/>
      </w:pPr>
      <w:r>
        <w:rPr>
          <w:rFonts w:hint="eastAsia"/>
          <w:highlight w:val="white"/>
        </w:rPr>
        <w:t>（5）</w:t>
      </w:r>
      <w:r>
        <w:rPr>
          <w:highlight w:val="white"/>
        </w:rPr>
        <w:t>其他评分因素：</w:t>
      </w:r>
      <w:r>
        <w:rPr>
          <w:rFonts w:hint="eastAsia"/>
          <w:highlight w:val="white"/>
        </w:rPr>
        <w:t>见评标办法前附表。</w:t>
      </w:r>
    </w:p>
    <w:p w14:paraId="504E2CF1">
      <w:pPr>
        <w:spacing w:line="400" w:lineRule="exact"/>
        <w:ind w:firstLine="420" w:firstLineChars="200"/>
      </w:pPr>
      <w:r>
        <w:rPr>
          <w:rFonts w:hint="eastAsia"/>
          <w:highlight w:val="white"/>
        </w:rPr>
        <w:t>2.2.2 评标基准价计算</w:t>
      </w:r>
    </w:p>
    <w:p w14:paraId="710DF0A1">
      <w:pPr>
        <w:spacing w:line="400" w:lineRule="exact"/>
        <w:ind w:firstLine="420" w:firstLineChars="200"/>
      </w:pPr>
      <w:r>
        <w:rPr>
          <w:rFonts w:hint="eastAsia"/>
          <w:highlight w:val="white"/>
        </w:rPr>
        <w:t>评标基准价计算方法：见评标办法前附表。</w:t>
      </w:r>
    </w:p>
    <w:p w14:paraId="0AE59B76">
      <w:pPr>
        <w:spacing w:line="400" w:lineRule="exact"/>
        <w:ind w:firstLine="420" w:firstLineChars="200"/>
      </w:pPr>
      <w:r>
        <w:rPr>
          <w:rFonts w:hint="eastAsia"/>
          <w:highlight w:val="white"/>
        </w:rPr>
        <w:t>2.2.3 投标报价的偏差率计算</w:t>
      </w:r>
    </w:p>
    <w:p w14:paraId="57360906">
      <w:pPr>
        <w:spacing w:line="400" w:lineRule="exact"/>
        <w:ind w:firstLine="420" w:firstLineChars="200"/>
      </w:pPr>
      <w:r>
        <w:rPr>
          <w:rFonts w:hint="eastAsia"/>
          <w:highlight w:val="white"/>
        </w:rPr>
        <w:t>投标报价的偏差率计算公式：见评标办法前附表。</w:t>
      </w:r>
    </w:p>
    <w:p w14:paraId="6A2C7DBB">
      <w:pPr>
        <w:spacing w:line="400" w:lineRule="exact"/>
        <w:ind w:firstLine="420" w:firstLineChars="200"/>
      </w:pPr>
      <w:r>
        <w:rPr>
          <w:rFonts w:hint="eastAsia"/>
          <w:highlight w:val="white"/>
        </w:rPr>
        <w:t>2.2.4 评分标准</w:t>
      </w:r>
    </w:p>
    <w:p w14:paraId="691394BE">
      <w:pPr>
        <w:spacing w:line="400" w:lineRule="exact"/>
        <w:ind w:firstLine="420" w:firstLineChars="200"/>
      </w:pPr>
      <w:r>
        <w:rPr>
          <w:rFonts w:hint="eastAsia"/>
          <w:highlight w:val="white"/>
        </w:rPr>
        <w:t>（1）承包人建议书评分标准：见评标办法前附表；</w:t>
      </w:r>
    </w:p>
    <w:p w14:paraId="63862FCE">
      <w:pPr>
        <w:spacing w:line="400" w:lineRule="exact"/>
        <w:ind w:firstLine="420" w:firstLineChars="200"/>
        <w:rPr>
          <w:rFonts w:hint="eastAsia"/>
        </w:rPr>
      </w:pPr>
      <w:r>
        <w:rPr>
          <w:rFonts w:hint="eastAsia"/>
          <w:highlight w:val="white"/>
        </w:rPr>
        <w:t>（2）资信业绩评分标准：见评标办法前附表；</w:t>
      </w:r>
    </w:p>
    <w:p w14:paraId="1E41EA2A">
      <w:pPr>
        <w:spacing w:line="400" w:lineRule="exact"/>
        <w:ind w:firstLine="420" w:firstLineChars="200"/>
        <w:rPr>
          <w:rFonts w:hint="eastAsia"/>
        </w:rPr>
      </w:pPr>
      <w:r>
        <w:rPr>
          <w:rFonts w:hint="eastAsia"/>
          <w:highlight w:val="white"/>
        </w:rPr>
        <w:t>（3）承包人实施方案评分标准：见评标办法前附表；</w:t>
      </w:r>
    </w:p>
    <w:p w14:paraId="53A45651">
      <w:pPr>
        <w:spacing w:line="400" w:lineRule="exact"/>
        <w:ind w:firstLine="420" w:firstLineChars="200"/>
      </w:pPr>
      <w:r>
        <w:rPr>
          <w:rFonts w:hint="eastAsia"/>
          <w:highlight w:val="white"/>
        </w:rPr>
        <w:t>（4）投标报价评分标准：见评标办法前附表；</w:t>
      </w:r>
    </w:p>
    <w:p w14:paraId="60BBB10E">
      <w:pPr>
        <w:spacing w:line="400" w:lineRule="exact"/>
        <w:ind w:firstLine="420" w:firstLineChars="200"/>
      </w:pPr>
      <w:r>
        <w:rPr>
          <w:rFonts w:hint="eastAsia"/>
          <w:highlight w:val="white"/>
        </w:rPr>
        <w:t>（5）其他因素评分标准：见评标办法前附表。</w:t>
      </w:r>
    </w:p>
    <w:p w14:paraId="4B74B77D">
      <w:pPr>
        <w:pStyle w:val="3"/>
      </w:pPr>
      <w:bookmarkStart w:id="208" w:name="_Toc256000078"/>
      <w:r>
        <w:rPr>
          <w:rFonts w:hint="eastAsia"/>
          <w:highlight w:val="white"/>
        </w:rPr>
        <w:t>3. 评标程序</w:t>
      </w:r>
      <w:bookmarkEnd w:id="208"/>
    </w:p>
    <w:p w14:paraId="37C2AB70">
      <w:pPr>
        <w:pStyle w:val="4"/>
      </w:pPr>
      <w:bookmarkStart w:id="209" w:name="_Toc256000079"/>
      <w:r>
        <w:rPr>
          <w:rFonts w:hint="eastAsia" w:ascii="Times New Roman" w:hAnsi="Times New Roman"/>
          <w:highlight w:val="white"/>
        </w:rPr>
        <w:t>3.1</w:t>
      </w:r>
      <w:r>
        <w:rPr>
          <w:rFonts w:hint="eastAsia"/>
          <w:highlight w:val="white"/>
        </w:rPr>
        <w:t xml:space="preserve"> 初步评审</w:t>
      </w:r>
      <w:bookmarkEnd w:id="209"/>
    </w:p>
    <w:p w14:paraId="14540039">
      <w:pPr>
        <w:spacing w:line="400" w:lineRule="exact"/>
        <w:ind w:firstLine="420" w:firstLineChars="200"/>
      </w:pPr>
      <w:r>
        <w:rPr>
          <w:rFonts w:hint="eastAsia"/>
          <w:highlight w:val="white"/>
        </w:rPr>
        <w:t>3.1.1 评标委员会依据本章第2.1款规定的标准对投标文件进行初步评审。有一项不符合评审标准的，评标委员会应当否决其投标。（适用于未进行资格预审的）</w:t>
      </w:r>
    </w:p>
    <w:p w14:paraId="6E4F6B4D">
      <w:pPr>
        <w:spacing w:line="400" w:lineRule="exact"/>
        <w:ind w:firstLine="420" w:firstLineChars="200"/>
      </w:pPr>
      <w:r>
        <w:rPr>
          <w:rFonts w:hint="eastAsia"/>
          <w:highlight w:val="white"/>
        </w:rPr>
        <w:t>3.1.1 评标委员会依据本章第2.1.1项、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1AA52E81">
      <w:pPr>
        <w:spacing w:line="400" w:lineRule="exact"/>
        <w:ind w:firstLine="420" w:firstLineChars="200"/>
      </w:pPr>
      <w:r>
        <w:rPr>
          <w:rFonts w:hint="eastAsia"/>
          <w:highlight w:val="white"/>
        </w:rPr>
        <w:t>3.1.2 投标人有以下情形之一的，评标委员会应当否决其投标：</w:t>
      </w:r>
    </w:p>
    <w:p w14:paraId="2E200C2D">
      <w:pPr>
        <w:spacing w:line="400" w:lineRule="exact"/>
        <w:ind w:firstLine="420" w:firstLineChars="200"/>
      </w:pPr>
      <w:r>
        <w:rPr>
          <w:rFonts w:hint="eastAsia"/>
          <w:highlight w:val="white"/>
        </w:rPr>
        <w:t>（1）第二章“投标人须知”第1.4.3项、第1.4.4项规定的任何一种情形的；</w:t>
      </w:r>
    </w:p>
    <w:p w14:paraId="0082B3AC">
      <w:pPr>
        <w:spacing w:line="400" w:lineRule="exact"/>
        <w:ind w:firstLine="420" w:firstLineChars="200"/>
      </w:pPr>
      <w:r>
        <w:rPr>
          <w:rFonts w:hint="eastAsia"/>
          <w:highlight w:val="white"/>
        </w:rPr>
        <w:t>（2）串通投标或弄虚作假或有其他违法行为的；</w:t>
      </w:r>
    </w:p>
    <w:p w14:paraId="07612058">
      <w:pPr>
        <w:spacing w:line="400" w:lineRule="exact"/>
        <w:ind w:firstLine="420" w:firstLineChars="200"/>
        <w:rPr>
          <w:rFonts w:hint="eastAsia"/>
        </w:rPr>
      </w:pPr>
      <w:r>
        <w:rPr>
          <w:rFonts w:hint="eastAsia"/>
          <w:highlight w:val="white"/>
        </w:rPr>
        <w:t>（3）不按评标委员会要求澄清、说明或补正的。</w:t>
      </w:r>
    </w:p>
    <w:p w14:paraId="5A457222">
      <w:pPr>
        <w:spacing w:line="400" w:lineRule="exact"/>
        <w:ind w:firstLine="420" w:firstLineChars="200"/>
      </w:pPr>
      <w:r>
        <w:rPr>
          <w:rFonts w:hint="eastAsia"/>
          <w:highlight w:val="white"/>
        </w:rPr>
        <w:t>3.1.3 投标报价有算术错误的，评标委员会按以下原则对投标报价进行修正，修正的价格经投标人书面确认后具有约束力。投标人不接受修正价格的，评标委员会应当否决其投标。</w:t>
      </w:r>
    </w:p>
    <w:p w14:paraId="0ED91450">
      <w:pPr>
        <w:spacing w:line="400" w:lineRule="exact"/>
        <w:ind w:firstLine="420" w:firstLineChars="200"/>
      </w:pPr>
      <w:r>
        <w:rPr>
          <w:rFonts w:hint="eastAsia"/>
          <w:highlight w:val="white"/>
        </w:rPr>
        <w:t>（1）投标文件中的大写金额与小写金额不一致的，以大写金额为准；</w:t>
      </w:r>
    </w:p>
    <w:p w14:paraId="7CB75C6C">
      <w:pPr>
        <w:spacing w:line="400" w:lineRule="exact"/>
        <w:ind w:firstLine="420" w:firstLineChars="200"/>
      </w:pPr>
      <w:r>
        <w:rPr>
          <w:rFonts w:hint="eastAsia"/>
          <w:highlight w:val="white"/>
        </w:rPr>
        <w:t>（2）总价金额与依据单价计算出的结果不一致的，以单价金额为准修正总价，但单价金额小数点有明显错误的除外。</w:t>
      </w:r>
    </w:p>
    <w:p w14:paraId="1587EA9E">
      <w:pPr>
        <w:pStyle w:val="4"/>
      </w:pPr>
      <w:bookmarkStart w:id="210" w:name="_Toc256000080"/>
      <w:r>
        <w:rPr>
          <w:rFonts w:hint="eastAsia" w:ascii="Times New Roman" w:hAnsi="Times New Roman"/>
          <w:highlight w:val="white"/>
        </w:rPr>
        <w:t>3.2</w:t>
      </w:r>
      <w:r>
        <w:rPr>
          <w:rFonts w:hint="eastAsia"/>
          <w:highlight w:val="white"/>
        </w:rPr>
        <w:t xml:space="preserve"> 详细评审</w:t>
      </w:r>
      <w:bookmarkEnd w:id="210"/>
    </w:p>
    <w:p w14:paraId="7871E0E6">
      <w:pPr>
        <w:spacing w:line="400" w:lineRule="exact"/>
        <w:ind w:firstLine="420" w:firstLineChars="200"/>
      </w:pPr>
      <w:r>
        <w:rPr>
          <w:rFonts w:hint="eastAsia"/>
          <w:highlight w:val="white"/>
        </w:rPr>
        <w:t>3.2.1 评标委员会按本章第2.2款规定的量化因素和分值进行打分，并计算出综合评估得分。评标办法前附表对承包人建议书中的设计文件评审有特殊规定的，从其规定。</w:t>
      </w:r>
    </w:p>
    <w:p w14:paraId="2EBC9B54">
      <w:pPr>
        <w:spacing w:line="400" w:lineRule="exact"/>
        <w:ind w:firstLine="420" w:firstLineChars="200"/>
      </w:pPr>
      <w:r>
        <w:rPr>
          <w:rFonts w:hint="eastAsia"/>
          <w:highlight w:val="white"/>
        </w:rPr>
        <w:t>（1）按本章第2.2.4（1）目规定的评审因素和分值对承包人建议书计算出得分A；</w:t>
      </w:r>
      <w:r>
        <w:rPr>
          <w:highlight w:val="white"/>
        </w:rPr>
        <w:t xml:space="preserve"> </w:t>
      </w:r>
    </w:p>
    <w:p w14:paraId="3582D6B8">
      <w:pPr>
        <w:spacing w:line="400" w:lineRule="exact"/>
        <w:ind w:firstLine="420" w:firstLineChars="200"/>
      </w:pPr>
      <w:r>
        <w:rPr>
          <w:rFonts w:hint="eastAsia"/>
          <w:highlight w:val="white"/>
        </w:rPr>
        <w:t>（2）按本章第2.2.4（2）目规定的评审因素和分值对资信业绩部分计算出得分B；</w:t>
      </w:r>
    </w:p>
    <w:p w14:paraId="51136679">
      <w:pPr>
        <w:spacing w:line="400" w:lineRule="exact"/>
        <w:ind w:firstLine="420" w:firstLineChars="200"/>
      </w:pPr>
      <w:r>
        <w:rPr>
          <w:rFonts w:hint="eastAsia"/>
          <w:highlight w:val="white"/>
        </w:rPr>
        <w:t>（3）按本章第2.2.4（3）目规定的评审因素和分值对承包人实施方案计算出得分C；</w:t>
      </w:r>
    </w:p>
    <w:p w14:paraId="7CB47149">
      <w:pPr>
        <w:spacing w:line="400" w:lineRule="exact"/>
        <w:ind w:firstLine="420" w:firstLineChars="200"/>
        <w:rPr>
          <w:rFonts w:hint="eastAsia"/>
        </w:rPr>
      </w:pPr>
      <w:r>
        <w:rPr>
          <w:rFonts w:hint="eastAsia"/>
          <w:highlight w:val="white"/>
        </w:rPr>
        <w:t>（4）按本章第2.2.4（4）目规定的评审因素和分值对投标报价计算出得分D；</w:t>
      </w:r>
    </w:p>
    <w:p w14:paraId="4C8EA1C5">
      <w:pPr>
        <w:spacing w:line="400" w:lineRule="exact"/>
        <w:ind w:firstLine="420" w:firstLineChars="200"/>
        <w:rPr>
          <w:rFonts w:hint="eastAsia"/>
        </w:rPr>
      </w:pPr>
      <w:r>
        <w:rPr>
          <w:rFonts w:hint="eastAsia"/>
          <w:highlight w:val="white"/>
        </w:rPr>
        <w:t>（5）按本章第2.2.4（5）目规定的评审因素和分值对其他部分计算出得分E。</w:t>
      </w:r>
    </w:p>
    <w:p w14:paraId="4433C683">
      <w:pPr>
        <w:spacing w:line="400" w:lineRule="exact"/>
        <w:ind w:firstLine="420" w:firstLineChars="200"/>
      </w:pPr>
      <w:r>
        <w:rPr>
          <w:rFonts w:hint="eastAsia"/>
          <w:highlight w:val="white"/>
        </w:rPr>
        <w:t>3.2.2 评分分值计算保留小数点后两位，小数点后第三位“四舍五入”。</w:t>
      </w:r>
    </w:p>
    <w:p w14:paraId="69671DF1">
      <w:pPr>
        <w:spacing w:line="400" w:lineRule="exact"/>
        <w:ind w:firstLine="420" w:firstLineChars="200"/>
      </w:pPr>
      <w:r>
        <w:rPr>
          <w:rFonts w:hint="eastAsia"/>
          <w:highlight w:val="white"/>
        </w:rPr>
        <w:t>3.2.3 投标人得分=A+B+C+D+E。</w:t>
      </w:r>
    </w:p>
    <w:p w14:paraId="7054F207">
      <w:pPr>
        <w:spacing w:line="400" w:lineRule="exact"/>
        <w:ind w:firstLine="420" w:firstLineChars="200"/>
      </w:pPr>
      <w:r>
        <w:rPr>
          <w:rFonts w:hint="eastAsia"/>
          <w:highlight w:val="white"/>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2B4BFD5A">
      <w:pPr>
        <w:pStyle w:val="4"/>
      </w:pPr>
      <w:bookmarkStart w:id="211" w:name="_Toc256000081"/>
      <w:r>
        <w:rPr>
          <w:rFonts w:hint="eastAsia" w:ascii="Times New Roman" w:hAnsi="Times New Roman"/>
          <w:highlight w:val="white"/>
        </w:rPr>
        <w:t>3.3</w:t>
      </w:r>
      <w:r>
        <w:rPr>
          <w:rFonts w:hint="eastAsia"/>
          <w:highlight w:val="white"/>
        </w:rPr>
        <w:t xml:space="preserve"> 投标文件的澄清和补正</w:t>
      </w:r>
      <w:bookmarkEnd w:id="211"/>
    </w:p>
    <w:p w14:paraId="64C0A8AA">
      <w:pPr>
        <w:spacing w:line="400" w:lineRule="exact"/>
        <w:ind w:firstLine="420" w:firstLineChars="200"/>
      </w:pPr>
      <w:r>
        <w:rPr>
          <w:rFonts w:hint="eastAsia"/>
          <w:highlight w:val="white"/>
        </w:rPr>
        <w:t>3.3.1 在评标过程中，评标委员会可以书面形式要求投标人对所提交投标文件中不明确的内容进行书面澄清或说明，或者对细微偏差进行补正。评标委员会不接受投标人主动提出的澄清、说明或补正。</w:t>
      </w:r>
    </w:p>
    <w:p w14:paraId="28201A52">
      <w:pPr>
        <w:spacing w:line="400" w:lineRule="exact"/>
        <w:ind w:firstLine="420" w:firstLineChars="200"/>
      </w:pPr>
      <w:r>
        <w:rPr>
          <w:rFonts w:hint="eastAsia"/>
          <w:highlight w:val="white"/>
        </w:rPr>
        <w:t>3.3.2 澄清、说明和补正不得改变投标文件的实质性内容。投标人的书面澄清、说明和补正属于投标文件的组成部分。</w:t>
      </w:r>
    </w:p>
    <w:p w14:paraId="1C4E2D5D">
      <w:pPr>
        <w:spacing w:line="400" w:lineRule="exact"/>
        <w:ind w:firstLine="420" w:firstLineChars="200"/>
        <w:rPr>
          <w:rFonts w:hint="eastAsia"/>
        </w:rPr>
      </w:pPr>
      <w:r>
        <w:rPr>
          <w:rFonts w:hint="eastAsia"/>
          <w:highlight w:val="white"/>
        </w:rPr>
        <w:t>3.3.3 评标委员会对投标人提交的澄清、说明或补正有疑问的，可以要求投标人进一步澄清、说明或补正，直至满足评标委员会的要求。</w:t>
      </w:r>
    </w:p>
    <w:p w14:paraId="08C51628">
      <w:pPr>
        <w:spacing w:line="400" w:lineRule="exact"/>
        <w:ind w:firstLine="420" w:firstLineChars="200"/>
        <w:rPr>
          <w:rFonts w:hint="eastAsia"/>
        </w:rPr>
      </w:pPr>
      <w:r>
        <w:rPr>
          <w:rFonts w:hint="eastAsia"/>
          <w:highlight w:val="white"/>
        </w:rPr>
        <w:t>3.3.4在评审暗标部分时，需要向投标人发出澄清的，投标人的澄清回复内容除加盖的电子印章外，不得出现可能泄露投标人单位及个人信息的文字、图片、图表等有关表述或者任何标记，否则评标委员会对其暗标部分按零分处理，并在评标报告中载明按零分处理的具体原因。</w:t>
      </w:r>
    </w:p>
    <w:p w14:paraId="006FC41B">
      <w:pPr>
        <w:spacing w:line="400" w:lineRule="exact"/>
        <w:ind w:firstLine="420" w:firstLineChars="200"/>
      </w:pPr>
      <w:r>
        <w:rPr>
          <w:rFonts w:hint="eastAsia"/>
          <w:highlight w:val="white"/>
        </w:rPr>
        <w:t>评标委员会评审投标人的澄清回复内容时，系统不显示投标人加盖的电子印章。评标报告中的澄清回复包含投标人加盖的电子印章盖章。</w:t>
      </w:r>
    </w:p>
    <w:p w14:paraId="3DB25E1E">
      <w:pPr>
        <w:pStyle w:val="4"/>
      </w:pPr>
      <w:bookmarkStart w:id="212" w:name="_Toc256000082"/>
      <w:r>
        <w:rPr>
          <w:rFonts w:hint="eastAsia" w:ascii="Times New Roman" w:hAnsi="Times New Roman"/>
          <w:highlight w:val="white"/>
        </w:rPr>
        <w:t>3.4</w:t>
      </w:r>
      <w:r>
        <w:rPr>
          <w:rFonts w:hint="eastAsia"/>
          <w:highlight w:val="white"/>
        </w:rPr>
        <w:t xml:space="preserve"> 评标结果</w:t>
      </w:r>
      <w:bookmarkEnd w:id="212"/>
    </w:p>
    <w:p w14:paraId="3633017E">
      <w:pPr>
        <w:spacing w:line="400" w:lineRule="exact"/>
        <w:ind w:firstLine="420" w:firstLineChars="200"/>
      </w:pPr>
      <w:r>
        <w:rPr>
          <w:rFonts w:hint="eastAsia"/>
          <w:highlight w:val="white"/>
        </w:rPr>
        <w:t>3.4.1 评标委员会按得分由高到低顺序推荐3个中标候选人，推荐的中标候选人不排序。当有效投标为2人时，可推荐2人，不足2人时，评标委员会不推荐中标候选人，本次招标失败。评标委员会须对中标候选人逐一出具评审意见，相关评审意见应针对性阐述中标候选人投标文件的优点、不足、可能存在的风险等，不得泛泛而谈。</w:t>
      </w:r>
    </w:p>
    <w:p w14:paraId="47BCE2C5">
      <w:pPr>
        <w:spacing w:line="400" w:lineRule="exact"/>
        <w:ind w:firstLine="420" w:firstLineChars="200"/>
        <w:rPr>
          <w:rFonts w:hint="eastAsia"/>
        </w:rPr>
      </w:pPr>
      <w:r>
        <w:rPr>
          <w:rFonts w:hint="eastAsia"/>
          <w:highlight w:val="white"/>
        </w:rPr>
        <w:t>3.4.2 评标委员会完成评标后，应当向招标人提交书面评标报告。</w:t>
      </w:r>
    </w:p>
    <w:p w14:paraId="4094FE0F">
      <w:pPr>
        <w:pStyle w:val="3"/>
        <w:rPr>
          <w:rFonts w:hint="eastAsia" w:ascii="宋体" w:hAnsi="宋体" w:eastAsia="宋体"/>
          <w:sz w:val="24"/>
          <w:szCs w:val="24"/>
        </w:rPr>
      </w:pPr>
      <w:r>
        <w:rPr>
          <w:rFonts w:hint="eastAsia"/>
          <w:highlight w:val="white"/>
        </w:rPr>
        <w:br w:type="page"/>
      </w:r>
      <w:bookmarkStart w:id="213" w:name="_Toc256000083"/>
      <w:r>
        <w:rPr>
          <w:rFonts w:hint="eastAsia" w:ascii="宋体" w:hAnsi="宋体" w:eastAsia="宋体"/>
          <w:sz w:val="24"/>
          <w:szCs w:val="24"/>
          <w:highlight w:val="white"/>
        </w:rPr>
        <w:t>附表1：评标委员会签到表</w:t>
      </w:r>
      <w:bookmarkEnd w:id="213"/>
    </w:p>
    <w:p w14:paraId="39100689">
      <w:pPr>
        <w:spacing w:line="360" w:lineRule="auto"/>
        <w:jc w:val="center"/>
        <w:rPr>
          <w:rFonts w:hint="eastAsia" w:ascii="宋体" w:hAnsi="宋体"/>
          <w:b/>
          <w:sz w:val="24"/>
        </w:rPr>
      </w:pPr>
      <w:r>
        <w:rPr>
          <w:rFonts w:hint="eastAsia" w:ascii="宋体" w:hAnsi="宋体"/>
          <w:b/>
          <w:sz w:val="24"/>
          <w:highlight w:val="white"/>
        </w:rPr>
        <w:t>评标委员会名单</w:t>
      </w:r>
    </w:p>
    <w:p w14:paraId="14F02BF3">
      <w:pPr>
        <w:spacing w:line="360" w:lineRule="auto"/>
        <w:rPr>
          <w:rFonts w:hint="eastAsia" w:ascii="宋体" w:hAnsi="宋体" w:cs="宋体"/>
          <w:sz w:val="24"/>
        </w:rPr>
      </w:pPr>
    </w:p>
    <w:p w14:paraId="5BD98BD1">
      <w:pPr>
        <w:spacing w:line="360" w:lineRule="auto"/>
        <w:ind w:firstLine="240" w:firstLineChars="100"/>
        <w:rPr>
          <w:rFonts w:hint="eastAsia" w:ascii="宋体" w:hAnsi="宋体" w:cs="宋体"/>
          <w:sz w:val="24"/>
        </w:rPr>
      </w:pPr>
      <w:r>
        <w:rPr>
          <w:rFonts w:hint="eastAsia" w:ascii="宋体" w:hAnsi="宋体" w:cs="宋体"/>
          <w:sz w:val="24"/>
          <w:highlight w:val="white"/>
        </w:rPr>
        <w:t>工程名称：______（项目名称）</w:t>
      </w:r>
      <w:r>
        <w:rPr>
          <w:rFonts w:hint="eastAsia" w:ascii="宋体" w:hAnsi="宋体"/>
          <w:sz w:val="24"/>
          <w:highlight w:val="white"/>
        </w:rPr>
        <w:t>设计施工总承包</w:t>
      </w:r>
      <w:r>
        <w:rPr>
          <w:rFonts w:hint="eastAsia" w:ascii="宋体" w:hAnsi="宋体" w:cs="宋体"/>
          <w:sz w:val="24"/>
          <w:highlight w:val="white"/>
        </w:rPr>
        <w:t>_______标段</w:t>
      </w:r>
    </w:p>
    <w:p w14:paraId="5D1E5459">
      <w:pPr>
        <w:spacing w:line="360" w:lineRule="auto"/>
        <w:ind w:firstLine="240" w:firstLineChars="100"/>
        <w:rPr>
          <w:rFonts w:hint="eastAsia" w:ascii="宋体" w:hAnsi="宋体" w:cs="宋体"/>
          <w:sz w:val="24"/>
        </w:rPr>
      </w:pP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9"/>
        <w:gridCol w:w="2206"/>
        <w:gridCol w:w="5145"/>
      </w:tblGrid>
      <w:tr w14:paraId="47E0A1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4" w:hRule="atLeast"/>
          <w:jc w:val="center"/>
        </w:trPr>
        <w:tc>
          <w:tcPr>
            <w:tcW w:w="929" w:type="dxa"/>
            <w:noWrap w:val="0"/>
            <w:vAlign w:val="center"/>
          </w:tcPr>
          <w:p w14:paraId="02A9E29B">
            <w:pPr>
              <w:spacing w:line="360" w:lineRule="auto"/>
              <w:jc w:val="center"/>
              <w:rPr>
                <w:rFonts w:hint="eastAsia" w:ascii="宋体" w:hAnsi="宋体" w:cs="宋体"/>
                <w:sz w:val="24"/>
              </w:rPr>
            </w:pPr>
            <w:r>
              <w:rPr>
                <w:rFonts w:hint="eastAsia" w:ascii="宋体" w:hAnsi="宋体" w:cs="宋体"/>
                <w:sz w:val="24"/>
                <w:highlight w:val="white"/>
              </w:rPr>
              <w:t>序号</w:t>
            </w:r>
          </w:p>
        </w:tc>
        <w:tc>
          <w:tcPr>
            <w:tcW w:w="2206" w:type="dxa"/>
            <w:noWrap w:val="0"/>
            <w:vAlign w:val="center"/>
          </w:tcPr>
          <w:p w14:paraId="1311A9E3">
            <w:pPr>
              <w:spacing w:line="360" w:lineRule="auto"/>
              <w:jc w:val="center"/>
              <w:rPr>
                <w:rFonts w:hint="eastAsia" w:ascii="宋体" w:hAnsi="宋体" w:cs="宋体"/>
                <w:sz w:val="24"/>
              </w:rPr>
            </w:pPr>
            <w:r>
              <w:rPr>
                <w:rFonts w:hint="eastAsia" w:ascii="宋体" w:hAnsi="宋体" w:cs="宋体"/>
                <w:sz w:val="24"/>
                <w:highlight w:val="white"/>
              </w:rPr>
              <w:t>姓名</w:t>
            </w:r>
          </w:p>
        </w:tc>
        <w:tc>
          <w:tcPr>
            <w:tcW w:w="5145" w:type="dxa"/>
            <w:noWrap w:val="0"/>
            <w:vAlign w:val="center"/>
          </w:tcPr>
          <w:p w14:paraId="2FD319B2">
            <w:pPr>
              <w:spacing w:line="360" w:lineRule="auto"/>
              <w:jc w:val="center"/>
              <w:rPr>
                <w:rFonts w:hint="eastAsia" w:ascii="宋体" w:hAnsi="宋体" w:cs="宋体"/>
                <w:sz w:val="24"/>
              </w:rPr>
            </w:pPr>
            <w:r>
              <w:rPr>
                <w:rFonts w:hint="eastAsia" w:ascii="宋体" w:hAnsi="宋体" w:cs="宋体"/>
                <w:sz w:val="24"/>
                <w:highlight w:val="white"/>
              </w:rPr>
              <w:t>工作单位</w:t>
            </w:r>
          </w:p>
        </w:tc>
      </w:tr>
      <w:tr w14:paraId="539741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4" w:hRule="atLeast"/>
          <w:jc w:val="center"/>
        </w:trPr>
        <w:tc>
          <w:tcPr>
            <w:tcW w:w="929" w:type="dxa"/>
            <w:noWrap w:val="0"/>
            <w:vAlign w:val="center"/>
          </w:tcPr>
          <w:p w14:paraId="0EFB7FA6">
            <w:pPr>
              <w:spacing w:line="360" w:lineRule="auto"/>
              <w:jc w:val="center"/>
              <w:rPr>
                <w:rFonts w:hint="eastAsia" w:ascii="宋体" w:hAnsi="宋体" w:cs="宋体"/>
                <w:sz w:val="24"/>
              </w:rPr>
            </w:pPr>
            <w:r>
              <w:rPr>
                <w:rFonts w:hint="eastAsia" w:ascii="宋体" w:hAnsi="宋体" w:cs="宋体"/>
                <w:sz w:val="24"/>
                <w:highlight w:val="white"/>
              </w:rPr>
              <w:t>1</w:t>
            </w:r>
          </w:p>
        </w:tc>
        <w:tc>
          <w:tcPr>
            <w:tcW w:w="2206" w:type="dxa"/>
            <w:noWrap w:val="0"/>
            <w:vAlign w:val="center"/>
          </w:tcPr>
          <w:p w14:paraId="218027BD">
            <w:pPr>
              <w:spacing w:line="360" w:lineRule="auto"/>
              <w:jc w:val="center"/>
              <w:rPr>
                <w:rFonts w:hint="eastAsia" w:ascii="宋体" w:hAnsi="宋体" w:cs="宋体"/>
                <w:sz w:val="24"/>
              </w:rPr>
            </w:pPr>
          </w:p>
        </w:tc>
        <w:tc>
          <w:tcPr>
            <w:tcW w:w="5145" w:type="dxa"/>
            <w:noWrap w:val="0"/>
            <w:vAlign w:val="center"/>
          </w:tcPr>
          <w:p w14:paraId="2BA2D78C">
            <w:pPr>
              <w:spacing w:line="360" w:lineRule="auto"/>
              <w:jc w:val="center"/>
              <w:rPr>
                <w:rFonts w:hint="eastAsia" w:ascii="宋体" w:hAnsi="宋体" w:cs="宋体"/>
                <w:sz w:val="24"/>
              </w:rPr>
            </w:pPr>
          </w:p>
        </w:tc>
      </w:tr>
      <w:tr w14:paraId="68691F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4" w:hRule="atLeast"/>
          <w:jc w:val="center"/>
        </w:trPr>
        <w:tc>
          <w:tcPr>
            <w:tcW w:w="929" w:type="dxa"/>
            <w:noWrap w:val="0"/>
            <w:vAlign w:val="center"/>
          </w:tcPr>
          <w:p w14:paraId="6F148A58">
            <w:pPr>
              <w:spacing w:line="360" w:lineRule="auto"/>
              <w:jc w:val="center"/>
              <w:rPr>
                <w:rFonts w:hint="eastAsia" w:ascii="宋体" w:hAnsi="宋体" w:cs="宋体"/>
                <w:sz w:val="24"/>
              </w:rPr>
            </w:pPr>
            <w:r>
              <w:rPr>
                <w:rFonts w:hint="eastAsia" w:ascii="宋体" w:hAnsi="宋体" w:cs="宋体"/>
                <w:sz w:val="24"/>
                <w:highlight w:val="white"/>
              </w:rPr>
              <w:t>2</w:t>
            </w:r>
          </w:p>
        </w:tc>
        <w:tc>
          <w:tcPr>
            <w:tcW w:w="2206" w:type="dxa"/>
            <w:noWrap w:val="0"/>
            <w:vAlign w:val="center"/>
          </w:tcPr>
          <w:p w14:paraId="62BC5C18">
            <w:pPr>
              <w:spacing w:line="360" w:lineRule="auto"/>
              <w:jc w:val="center"/>
              <w:rPr>
                <w:rFonts w:hint="eastAsia" w:ascii="宋体" w:hAnsi="宋体" w:cs="宋体"/>
                <w:sz w:val="24"/>
              </w:rPr>
            </w:pPr>
          </w:p>
        </w:tc>
        <w:tc>
          <w:tcPr>
            <w:tcW w:w="5145" w:type="dxa"/>
            <w:noWrap w:val="0"/>
            <w:vAlign w:val="center"/>
          </w:tcPr>
          <w:p w14:paraId="4EFFDF25">
            <w:pPr>
              <w:spacing w:line="360" w:lineRule="auto"/>
              <w:jc w:val="center"/>
              <w:rPr>
                <w:rFonts w:hint="eastAsia" w:ascii="宋体" w:hAnsi="宋体" w:cs="宋体"/>
                <w:sz w:val="24"/>
              </w:rPr>
            </w:pPr>
          </w:p>
        </w:tc>
      </w:tr>
      <w:tr w14:paraId="21B51C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4" w:hRule="atLeast"/>
          <w:jc w:val="center"/>
        </w:trPr>
        <w:tc>
          <w:tcPr>
            <w:tcW w:w="929" w:type="dxa"/>
            <w:noWrap w:val="0"/>
            <w:vAlign w:val="center"/>
          </w:tcPr>
          <w:p w14:paraId="29920C3F">
            <w:pPr>
              <w:spacing w:line="360" w:lineRule="auto"/>
              <w:jc w:val="center"/>
              <w:rPr>
                <w:rFonts w:hint="eastAsia" w:ascii="宋体" w:hAnsi="宋体" w:cs="宋体"/>
                <w:sz w:val="24"/>
              </w:rPr>
            </w:pPr>
            <w:r>
              <w:rPr>
                <w:rFonts w:hint="eastAsia" w:ascii="宋体" w:hAnsi="宋体" w:cs="宋体"/>
                <w:sz w:val="24"/>
                <w:highlight w:val="white"/>
              </w:rPr>
              <w:t>3</w:t>
            </w:r>
          </w:p>
        </w:tc>
        <w:tc>
          <w:tcPr>
            <w:tcW w:w="2206" w:type="dxa"/>
            <w:noWrap w:val="0"/>
            <w:vAlign w:val="center"/>
          </w:tcPr>
          <w:p w14:paraId="0A1A0BA8">
            <w:pPr>
              <w:spacing w:line="360" w:lineRule="auto"/>
              <w:jc w:val="center"/>
              <w:rPr>
                <w:rFonts w:hint="eastAsia" w:ascii="宋体" w:hAnsi="宋体" w:cs="宋体"/>
                <w:sz w:val="24"/>
              </w:rPr>
            </w:pPr>
          </w:p>
        </w:tc>
        <w:tc>
          <w:tcPr>
            <w:tcW w:w="5145" w:type="dxa"/>
            <w:noWrap w:val="0"/>
            <w:vAlign w:val="center"/>
          </w:tcPr>
          <w:p w14:paraId="7B28D1F8">
            <w:pPr>
              <w:spacing w:line="360" w:lineRule="auto"/>
              <w:jc w:val="center"/>
              <w:rPr>
                <w:rFonts w:hint="eastAsia" w:ascii="宋体" w:hAnsi="宋体" w:cs="宋体"/>
                <w:sz w:val="24"/>
              </w:rPr>
            </w:pPr>
          </w:p>
        </w:tc>
      </w:tr>
      <w:tr w14:paraId="19B740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4" w:hRule="atLeast"/>
          <w:jc w:val="center"/>
        </w:trPr>
        <w:tc>
          <w:tcPr>
            <w:tcW w:w="929" w:type="dxa"/>
            <w:noWrap w:val="0"/>
            <w:vAlign w:val="center"/>
          </w:tcPr>
          <w:p w14:paraId="36B83D0A">
            <w:pPr>
              <w:spacing w:line="360" w:lineRule="auto"/>
              <w:jc w:val="center"/>
              <w:rPr>
                <w:rFonts w:hint="eastAsia" w:ascii="宋体" w:hAnsi="宋体" w:cs="宋体"/>
                <w:sz w:val="24"/>
              </w:rPr>
            </w:pPr>
            <w:r>
              <w:rPr>
                <w:rFonts w:hint="eastAsia" w:ascii="宋体" w:hAnsi="宋体" w:cs="宋体"/>
                <w:sz w:val="24"/>
                <w:highlight w:val="white"/>
              </w:rPr>
              <w:t>4</w:t>
            </w:r>
          </w:p>
        </w:tc>
        <w:tc>
          <w:tcPr>
            <w:tcW w:w="2206" w:type="dxa"/>
            <w:noWrap w:val="0"/>
            <w:vAlign w:val="center"/>
          </w:tcPr>
          <w:p w14:paraId="0C860D9C">
            <w:pPr>
              <w:spacing w:line="360" w:lineRule="auto"/>
              <w:jc w:val="center"/>
              <w:rPr>
                <w:rFonts w:hint="eastAsia" w:ascii="宋体" w:hAnsi="宋体" w:cs="宋体"/>
                <w:sz w:val="24"/>
              </w:rPr>
            </w:pPr>
          </w:p>
        </w:tc>
        <w:tc>
          <w:tcPr>
            <w:tcW w:w="5145" w:type="dxa"/>
            <w:noWrap w:val="0"/>
            <w:vAlign w:val="center"/>
          </w:tcPr>
          <w:p w14:paraId="2143141E">
            <w:pPr>
              <w:spacing w:line="360" w:lineRule="auto"/>
              <w:jc w:val="center"/>
              <w:rPr>
                <w:rFonts w:hint="eastAsia" w:ascii="宋体" w:hAnsi="宋体" w:cs="宋体"/>
                <w:sz w:val="24"/>
              </w:rPr>
            </w:pPr>
          </w:p>
        </w:tc>
      </w:tr>
      <w:tr w14:paraId="5491D6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4" w:hRule="atLeast"/>
          <w:jc w:val="center"/>
        </w:trPr>
        <w:tc>
          <w:tcPr>
            <w:tcW w:w="929" w:type="dxa"/>
            <w:noWrap w:val="0"/>
            <w:vAlign w:val="center"/>
          </w:tcPr>
          <w:p w14:paraId="79CB0FC8">
            <w:pPr>
              <w:spacing w:line="360" w:lineRule="auto"/>
              <w:jc w:val="center"/>
              <w:rPr>
                <w:rFonts w:hint="eastAsia" w:ascii="宋体" w:hAnsi="宋体" w:cs="宋体"/>
                <w:sz w:val="24"/>
              </w:rPr>
            </w:pPr>
            <w:r>
              <w:rPr>
                <w:rFonts w:hint="eastAsia" w:ascii="宋体" w:hAnsi="宋体" w:cs="宋体"/>
                <w:sz w:val="24"/>
                <w:highlight w:val="white"/>
              </w:rPr>
              <w:t>5</w:t>
            </w:r>
          </w:p>
        </w:tc>
        <w:tc>
          <w:tcPr>
            <w:tcW w:w="2206" w:type="dxa"/>
            <w:noWrap w:val="0"/>
            <w:vAlign w:val="center"/>
          </w:tcPr>
          <w:p w14:paraId="4C5729BA">
            <w:pPr>
              <w:spacing w:line="360" w:lineRule="auto"/>
              <w:jc w:val="center"/>
              <w:rPr>
                <w:rFonts w:hint="eastAsia" w:ascii="宋体" w:hAnsi="宋体" w:cs="宋体"/>
                <w:sz w:val="24"/>
              </w:rPr>
            </w:pPr>
          </w:p>
        </w:tc>
        <w:tc>
          <w:tcPr>
            <w:tcW w:w="5145" w:type="dxa"/>
            <w:noWrap w:val="0"/>
            <w:vAlign w:val="center"/>
          </w:tcPr>
          <w:p w14:paraId="10D0B72D">
            <w:pPr>
              <w:spacing w:line="360" w:lineRule="auto"/>
              <w:jc w:val="center"/>
              <w:rPr>
                <w:rFonts w:hint="eastAsia" w:ascii="宋体" w:hAnsi="宋体" w:cs="宋体"/>
                <w:sz w:val="24"/>
              </w:rPr>
            </w:pPr>
          </w:p>
        </w:tc>
      </w:tr>
      <w:tr w14:paraId="4E19F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jc w:val="center"/>
        </w:trPr>
        <w:tc>
          <w:tcPr>
            <w:tcW w:w="929" w:type="dxa"/>
            <w:noWrap w:val="0"/>
            <w:vAlign w:val="center"/>
          </w:tcPr>
          <w:p w14:paraId="2A9661CC">
            <w:pPr>
              <w:spacing w:line="360" w:lineRule="auto"/>
              <w:jc w:val="center"/>
              <w:rPr>
                <w:rFonts w:hint="eastAsia" w:ascii="宋体" w:hAnsi="宋体" w:cs="宋体"/>
                <w:sz w:val="24"/>
              </w:rPr>
            </w:pPr>
            <w:r>
              <w:rPr>
                <w:rFonts w:hint="eastAsia" w:ascii="宋体" w:hAnsi="宋体" w:cs="宋体"/>
                <w:sz w:val="24"/>
                <w:highlight w:val="white"/>
              </w:rPr>
              <w:t>……</w:t>
            </w:r>
          </w:p>
        </w:tc>
        <w:tc>
          <w:tcPr>
            <w:tcW w:w="2206" w:type="dxa"/>
            <w:noWrap w:val="0"/>
            <w:vAlign w:val="center"/>
          </w:tcPr>
          <w:p w14:paraId="17D7FC6C">
            <w:pPr>
              <w:spacing w:line="360" w:lineRule="auto"/>
              <w:jc w:val="center"/>
              <w:rPr>
                <w:rFonts w:hint="eastAsia" w:ascii="宋体" w:hAnsi="宋体" w:cs="宋体"/>
                <w:sz w:val="24"/>
              </w:rPr>
            </w:pPr>
            <w:r>
              <w:rPr>
                <w:rFonts w:hint="eastAsia" w:ascii="宋体" w:hAnsi="宋体" w:cs="宋体"/>
                <w:sz w:val="24"/>
                <w:highlight w:val="white"/>
              </w:rPr>
              <w:t>……</w:t>
            </w:r>
          </w:p>
        </w:tc>
        <w:tc>
          <w:tcPr>
            <w:tcW w:w="5145" w:type="dxa"/>
            <w:noWrap w:val="0"/>
            <w:vAlign w:val="center"/>
          </w:tcPr>
          <w:p w14:paraId="3BB09823">
            <w:pPr>
              <w:spacing w:line="360" w:lineRule="auto"/>
              <w:jc w:val="center"/>
              <w:rPr>
                <w:rFonts w:hint="eastAsia" w:ascii="宋体" w:hAnsi="宋体" w:cs="宋体"/>
                <w:sz w:val="24"/>
              </w:rPr>
            </w:pPr>
            <w:r>
              <w:rPr>
                <w:rFonts w:hint="eastAsia" w:ascii="宋体" w:hAnsi="宋体" w:cs="宋体"/>
                <w:sz w:val="24"/>
                <w:highlight w:val="white"/>
              </w:rPr>
              <w:t>……</w:t>
            </w:r>
          </w:p>
        </w:tc>
      </w:tr>
    </w:tbl>
    <w:p w14:paraId="4F257717">
      <w:pPr>
        <w:rPr>
          <w:rFonts w:hint="eastAsia"/>
        </w:rPr>
      </w:pPr>
    </w:p>
    <w:p w14:paraId="0FB50E97">
      <w:pPr>
        <w:spacing w:line="360" w:lineRule="auto"/>
        <w:rPr>
          <w:rFonts w:hint="eastAsia" w:ascii="宋体" w:hAnsi="宋体" w:cs="宋体"/>
          <w:sz w:val="24"/>
        </w:rPr>
      </w:pPr>
    </w:p>
    <w:p w14:paraId="3A00130B">
      <w:pPr>
        <w:pStyle w:val="3"/>
        <w:rPr>
          <w:rFonts w:hint="eastAsia" w:ascii="宋体" w:hAnsi="宋体" w:eastAsia="宋体"/>
          <w:sz w:val="24"/>
          <w:szCs w:val="24"/>
        </w:rPr>
      </w:pPr>
      <w:r>
        <w:rPr>
          <w:rFonts w:ascii="宋体" w:hAnsi="宋体" w:eastAsia="宋体"/>
          <w:sz w:val="24"/>
          <w:szCs w:val="24"/>
          <w:highlight w:val="white"/>
        </w:rPr>
        <w:br w:type="page"/>
      </w:r>
      <w:bookmarkStart w:id="214" w:name="_Toc256000084"/>
      <w:r>
        <w:rPr>
          <w:rFonts w:hint="eastAsia" w:ascii="宋体" w:hAnsi="宋体" w:eastAsia="宋体"/>
          <w:sz w:val="24"/>
          <w:szCs w:val="24"/>
          <w:highlight w:val="white"/>
        </w:rPr>
        <w:t>附表2：形式评审记录表</w:t>
      </w:r>
      <w:bookmarkEnd w:id="214"/>
    </w:p>
    <w:p w14:paraId="3900862A">
      <w:pPr>
        <w:spacing w:line="360" w:lineRule="auto"/>
        <w:jc w:val="center"/>
        <w:rPr>
          <w:rFonts w:hint="eastAsia" w:ascii="宋体" w:hAnsi="宋体" w:cs="宋体"/>
          <w:b/>
          <w:sz w:val="24"/>
        </w:rPr>
      </w:pPr>
      <w:r>
        <w:rPr>
          <w:rFonts w:hint="eastAsia" w:ascii="宋体" w:hAnsi="宋体" w:cs="宋体"/>
          <w:b/>
          <w:sz w:val="24"/>
          <w:highlight w:val="white"/>
        </w:rPr>
        <w:t>形式评审记录表</w:t>
      </w:r>
    </w:p>
    <w:p w14:paraId="184FEF51">
      <w:pPr>
        <w:spacing w:line="360" w:lineRule="auto"/>
        <w:jc w:val="center"/>
        <w:rPr>
          <w:rFonts w:hint="eastAsia" w:ascii="宋体" w:hAnsi="宋体" w:cs="宋体"/>
          <w:b/>
          <w:sz w:val="24"/>
        </w:rPr>
      </w:pPr>
    </w:p>
    <w:p w14:paraId="126D66F9">
      <w:pPr>
        <w:spacing w:line="360" w:lineRule="auto"/>
        <w:rPr>
          <w:rFonts w:hint="eastAsia" w:ascii="宋体" w:hAnsi="宋体" w:cs="宋体"/>
          <w:sz w:val="24"/>
        </w:rPr>
      </w:pPr>
      <w:r>
        <w:rPr>
          <w:rFonts w:hint="eastAsia" w:ascii="宋体" w:hAnsi="宋体" w:cs="宋体"/>
          <w:sz w:val="24"/>
          <w:highlight w:val="white"/>
        </w:rPr>
        <w:t>工程名称：______（项目名称）</w:t>
      </w:r>
      <w:r>
        <w:rPr>
          <w:rFonts w:hint="eastAsia" w:ascii="宋体" w:hAnsi="宋体"/>
          <w:sz w:val="24"/>
          <w:highlight w:val="white"/>
        </w:rPr>
        <w:t>设计施工总承包</w:t>
      </w:r>
      <w:r>
        <w:rPr>
          <w:rFonts w:hint="eastAsia" w:ascii="宋体" w:hAnsi="宋体" w:cs="宋体"/>
          <w:sz w:val="24"/>
          <w:highlight w:val="white"/>
        </w:rPr>
        <w:t>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5"/>
        <w:gridCol w:w="2160"/>
        <w:gridCol w:w="704"/>
        <w:gridCol w:w="704"/>
        <w:gridCol w:w="704"/>
        <w:gridCol w:w="704"/>
        <w:gridCol w:w="704"/>
        <w:gridCol w:w="704"/>
        <w:gridCol w:w="704"/>
        <w:gridCol w:w="704"/>
        <w:gridCol w:w="701"/>
      </w:tblGrid>
      <w:tr w14:paraId="58AC8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vMerge w:val="restart"/>
            <w:noWrap w:val="0"/>
            <w:vAlign w:val="center"/>
          </w:tcPr>
          <w:p w14:paraId="6A6C6BFB">
            <w:pPr>
              <w:spacing w:line="360" w:lineRule="auto"/>
              <w:jc w:val="center"/>
              <w:rPr>
                <w:rFonts w:hint="eastAsia" w:ascii="宋体" w:hAnsi="宋体" w:cs="宋体"/>
                <w:sz w:val="24"/>
              </w:rPr>
            </w:pPr>
            <w:r>
              <w:rPr>
                <w:rFonts w:hint="eastAsia" w:ascii="宋体" w:hAnsi="宋体" w:cs="宋体"/>
                <w:sz w:val="24"/>
                <w:highlight w:val="white"/>
              </w:rPr>
              <w:t>序号</w:t>
            </w:r>
          </w:p>
        </w:tc>
        <w:tc>
          <w:tcPr>
            <w:tcW w:w="2160" w:type="dxa"/>
            <w:vMerge w:val="restart"/>
            <w:noWrap w:val="0"/>
            <w:vAlign w:val="center"/>
          </w:tcPr>
          <w:p w14:paraId="387EE33C">
            <w:pPr>
              <w:spacing w:line="360" w:lineRule="auto"/>
              <w:jc w:val="center"/>
              <w:rPr>
                <w:rFonts w:hint="eastAsia" w:ascii="宋体" w:hAnsi="宋体" w:cs="宋体"/>
                <w:sz w:val="24"/>
              </w:rPr>
            </w:pPr>
            <w:r>
              <w:rPr>
                <w:rFonts w:hint="eastAsia" w:ascii="宋体" w:hAnsi="宋体" w:cs="宋体"/>
                <w:sz w:val="24"/>
                <w:highlight w:val="white"/>
              </w:rPr>
              <w:t>评审因素</w:t>
            </w:r>
          </w:p>
        </w:tc>
        <w:tc>
          <w:tcPr>
            <w:tcW w:w="6333" w:type="dxa"/>
            <w:gridSpan w:val="9"/>
            <w:noWrap w:val="0"/>
            <w:vAlign w:val="center"/>
          </w:tcPr>
          <w:p w14:paraId="5F2F8795">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67963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vMerge w:val="continue"/>
            <w:noWrap w:val="0"/>
            <w:vAlign w:val="center"/>
          </w:tcPr>
          <w:p w14:paraId="1AB45C5D">
            <w:pPr>
              <w:spacing w:line="360" w:lineRule="auto"/>
              <w:rPr>
                <w:rFonts w:hint="eastAsia" w:ascii="宋体" w:hAnsi="宋体" w:cs="宋体"/>
                <w:sz w:val="24"/>
              </w:rPr>
            </w:pPr>
          </w:p>
        </w:tc>
        <w:tc>
          <w:tcPr>
            <w:tcW w:w="2160" w:type="dxa"/>
            <w:vMerge w:val="continue"/>
            <w:noWrap w:val="0"/>
            <w:vAlign w:val="center"/>
          </w:tcPr>
          <w:p w14:paraId="15EF5AED">
            <w:pPr>
              <w:spacing w:line="360" w:lineRule="auto"/>
              <w:rPr>
                <w:rFonts w:hint="eastAsia" w:ascii="宋体" w:hAnsi="宋体" w:cs="宋体"/>
                <w:sz w:val="24"/>
              </w:rPr>
            </w:pPr>
          </w:p>
        </w:tc>
        <w:tc>
          <w:tcPr>
            <w:tcW w:w="704" w:type="dxa"/>
            <w:noWrap w:val="0"/>
            <w:vAlign w:val="center"/>
          </w:tcPr>
          <w:p w14:paraId="3E5AD16A">
            <w:pPr>
              <w:spacing w:line="360" w:lineRule="auto"/>
              <w:jc w:val="center"/>
              <w:rPr>
                <w:rFonts w:hint="eastAsia" w:ascii="宋体" w:hAnsi="宋体" w:cs="宋体"/>
                <w:sz w:val="24"/>
              </w:rPr>
            </w:pPr>
          </w:p>
        </w:tc>
        <w:tc>
          <w:tcPr>
            <w:tcW w:w="704" w:type="dxa"/>
            <w:noWrap w:val="0"/>
            <w:vAlign w:val="center"/>
          </w:tcPr>
          <w:p w14:paraId="508F9363">
            <w:pPr>
              <w:spacing w:line="360" w:lineRule="auto"/>
              <w:jc w:val="center"/>
              <w:rPr>
                <w:rFonts w:hint="eastAsia" w:ascii="宋体" w:hAnsi="宋体" w:cs="宋体"/>
                <w:sz w:val="24"/>
              </w:rPr>
            </w:pPr>
          </w:p>
        </w:tc>
        <w:tc>
          <w:tcPr>
            <w:tcW w:w="704" w:type="dxa"/>
            <w:noWrap w:val="0"/>
            <w:vAlign w:val="center"/>
          </w:tcPr>
          <w:p w14:paraId="15103CA9">
            <w:pPr>
              <w:spacing w:line="360" w:lineRule="auto"/>
              <w:jc w:val="center"/>
              <w:rPr>
                <w:rFonts w:hint="eastAsia" w:ascii="宋体" w:hAnsi="宋体" w:cs="宋体"/>
                <w:sz w:val="24"/>
              </w:rPr>
            </w:pPr>
          </w:p>
        </w:tc>
        <w:tc>
          <w:tcPr>
            <w:tcW w:w="704" w:type="dxa"/>
            <w:noWrap w:val="0"/>
            <w:vAlign w:val="center"/>
          </w:tcPr>
          <w:p w14:paraId="633843D7">
            <w:pPr>
              <w:spacing w:line="360" w:lineRule="auto"/>
              <w:jc w:val="center"/>
              <w:rPr>
                <w:rFonts w:hint="eastAsia" w:ascii="宋体" w:hAnsi="宋体" w:cs="宋体"/>
                <w:sz w:val="24"/>
              </w:rPr>
            </w:pPr>
          </w:p>
        </w:tc>
        <w:tc>
          <w:tcPr>
            <w:tcW w:w="704" w:type="dxa"/>
            <w:noWrap w:val="0"/>
            <w:vAlign w:val="center"/>
          </w:tcPr>
          <w:p w14:paraId="4F02F346">
            <w:pPr>
              <w:spacing w:line="360" w:lineRule="auto"/>
              <w:jc w:val="center"/>
              <w:rPr>
                <w:rFonts w:hint="eastAsia" w:ascii="宋体" w:hAnsi="宋体" w:cs="宋体"/>
                <w:sz w:val="24"/>
              </w:rPr>
            </w:pPr>
          </w:p>
        </w:tc>
        <w:tc>
          <w:tcPr>
            <w:tcW w:w="704" w:type="dxa"/>
            <w:noWrap w:val="0"/>
            <w:vAlign w:val="center"/>
          </w:tcPr>
          <w:p w14:paraId="0D1CF3C4">
            <w:pPr>
              <w:spacing w:line="360" w:lineRule="auto"/>
              <w:jc w:val="center"/>
              <w:rPr>
                <w:rFonts w:hint="eastAsia" w:ascii="宋体" w:hAnsi="宋体" w:cs="宋体"/>
                <w:sz w:val="24"/>
              </w:rPr>
            </w:pPr>
          </w:p>
        </w:tc>
        <w:tc>
          <w:tcPr>
            <w:tcW w:w="704" w:type="dxa"/>
            <w:noWrap w:val="0"/>
            <w:vAlign w:val="center"/>
          </w:tcPr>
          <w:p w14:paraId="6F86C41E">
            <w:pPr>
              <w:spacing w:line="360" w:lineRule="auto"/>
              <w:jc w:val="center"/>
              <w:rPr>
                <w:rFonts w:hint="eastAsia" w:ascii="宋体" w:hAnsi="宋体" w:cs="宋体"/>
                <w:sz w:val="24"/>
              </w:rPr>
            </w:pPr>
          </w:p>
        </w:tc>
        <w:tc>
          <w:tcPr>
            <w:tcW w:w="704" w:type="dxa"/>
            <w:noWrap w:val="0"/>
            <w:vAlign w:val="center"/>
          </w:tcPr>
          <w:p w14:paraId="2C1CB651">
            <w:pPr>
              <w:spacing w:line="360" w:lineRule="auto"/>
              <w:jc w:val="center"/>
              <w:rPr>
                <w:rFonts w:hint="eastAsia" w:ascii="宋体" w:hAnsi="宋体" w:cs="宋体"/>
                <w:sz w:val="24"/>
              </w:rPr>
            </w:pPr>
          </w:p>
        </w:tc>
        <w:tc>
          <w:tcPr>
            <w:tcW w:w="701" w:type="dxa"/>
            <w:noWrap w:val="0"/>
            <w:vAlign w:val="center"/>
          </w:tcPr>
          <w:p w14:paraId="47E7F9AA">
            <w:pPr>
              <w:spacing w:line="360" w:lineRule="auto"/>
              <w:jc w:val="center"/>
              <w:rPr>
                <w:rFonts w:hint="eastAsia" w:ascii="宋体" w:hAnsi="宋体" w:cs="宋体"/>
                <w:sz w:val="24"/>
              </w:rPr>
            </w:pPr>
          </w:p>
        </w:tc>
      </w:tr>
      <w:tr w14:paraId="51B62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noWrap w:val="0"/>
            <w:vAlign w:val="center"/>
          </w:tcPr>
          <w:p w14:paraId="5C5F2FB1">
            <w:pPr>
              <w:spacing w:line="360" w:lineRule="auto"/>
              <w:jc w:val="center"/>
              <w:rPr>
                <w:rFonts w:hint="eastAsia" w:ascii="宋体" w:hAnsi="宋体" w:cs="宋体"/>
                <w:sz w:val="24"/>
              </w:rPr>
            </w:pPr>
            <w:r>
              <w:rPr>
                <w:rFonts w:hint="eastAsia" w:ascii="宋体" w:hAnsi="宋体" w:cs="宋体"/>
                <w:sz w:val="24"/>
                <w:highlight w:val="white"/>
              </w:rPr>
              <w:t>1</w:t>
            </w:r>
          </w:p>
        </w:tc>
        <w:tc>
          <w:tcPr>
            <w:tcW w:w="2160" w:type="dxa"/>
            <w:noWrap w:val="0"/>
            <w:vAlign w:val="center"/>
          </w:tcPr>
          <w:p w14:paraId="76D3107D">
            <w:pPr>
              <w:spacing w:line="360" w:lineRule="auto"/>
              <w:jc w:val="center"/>
              <w:rPr>
                <w:rFonts w:hint="eastAsia" w:ascii="宋体" w:hAnsi="宋体" w:cs="宋体"/>
                <w:sz w:val="24"/>
              </w:rPr>
            </w:pPr>
            <w:r>
              <w:rPr>
                <w:rFonts w:hint="eastAsia" w:ascii="宋体" w:hAnsi="宋体" w:cs="宋体"/>
                <w:sz w:val="24"/>
                <w:highlight w:val="white"/>
              </w:rPr>
              <w:t>投标人名称</w:t>
            </w:r>
          </w:p>
        </w:tc>
        <w:tc>
          <w:tcPr>
            <w:tcW w:w="704" w:type="dxa"/>
            <w:noWrap w:val="0"/>
            <w:vAlign w:val="center"/>
          </w:tcPr>
          <w:p w14:paraId="1E40C194">
            <w:pPr>
              <w:spacing w:line="360" w:lineRule="auto"/>
              <w:jc w:val="center"/>
              <w:rPr>
                <w:rFonts w:hint="eastAsia" w:ascii="宋体" w:hAnsi="宋体" w:cs="宋体"/>
                <w:sz w:val="24"/>
              </w:rPr>
            </w:pPr>
          </w:p>
        </w:tc>
        <w:tc>
          <w:tcPr>
            <w:tcW w:w="704" w:type="dxa"/>
            <w:noWrap w:val="0"/>
            <w:vAlign w:val="center"/>
          </w:tcPr>
          <w:p w14:paraId="760181CD">
            <w:pPr>
              <w:spacing w:line="360" w:lineRule="auto"/>
              <w:jc w:val="center"/>
              <w:rPr>
                <w:rFonts w:hint="eastAsia" w:ascii="宋体" w:hAnsi="宋体" w:cs="宋体"/>
                <w:sz w:val="24"/>
              </w:rPr>
            </w:pPr>
          </w:p>
        </w:tc>
        <w:tc>
          <w:tcPr>
            <w:tcW w:w="704" w:type="dxa"/>
            <w:noWrap w:val="0"/>
            <w:vAlign w:val="center"/>
          </w:tcPr>
          <w:p w14:paraId="3B1016D3">
            <w:pPr>
              <w:spacing w:line="360" w:lineRule="auto"/>
              <w:jc w:val="center"/>
              <w:rPr>
                <w:rFonts w:hint="eastAsia" w:ascii="宋体" w:hAnsi="宋体" w:cs="宋体"/>
                <w:sz w:val="24"/>
              </w:rPr>
            </w:pPr>
          </w:p>
        </w:tc>
        <w:tc>
          <w:tcPr>
            <w:tcW w:w="704" w:type="dxa"/>
            <w:noWrap w:val="0"/>
            <w:vAlign w:val="center"/>
          </w:tcPr>
          <w:p w14:paraId="2149C4E0">
            <w:pPr>
              <w:spacing w:line="360" w:lineRule="auto"/>
              <w:jc w:val="center"/>
              <w:rPr>
                <w:rFonts w:hint="eastAsia" w:ascii="宋体" w:hAnsi="宋体" w:cs="宋体"/>
                <w:sz w:val="24"/>
              </w:rPr>
            </w:pPr>
          </w:p>
        </w:tc>
        <w:tc>
          <w:tcPr>
            <w:tcW w:w="704" w:type="dxa"/>
            <w:noWrap w:val="0"/>
            <w:vAlign w:val="center"/>
          </w:tcPr>
          <w:p w14:paraId="69C408C7">
            <w:pPr>
              <w:spacing w:line="360" w:lineRule="auto"/>
              <w:jc w:val="center"/>
              <w:rPr>
                <w:rFonts w:hint="eastAsia" w:ascii="宋体" w:hAnsi="宋体" w:cs="宋体"/>
                <w:sz w:val="24"/>
              </w:rPr>
            </w:pPr>
          </w:p>
        </w:tc>
        <w:tc>
          <w:tcPr>
            <w:tcW w:w="704" w:type="dxa"/>
            <w:noWrap w:val="0"/>
            <w:vAlign w:val="center"/>
          </w:tcPr>
          <w:p w14:paraId="021674F2">
            <w:pPr>
              <w:spacing w:line="360" w:lineRule="auto"/>
              <w:jc w:val="center"/>
              <w:rPr>
                <w:rFonts w:hint="eastAsia" w:ascii="宋体" w:hAnsi="宋体" w:cs="宋体"/>
                <w:sz w:val="24"/>
              </w:rPr>
            </w:pPr>
          </w:p>
        </w:tc>
        <w:tc>
          <w:tcPr>
            <w:tcW w:w="704" w:type="dxa"/>
            <w:noWrap w:val="0"/>
            <w:vAlign w:val="center"/>
          </w:tcPr>
          <w:p w14:paraId="1CEDDC70">
            <w:pPr>
              <w:spacing w:line="360" w:lineRule="auto"/>
              <w:jc w:val="center"/>
              <w:rPr>
                <w:rFonts w:hint="eastAsia" w:ascii="宋体" w:hAnsi="宋体" w:cs="宋体"/>
                <w:sz w:val="24"/>
              </w:rPr>
            </w:pPr>
          </w:p>
        </w:tc>
        <w:tc>
          <w:tcPr>
            <w:tcW w:w="704" w:type="dxa"/>
            <w:noWrap w:val="0"/>
            <w:vAlign w:val="center"/>
          </w:tcPr>
          <w:p w14:paraId="0891B4A3">
            <w:pPr>
              <w:spacing w:line="360" w:lineRule="auto"/>
              <w:jc w:val="center"/>
              <w:rPr>
                <w:rFonts w:hint="eastAsia" w:ascii="宋体" w:hAnsi="宋体" w:cs="宋体"/>
                <w:sz w:val="24"/>
              </w:rPr>
            </w:pPr>
          </w:p>
        </w:tc>
        <w:tc>
          <w:tcPr>
            <w:tcW w:w="701" w:type="dxa"/>
            <w:noWrap w:val="0"/>
            <w:vAlign w:val="center"/>
          </w:tcPr>
          <w:p w14:paraId="39A30D46">
            <w:pPr>
              <w:spacing w:line="360" w:lineRule="auto"/>
              <w:jc w:val="center"/>
              <w:rPr>
                <w:rFonts w:hint="eastAsia" w:ascii="宋体" w:hAnsi="宋体" w:cs="宋体"/>
                <w:sz w:val="24"/>
              </w:rPr>
            </w:pPr>
          </w:p>
        </w:tc>
      </w:tr>
      <w:tr w14:paraId="561F26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noWrap w:val="0"/>
            <w:vAlign w:val="center"/>
          </w:tcPr>
          <w:p w14:paraId="14B54835">
            <w:pPr>
              <w:spacing w:line="360" w:lineRule="auto"/>
              <w:jc w:val="center"/>
              <w:rPr>
                <w:rFonts w:hint="eastAsia" w:ascii="宋体" w:hAnsi="宋体" w:cs="宋体"/>
                <w:sz w:val="24"/>
              </w:rPr>
            </w:pPr>
            <w:r>
              <w:rPr>
                <w:rFonts w:hint="eastAsia" w:ascii="宋体" w:hAnsi="宋体" w:cs="宋体"/>
                <w:sz w:val="24"/>
                <w:highlight w:val="white"/>
              </w:rPr>
              <w:t>2</w:t>
            </w:r>
          </w:p>
        </w:tc>
        <w:tc>
          <w:tcPr>
            <w:tcW w:w="2160" w:type="dxa"/>
            <w:noWrap w:val="0"/>
            <w:vAlign w:val="center"/>
          </w:tcPr>
          <w:p w14:paraId="0203A8AC">
            <w:pPr>
              <w:spacing w:line="360" w:lineRule="auto"/>
              <w:jc w:val="center"/>
              <w:rPr>
                <w:rFonts w:hint="eastAsia" w:ascii="宋体" w:hAnsi="宋体" w:cs="宋体"/>
                <w:sz w:val="24"/>
              </w:rPr>
            </w:pPr>
            <w:r>
              <w:rPr>
                <w:rFonts w:hint="eastAsia" w:ascii="宋体" w:hAnsi="宋体" w:cs="宋体"/>
                <w:sz w:val="24"/>
                <w:highlight w:val="white"/>
              </w:rPr>
              <w:t>签字盖章</w:t>
            </w:r>
          </w:p>
        </w:tc>
        <w:tc>
          <w:tcPr>
            <w:tcW w:w="704" w:type="dxa"/>
            <w:noWrap w:val="0"/>
            <w:vAlign w:val="center"/>
          </w:tcPr>
          <w:p w14:paraId="08AD3CAA">
            <w:pPr>
              <w:spacing w:line="360" w:lineRule="auto"/>
              <w:jc w:val="center"/>
              <w:rPr>
                <w:rFonts w:hint="eastAsia" w:ascii="宋体" w:hAnsi="宋体" w:cs="宋体"/>
                <w:sz w:val="24"/>
              </w:rPr>
            </w:pPr>
          </w:p>
        </w:tc>
        <w:tc>
          <w:tcPr>
            <w:tcW w:w="704" w:type="dxa"/>
            <w:noWrap w:val="0"/>
            <w:vAlign w:val="center"/>
          </w:tcPr>
          <w:p w14:paraId="0DA598EA">
            <w:pPr>
              <w:spacing w:line="360" w:lineRule="auto"/>
              <w:jc w:val="center"/>
              <w:rPr>
                <w:rFonts w:hint="eastAsia" w:ascii="宋体" w:hAnsi="宋体" w:cs="宋体"/>
                <w:sz w:val="24"/>
              </w:rPr>
            </w:pPr>
          </w:p>
        </w:tc>
        <w:tc>
          <w:tcPr>
            <w:tcW w:w="704" w:type="dxa"/>
            <w:noWrap w:val="0"/>
            <w:vAlign w:val="center"/>
          </w:tcPr>
          <w:p w14:paraId="1169051C">
            <w:pPr>
              <w:spacing w:line="360" w:lineRule="auto"/>
              <w:jc w:val="center"/>
              <w:rPr>
                <w:rFonts w:hint="eastAsia" w:ascii="宋体" w:hAnsi="宋体" w:cs="宋体"/>
                <w:sz w:val="24"/>
              </w:rPr>
            </w:pPr>
          </w:p>
        </w:tc>
        <w:tc>
          <w:tcPr>
            <w:tcW w:w="704" w:type="dxa"/>
            <w:noWrap w:val="0"/>
            <w:vAlign w:val="center"/>
          </w:tcPr>
          <w:p w14:paraId="208037CA">
            <w:pPr>
              <w:spacing w:line="360" w:lineRule="auto"/>
              <w:jc w:val="center"/>
              <w:rPr>
                <w:rFonts w:hint="eastAsia" w:ascii="宋体" w:hAnsi="宋体" w:cs="宋体"/>
                <w:sz w:val="24"/>
              </w:rPr>
            </w:pPr>
          </w:p>
        </w:tc>
        <w:tc>
          <w:tcPr>
            <w:tcW w:w="704" w:type="dxa"/>
            <w:noWrap w:val="0"/>
            <w:vAlign w:val="center"/>
          </w:tcPr>
          <w:p w14:paraId="2091B422">
            <w:pPr>
              <w:spacing w:line="360" w:lineRule="auto"/>
              <w:jc w:val="center"/>
              <w:rPr>
                <w:rFonts w:hint="eastAsia" w:ascii="宋体" w:hAnsi="宋体" w:cs="宋体"/>
                <w:sz w:val="24"/>
              </w:rPr>
            </w:pPr>
          </w:p>
        </w:tc>
        <w:tc>
          <w:tcPr>
            <w:tcW w:w="704" w:type="dxa"/>
            <w:noWrap w:val="0"/>
            <w:vAlign w:val="center"/>
          </w:tcPr>
          <w:p w14:paraId="15A0361C">
            <w:pPr>
              <w:spacing w:line="360" w:lineRule="auto"/>
              <w:jc w:val="center"/>
              <w:rPr>
                <w:rFonts w:hint="eastAsia" w:ascii="宋体" w:hAnsi="宋体" w:cs="宋体"/>
                <w:sz w:val="24"/>
              </w:rPr>
            </w:pPr>
          </w:p>
        </w:tc>
        <w:tc>
          <w:tcPr>
            <w:tcW w:w="704" w:type="dxa"/>
            <w:noWrap w:val="0"/>
            <w:vAlign w:val="center"/>
          </w:tcPr>
          <w:p w14:paraId="0452E619">
            <w:pPr>
              <w:spacing w:line="360" w:lineRule="auto"/>
              <w:jc w:val="center"/>
              <w:rPr>
                <w:rFonts w:hint="eastAsia" w:ascii="宋体" w:hAnsi="宋体" w:cs="宋体"/>
                <w:sz w:val="24"/>
              </w:rPr>
            </w:pPr>
          </w:p>
        </w:tc>
        <w:tc>
          <w:tcPr>
            <w:tcW w:w="704" w:type="dxa"/>
            <w:noWrap w:val="0"/>
            <w:vAlign w:val="center"/>
          </w:tcPr>
          <w:p w14:paraId="69741938">
            <w:pPr>
              <w:spacing w:line="360" w:lineRule="auto"/>
              <w:jc w:val="center"/>
              <w:rPr>
                <w:rFonts w:hint="eastAsia" w:ascii="宋体" w:hAnsi="宋体" w:cs="宋体"/>
                <w:sz w:val="24"/>
              </w:rPr>
            </w:pPr>
          </w:p>
        </w:tc>
        <w:tc>
          <w:tcPr>
            <w:tcW w:w="701" w:type="dxa"/>
            <w:noWrap w:val="0"/>
            <w:vAlign w:val="center"/>
          </w:tcPr>
          <w:p w14:paraId="5DF20849">
            <w:pPr>
              <w:spacing w:line="360" w:lineRule="auto"/>
              <w:jc w:val="center"/>
              <w:rPr>
                <w:rFonts w:hint="eastAsia" w:ascii="宋体" w:hAnsi="宋体" w:cs="宋体"/>
                <w:sz w:val="24"/>
              </w:rPr>
            </w:pPr>
          </w:p>
        </w:tc>
      </w:tr>
      <w:tr w14:paraId="2768D5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noWrap w:val="0"/>
            <w:vAlign w:val="center"/>
          </w:tcPr>
          <w:p w14:paraId="3D34E7BF">
            <w:pPr>
              <w:spacing w:line="360" w:lineRule="auto"/>
              <w:jc w:val="center"/>
              <w:rPr>
                <w:rFonts w:hint="eastAsia" w:ascii="宋体" w:hAnsi="宋体" w:cs="宋体"/>
                <w:sz w:val="24"/>
              </w:rPr>
            </w:pPr>
            <w:r>
              <w:rPr>
                <w:rFonts w:hint="eastAsia" w:ascii="宋体" w:hAnsi="宋体" w:cs="宋体"/>
                <w:sz w:val="24"/>
                <w:highlight w:val="white"/>
              </w:rPr>
              <w:t>3</w:t>
            </w:r>
          </w:p>
        </w:tc>
        <w:tc>
          <w:tcPr>
            <w:tcW w:w="2160" w:type="dxa"/>
            <w:noWrap w:val="0"/>
            <w:vAlign w:val="center"/>
          </w:tcPr>
          <w:p w14:paraId="06431226">
            <w:pPr>
              <w:spacing w:line="360" w:lineRule="auto"/>
              <w:jc w:val="center"/>
              <w:rPr>
                <w:rFonts w:hint="eastAsia" w:ascii="宋体" w:hAnsi="宋体" w:cs="宋体"/>
                <w:sz w:val="24"/>
              </w:rPr>
            </w:pPr>
            <w:r>
              <w:rPr>
                <w:rFonts w:hint="eastAsia" w:ascii="宋体" w:hAnsi="宋体" w:cs="宋体"/>
                <w:sz w:val="24"/>
                <w:highlight w:val="white"/>
              </w:rPr>
              <w:t>投标文件格式</w:t>
            </w:r>
          </w:p>
        </w:tc>
        <w:tc>
          <w:tcPr>
            <w:tcW w:w="704" w:type="dxa"/>
            <w:noWrap w:val="0"/>
            <w:vAlign w:val="center"/>
          </w:tcPr>
          <w:p w14:paraId="4BD3A410">
            <w:pPr>
              <w:spacing w:line="360" w:lineRule="auto"/>
              <w:jc w:val="center"/>
              <w:rPr>
                <w:rFonts w:hint="eastAsia" w:ascii="宋体" w:hAnsi="宋体" w:cs="宋体"/>
                <w:sz w:val="24"/>
              </w:rPr>
            </w:pPr>
          </w:p>
        </w:tc>
        <w:tc>
          <w:tcPr>
            <w:tcW w:w="704" w:type="dxa"/>
            <w:noWrap w:val="0"/>
            <w:vAlign w:val="center"/>
          </w:tcPr>
          <w:p w14:paraId="2F4DCE31">
            <w:pPr>
              <w:spacing w:line="360" w:lineRule="auto"/>
              <w:jc w:val="center"/>
              <w:rPr>
                <w:rFonts w:hint="eastAsia" w:ascii="宋体" w:hAnsi="宋体" w:cs="宋体"/>
                <w:sz w:val="24"/>
              </w:rPr>
            </w:pPr>
          </w:p>
        </w:tc>
        <w:tc>
          <w:tcPr>
            <w:tcW w:w="704" w:type="dxa"/>
            <w:noWrap w:val="0"/>
            <w:vAlign w:val="center"/>
          </w:tcPr>
          <w:p w14:paraId="56B75C86">
            <w:pPr>
              <w:spacing w:line="360" w:lineRule="auto"/>
              <w:jc w:val="center"/>
              <w:rPr>
                <w:rFonts w:hint="eastAsia" w:ascii="宋体" w:hAnsi="宋体" w:cs="宋体"/>
                <w:sz w:val="24"/>
              </w:rPr>
            </w:pPr>
          </w:p>
        </w:tc>
        <w:tc>
          <w:tcPr>
            <w:tcW w:w="704" w:type="dxa"/>
            <w:noWrap w:val="0"/>
            <w:vAlign w:val="center"/>
          </w:tcPr>
          <w:p w14:paraId="203C67DC">
            <w:pPr>
              <w:spacing w:line="360" w:lineRule="auto"/>
              <w:jc w:val="center"/>
              <w:rPr>
                <w:rFonts w:hint="eastAsia" w:ascii="宋体" w:hAnsi="宋体" w:cs="宋体"/>
                <w:sz w:val="24"/>
              </w:rPr>
            </w:pPr>
          </w:p>
        </w:tc>
        <w:tc>
          <w:tcPr>
            <w:tcW w:w="704" w:type="dxa"/>
            <w:noWrap w:val="0"/>
            <w:vAlign w:val="center"/>
          </w:tcPr>
          <w:p w14:paraId="09441850">
            <w:pPr>
              <w:spacing w:line="360" w:lineRule="auto"/>
              <w:jc w:val="center"/>
              <w:rPr>
                <w:rFonts w:hint="eastAsia" w:ascii="宋体" w:hAnsi="宋体" w:cs="宋体"/>
                <w:sz w:val="24"/>
              </w:rPr>
            </w:pPr>
          </w:p>
        </w:tc>
        <w:tc>
          <w:tcPr>
            <w:tcW w:w="704" w:type="dxa"/>
            <w:noWrap w:val="0"/>
            <w:vAlign w:val="center"/>
          </w:tcPr>
          <w:p w14:paraId="172CDE52">
            <w:pPr>
              <w:spacing w:line="360" w:lineRule="auto"/>
              <w:jc w:val="center"/>
              <w:rPr>
                <w:rFonts w:hint="eastAsia" w:ascii="宋体" w:hAnsi="宋体" w:cs="宋体"/>
                <w:sz w:val="24"/>
              </w:rPr>
            </w:pPr>
          </w:p>
        </w:tc>
        <w:tc>
          <w:tcPr>
            <w:tcW w:w="704" w:type="dxa"/>
            <w:noWrap w:val="0"/>
            <w:vAlign w:val="center"/>
          </w:tcPr>
          <w:p w14:paraId="0B25FD8B">
            <w:pPr>
              <w:spacing w:line="360" w:lineRule="auto"/>
              <w:jc w:val="center"/>
              <w:rPr>
                <w:rFonts w:hint="eastAsia" w:ascii="宋体" w:hAnsi="宋体" w:cs="宋体"/>
                <w:sz w:val="24"/>
              </w:rPr>
            </w:pPr>
          </w:p>
        </w:tc>
        <w:tc>
          <w:tcPr>
            <w:tcW w:w="704" w:type="dxa"/>
            <w:noWrap w:val="0"/>
            <w:vAlign w:val="center"/>
          </w:tcPr>
          <w:p w14:paraId="601F8506">
            <w:pPr>
              <w:spacing w:line="360" w:lineRule="auto"/>
              <w:jc w:val="center"/>
              <w:rPr>
                <w:rFonts w:hint="eastAsia" w:ascii="宋体" w:hAnsi="宋体" w:cs="宋体"/>
                <w:sz w:val="24"/>
              </w:rPr>
            </w:pPr>
          </w:p>
        </w:tc>
        <w:tc>
          <w:tcPr>
            <w:tcW w:w="701" w:type="dxa"/>
            <w:noWrap w:val="0"/>
            <w:vAlign w:val="center"/>
          </w:tcPr>
          <w:p w14:paraId="3EA65CD5">
            <w:pPr>
              <w:spacing w:line="360" w:lineRule="auto"/>
              <w:jc w:val="center"/>
              <w:rPr>
                <w:rFonts w:hint="eastAsia" w:ascii="宋体" w:hAnsi="宋体" w:cs="宋体"/>
                <w:sz w:val="24"/>
              </w:rPr>
            </w:pPr>
          </w:p>
        </w:tc>
      </w:tr>
      <w:tr w14:paraId="3C65E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noWrap w:val="0"/>
            <w:vAlign w:val="center"/>
          </w:tcPr>
          <w:p w14:paraId="45FEA816">
            <w:pPr>
              <w:spacing w:line="360" w:lineRule="auto"/>
              <w:jc w:val="center"/>
              <w:rPr>
                <w:rFonts w:hint="eastAsia" w:ascii="宋体" w:hAnsi="宋体" w:cs="宋体"/>
                <w:sz w:val="24"/>
              </w:rPr>
            </w:pPr>
            <w:r>
              <w:rPr>
                <w:rFonts w:hint="eastAsia" w:ascii="宋体" w:hAnsi="宋体" w:cs="宋体"/>
                <w:sz w:val="24"/>
                <w:highlight w:val="white"/>
              </w:rPr>
              <w:t>4</w:t>
            </w:r>
          </w:p>
        </w:tc>
        <w:tc>
          <w:tcPr>
            <w:tcW w:w="2160" w:type="dxa"/>
            <w:noWrap w:val="0"/>
            <w:vAlign w:val="center"/>
          </w:tcPr>
          <w:p w14:paraId="0D7E887E">
            <w:pPr>
              <w:spacing w:line="360" w:lineRule="auto"/>
              <w:jc w:val="center"/>
              <w:rPr>
                <w:rFonts w:hint="eastAsia" w:ascii="宋体" w:hAnsi="宋体" w:cs="宋体"/>
                <w:sz w:val="24"/>
              </w:rPr>
            </w:pPr>
            <w:r>
              <w:rPr>
                <w:rFonts w:hint="eastAsia" w:ascii="宋体" w:hAnsi="宋体" w:cs="宋体"/>
                <w:sz w:val="24"/>
                <w:highlight w:val="white"/>
              </w:rPr>
              <w:t>联合体投标人</w:t>
            </w:r>
          </w:p>
        </w:tc>
        <w:tc>
          <w:tcPr>
            <w:tcW w:w="704" w:type="dxa"/>
            <w:noWrap w:val="0"/>
            <w:vAlign w:val="center"/>
          </w:tcPr>
          <w:p w14:paraId="712D9A99">
            <w:pPr>
              <w:spacing w:line="360" w:lineRule="auto"/>
              <w:jc w:val="center"/>
              <w:rPr>
                <w:rFonts w:hint="eastAsia" w:ascii="宋体" w:hAnsi="宋体" w:cs="宋体"/>
                <w:sz w:val="24"/>
              </w:rPr>
            </w:pPr>
          </w:p>
        </w:tc>
        <w:tc>
          <w:tcPr>
            <w:tcW w:w="704" w:type="dxa"/>
            <w:noWrap w:val="0"/>
            <w:vAlign w:val="center"/>
          </w:tcPr>
          <w:p w14:paraId="1B6F18A3">
            <w:pPr>
              <w:spacing w:line="360" w:lineRule="auto"/>
              <w:jc w:val="center"/>
              <w:rPr>
                <w:rFonts w:hint="eastAsia" w:ascii="宋体" w:hAnsi="宋体" w:cs="宋体"/>
                <w:sz w:val="24"/>
              </w:rPr>
            </w:pPr>
          </w:p>
        </w:tc>
        <w:tc>
          <w:tcPr>
            <w:tcW w:w="704" w:type="dxa"/>
            <w:noWrap w:val="0"/>
            <w:vAlign w:val="center"/>
          </w:tcPr>
          <w:p w14:paraId="1A4138CC">
            <w:pPr>
              <w:spacing w:line="360" w:lineRule="auto"/>
              <w:jc w:val="center"/>
              <w:rPr>
                <w:rFonts w:hint="eastAsia" w:ascii="宋体" w:hAnsi="宋体" w:cs="宋体"/>
                <w:sz w:val="24"/>
              </w:rPr>
            </w:pPr>
          </w:p>
        </w:tc>
        <w:tc>
          <w:tcPr>
            <w:tcW w:w="704" w:type="dxa"/>
            <w:noWrap w:val="0"/>
            <w:vAlign w:val="center"/>
          </w:tcPr>
          <w:p w14:paraId="2961FEB8">
            <w:pPr>
              <w:spacing w:line="360" w:lineRule="auto"/>
              <w:jc w:val="center"/>
              <w:rPr>
                <w:rFonts w:hint="eastAsia" w:ascii="宋体" w:hAnsi="宋体" w:cs="宋体"/>
                <w:sz w:val="24"/>
              </w:rPr>
            </w:pPr>
          </w:p>
        </w:tc>
        <w:tc>
          <w:tcPr>
            <w:tcW w:w="704" w:type="dxa"/>
            <w:noWrap w:val="0"/>
            <w:vAlign w:val="center"/>
          </w:tcPr>
          <w:p w14:paraId="4D8E8DAF">
            <w:pPr>
              <w:spacing w:line="360" w:lineRule="auto"/>
              <w:jc w:val="center"/>
              <w:rPr>
                <w:rFonts w:hint="eastAsia" w:ascii="宋体" w:hAnsi="宋体" w:cs="宋体"/>
                <w:sz w:val="24"/>
              </w:rPr>
            </w:pPr>
          </w:p>
        </w:tc>
        <w:tc>
          <w:tcPr>
            <w:tcW w:w="704" w:type="dxa"/>
            <w:noWrap w:val="0"/>
            <w:vAlign w:val="center"/>
          </w:tcPr>
          <w:p w14:paraId="44857C8E">
            <w:pPr>
              <w:spacing w:line="360" w:lineRule="auto"/>
              <w:jc w:val="center"/>
              <w:rPr>
                <w:rFonts w:hint="eastAsia" w:ascii="宋体" w:hAnsi="宋体" w:cs="宋体"/>
                <w:sz w:val="24"/>
              </w:rPr>
            </w:pPr>
          </w:p>
        </w:tc>
        <w:tc>
          <w:tcPr>
            <w:tcW w:w="704" w:type="dxa"/>
            <w:noWrap w:val="0"/>
            <w:vAlign w:val="center"/>
          </w:tcPr>
          <w:p w14:paraId="12F0EE7A">
            <w:pPr>
              <w:spacing w:line="360" w:lineRule="auto"/>
              <w:jc w:val="center"/>
              <w:rPr>
                <w:rFonts w:hint="eastAsia" w:ascii="宋体" w:hAnsi="宋体" w:cs="宋体"/>
                <w:sz w:val="24"/>
              </w:rPr>
            </w:pPr>
          </w:p>
        </w:tc>
        <w:tc>
          <w:tcPr>
            <w:tcW w:w="704" w:type="dxa"/>
            <w:noWrap w:val="0"/>
            <w:vAlign w:val="center"/>
          </w:tcPr>
          <w:p w14:paraId="5EC7426A">
            <w:pPr>
              <w:spacing w:line="360" w:lineRule="auto"/>
              <w:jc w:val="center"/>
              <w:rPr>
                <w:rFonts w:hint="eastAsia" w:ascii="宋体" w:hAnsi="宋体" w:cs="宋体"/>
                <w:sz w:val="24"/>
              </w:rPr>
            </w:pPr>
          </w:p>
        </w:tc>
        <w:tc>
          <w:tcPr>
            <w:tcW w:w="701" w:type="dxa"/>
            <w:noWrap w:val="0"/>
            <w:vAlign w:val="center"/>
          </w:tcPr>
          <w:p w14:paraId="30003452">
            <w:pPr>
              <w:spacing w:line="360" w:lineRule="auto"/>
              <w:jc w:val="center"/>
              <w:rPr>
                <w:rFonts w:hint="eastAsia" w:ascii="宋体" w:hAnsi="宋体" w:cs="宋体"/>
                <w:sz w:val="24"/>
              </w:rPr>
            </w:pPr>
          </w:p>
        </w:tc>
      </w:tr>
      <w:tr w14:paraId="46351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noWrap w:val="0"/>
            <w:vAlign w:val="center"/>
          </w:tcPr>
          <w:p w14:paraId="7B154CA6">
            <w:pPr>
              <w:spacing w:line="360" w:lineRule="auto"/>
              <w:jc w:val="center"/>
              <w:rPr>
                <w:rFonts w:hint="eastAsia" w:ascii="宋体" w:hAnsi="宋体" w:cs="宋体"/>
                <w:sz w:val="24"/>
              </w:rPr>
            </w:pPr>
            <w:r>
              <w:rPr>
                <w:rFonts w:hint="eastAsia" w:ascii="宋体" w:hAnsi="宋体" w:cs="宋体"/>
                <w:sz w:val="24"/>
                <w:highlight w:val="white"/>
              </w:rPr>
              <w:t>5</w:t>
            </w:r>
          </w:p>
        </w:tc>
        <w:tc>
          <w:tcPr>
            <w:tcW w:w="2160" w:type="dxa"/>
            <w:noWrap w:val="0"/>
            <w:vAlign w:val="center"/>
          </w:tcPr>
          <w:p w14:paraId="10511837">
            <w:pPr>
              <w:spacing w:line="360" w:lineRule="auto"/>
              <w:jc w:val="center"/>
              <w:rPr>
                <w:rFonts w:hint="eastAsia" w:ascii="宋体" w:hAnsi="宋体" w:cs="宋体"/>
                <w:sz w:val="24"/>
              </w:rPr>
            </w:pPr>
            <w:r>
              <w:rPr>
                <w:rFonts w:hint="eastAsia" w:ascii="宋体" w:hAnsi="宋体" w:cs="宋体"/>
                <w:sz w:val="24"/>
                <w:highlight w:val="white"/>
              </w:rPr>
              <w:t>报价唯一</w:t>
            </w:r>
          </w:p>
        </w:tc>
        <w:tc>
          <w:tcPr>
            <w:tcW w:w="704" w:type="dxa"/>
            <w:noWrap w:val="0"/>
            <w:vAlign w:val="center"/>
          </w:tcPr>
          <w:p w14:paraId="11CB51DD">
            <w:pPr>
              <w:spacing w:line="360" w:lineRule="auto"/>
              <w:jc w:val="center"/>
              <w:rPr>
                <w:rFonts w:hint="eastAsia" w:ascii="宋体" w:hAnsi="宋体" w:cs="宋体"/>
                <w:sz w:val="24"/>
              </w:rPr>
            </w:pPr>
          </w:p>
        </w:tc>
        <w:tc>
          <w:tcPr>
            <w:tcW w:w="704" w:type="dxa"/>
            <w:noWrap w:val="0"/>
            <w:vAlign w:val="center"/>
          </w:tcPr>
          <w:p w14:paraId="272EE732">
            <w:pPr>
              <w:spacing w:line="360" w:lineRule="auto"/>
              <w:jc w:val="center"/>
              <w:rPr>
                <w:rFonts w:hint="eastAsia" w:ascii="宋体" w:hAnsi="宋体" w:cs="宋体"/>
                <w:sz w:val="24"/>
              </w:rPr>
            </w:pPr>
          </w:p>
        </w:tc>
        <w:tc>
          <w:tcPr>
            <w:tcW w:w="704" w:type="dxa"/>
            <w:noWrap w:val="0"/>
            <w:vAlign w:val="center"/>
          </w:tcPr>
          <w:p w14:paraId="0C23B1F8">
            <w:pPr>
              <w:spacing w:line="360" w:lineRule="auto"/>
              <w:jc w:val="center"/>
              <w:rPr>
                <w:rFonts w:hint="eastAsia" w:ascii="宋体" w:hAnsi="宋体" w:cs="宋体"/>
                <w:sz w:val="24"/>
              </w:rPr>
            </w:pPr>
          </w:p>
        </w:tc>
        <w:tc>
          <w:tcPr>
            <w:tcW w:w="704" w:type="dxa"/>
            <w:noWrap w:val="0"/>
            <w:vAlign w:val="center"/>
          </w:tcPr>
          <w:p w14:paraId="57DB0B41">
            <w:pPr>
              <w:spacing w:line="360" w:lineRule="auto"/>
              <w:jc w:val="center"/>
              <w:rPr>
                <w:rFonts w:hint="eastAsia" w:ascii="宋体" w:hAnsi="宋体" w:cs="宋体"/>
                <w:sz w:val="24"/>
              </w:rPr>
            </w:pPr>
          </w:p>
        </w:tc>
        <w:tc>
          <w:tcPr>
            <w:tcW w:w="704" w:type="dxa"/>
            <w:noWrap w:val="0"/>
            <w:vAlign w:val="center"/>
          </w:tcPr>
          <w:p w14:paraId="492EC472">
            <w:pPr>
              <w:spacing w:line="360" w:lineRule="auto"/>
              <w:jc w:val="center"/>
              <w:rPr>
                <w:rFonts w:hint="eastAsia" w:ascii="宋体" w:hAnsi="宋体" w:cs="宋体"/>
                <w:sz w:val="24"/>
              </w:rPr>
            </w:pPr>
          </w:p>
        </w:tc>
        <w:tc>
          <w:tcPr>
            <w:tcW w:w="704" w:type="dxa"/>
            <w:noWrap w:val="0"/>
            <w:vAlign w:val="center"/>
          </w:tcPr>
          <w:p w14:paraId="3F847BB5">
            <w:pPr>
              <w:spacing w:line="360" w:lineRule="auto"/>
              <w:jc w:val="center"/>
              <w:rPr>
                <w:rFonts w:hint="eastAsia" w:ascii="宋体" w:hAnsi="宋体" w:cs="宋体"/>
                <w:sz w:val="24"/>
              </w:rPr>
            </w:pPr>
          </w:p>
        </w:tc>
        <w:tc>
          <w:tcPr>
            <w:tcW w:w="704" w:type="dxa"/>
            <w:noWrap w:val="0"/>
            <w:vAlign w:val="center"/>
          </w:tcPr>
          <w:p w14:paraId="03ED949E">
            <w:pPr>
              <w:spacing w:line="360" w:lineRule="auto"/>
              <w:jc w:val="center"/>
              <w:rPr>
                <w:rFonts w:hint="eastAsia" w:ascii="宋体" w:hAnsi="宋体" w:cs="宋体"/>
                <w:sz w:val="24"/>
              </w:rPr>
            </w:pPr>
          </w:p>
        </w:tc>
        <w:tc>
          <w:tcPr>
            <w:tcW w:w="704" w:type="dxa"/>
            <w:noWrap w:val="0"/>
            <w:vAlign w:val="center"/>
          </w:tcPr>
          <w:p w14:paraId="5827D3EB">
            <w:pPr>
              <w:spacing w:line="360" w:lineRule="auto"/>
              <w:jc w:val="center"/>
              <w:rPr>
                <w:rFonts w:hint="eastAsia" w:ascii="宋体" w:hAnsi="宋体" w:cs="宋体"/>
                <w:sz w:val="24"/>
              </w:rPr>
            </w:pPr>
          </w:p>
        </w:tc>
        <w:tc>
          <w:tcPr>
            <w:tcW w:w="701" w:type="dxa"/>
            <w:noWrap w:val="0"/>
            <w:vAlign w:val="center"/>
          </w:tcPr>
          <w:p w14:paraId="6C491555">
            <w:pPr>
              <w:spacing w:line="360" w:lineRule="auto"/>
              <w:jc w:val="center"/>
              <w:rPr>
                <w:rFonts w:hint="eastAsia" w:ascii="宋体" w:hAnsi="宋体" w:cs="宋体"/>
                <w:sz w:val="24"/>
              </w:rPr>
            </w:pPr>
          </w:p>
        </w:tc>
      </w:tr>
      <w:tr w14:paraId="5E2F0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55" w:type="dxa"/>
            <w:noWrap w:val="0"/>
            <w:vAlign w:val="center"/>
          </w:tcPr>
          <w:p w14:paraId="2B3C0878">
            <w:pPr>
              <w:spacing w:line="360" w:lineRule="auto"/>
              <w:jc w:val="center"/>
              <w:rPr>
                <w:rFonts w:hint="eastAsia" w:ascii="宋体" w:hAnsi="宋体" w:cs="宋体"/>
                <w:sz w:val="24"/>
              </w:rPr>
            </w:pPr>
            <w:r>
              <w:rPr>
                <w:rFonts w:hint="eastAsia" w:ascii="宋体" w:hAnsi="宋体" w:cs="宋体"/>
                <w:sz w:val="24"/>
                <w:highlight w:val="white"/>
              </w:rPr>
              <w:t>6</w:t>
            </w:r>
          </w:p>
        </w:tc>
        <w:tc>
          <w:tcPr>
            <w:tcW w:w="2160" w:type="dxa"/>
            <w:noWrap w:val="0"/>
            <w:vAlign w:val="center"/>
          </w:tcPr>
          <w:p w14:paraId="570AACE5">
            <w:pPr>
              <w:spacing w:line="360" w:lineRule="auto"/>
              <w:jc w:val="center"/>
              <w:rPr>
                <w:rFonts w:hint="eastAsia" w:ascii="宋体" w:hAnsi="宋体" w:cs="宋体"/>
                <w:sz w:val="24"/>
              </w:rPr>
            </w:pPr>
            <w:r>
              <w:rPr>
                <w:rFonts w:hint="eastAsia" w:ascii="宋体" w:hAnsi="宋体" w:cs="宋体"/>
                <w:sz w:val="24"/>
                <w:highlight w:val="white"/>
              </w:rPr>
              <w:t>……</w:t>
            </w:r>
          </w:p>
        </w:tc>
        <w:tc>
          <w:tcPr>
            <w:tcW w:w="704" w:type="dxa"/>
            <w:noWrap w:val="0"/>
            <w:vAlign w:val="center"/>
          </w:tcPr>
          <w:p w14:paraId="044408FF">
            <w:pPr>
              <w:spacing w:line="360" w:lineRule="auto"/>
              <w:jc w:val="center"/>
              <w:rPr>
                <w:rFonts w:hint="eastAsia" w:ascii="宋体" w:hAnsi="宋体" w:cs="宋体"/>
                <w:sz w:val="24"/>
              </w:rPr>
            </w:pPr>
          </w:p>
        </w:tc>
        <w:tc>
          <w:tcPr>
            <w:tcW w:w="704" w:type="dxa"/>
            <w:noWrap w:val="0"/>
            <w:vAlign w:val="center"/>
          </w:tcPr>
          <w:p w14:paraId="6F55DE96">
            <w:pPr>
              <w:spacing w:line="360" w:lineRule="auto"/>
              <w:jc w:val="center"/>
              <w:rPr>
                <w:rFonts w:hint="eastAsia" w:ascii="宋体" w:hAnsi="宋体" w:cs="宋体"/>
                <w:sz w:val="24"/>
              </w:rPr>
            </w:pPr>
          </w:p>
        </w:tc>
        <w:tc>
          <w:tcPr>
            <w:tcW w:w="704" w:type="dxa"/>
            <w:noWrap w:val="0"/>
            <w:vAlign w:val="center"/>
          </w:tcPr>
          <w:p w14:paraId="4A21274C">
            <w:pPr>
              <w:spacing w:line="360" w:lineRule="auto"/>
              <w:jc w:val="center"/>
              <w:rPr>
                <w:rFonts w:hint="eastAsia" w:ascii="宋体" w:hAnsi="宋体" w:cs="宋体"/>
                <w:sz w:val="24"/>
              </w:rPr>
            </w:pPr>
          </w:p>
        </w:tc>
        <w:tc>
          <w:tcPr>
            <w:tcW w:w="704" w:type="dxa"/>
            <w:noWrap w:val="0"/>
            <w:vAlign w:val="center"/>
          </w:tcPr>
          <w:p w14:paraId="47BA105C">
            <w:pPr>
              <w:spacing w:line="360" w:lineRule="auto"/>
              <w:jc w:val="center"/>
              <w:rPr>
                <w:rFonts w:hint="eastAsia" w:ascii="宋体" w:hAnsi="宋体" w:cs="宋体"/>
                <w:sz w:val="24"/>
              </w:rPr>
            </w:pPr>
          </w:p>
        </w:tc>
        <w:tc>
          <w:tcPr>
            <w:tcW w:w="704" w:type="dxa"/>
            <w:noWrap w:val="0"/>
            <w:vAlign w:val="center"/>
          </w:tcPr>
          <w:p w14:paraId="33E9F27F">
            <w:pPr>
              <w:spacing w:line="360" w:lineRule="auto"/>
              <w:jc w:val="center"/>
              <w:rPr>
                <w:rFonts w:hint="eastAsia" w:ascii="宋体" w:hAnsi="宋体" w:cs="宋体"/>
                <w:sz w:val="24"/>
              </w:rPr>
            </w:pPr>
          </w:p>
        </w:tc>
        <w:tc>
          <w:tcPr>
            <w:tcW w:w="704" w:type="dxa"/>
            <w:noWrap w:val="0"/>
            <w:vAlign w:val="center"/>
          </w:tcPr>
          <w:p w14:paraId="584FE84C">
            <w:pPr>
              <w:spacing w:line="360" w:lineRule="auto"/>
              <w:jc w:val="center"/>
              <w:rPr>
                <w:rFonts w:hint="eastAsia" w:ascii="宋体" w:hAnsi="宋体" w:cs="宋体"/>
                <w:sz w:val="24"/>
              </w:rPr>
            </w:pPr>
          </w:p>
        </w:tc>
        <w:tc>
          <w:tcPr>
            <w:tcW w:w="704" w:type="dxa"/>
            <w:noWrap w:val="0"/>
            <w:vAlign w:val="center"/>
          </w:tcPr>
          <w:p w14:paraId="22BEAAF5">
            <w:pPr>
              <w:spacing w:line="360" w:lineRule="auto"/>
              <w:jc w:val="center"/>
              <w:rPr>
                <w:rFonts w:hint="eastAsia" w:ascii="宋体" w:hAnsi="宋体" w:cs="宋体"/>
                <w:sz w:val="24"/>
              </w:rPr>
            </w:pPr>
          </w:p>
        </w:tc>
        <w:tc>
          <w:tcPr>
            <w:tcW w:w="704" w:type="dxa"/>
            <w:noWrap w:val="0"/>
            <w:vAlign w:val="center"/>
          </w:tcPr>
          <w:p w14:paraId="21AB5741">
            <w:pPr>
              <w:spacing w:line="360" w:lineRule="auto"/>
              <w:jc w:val="center"/>
              <w:rPr>
                <w:rFonts w:hint="eastAsia" w:ascii="宋体" w:hAnsi="宋体" w:cs="宋体"/>
                <w:sz w:val="24"/>
              </w:rPr>
            </w:pPr>
          </w:p>
        </w:tc>
        <w:tc>
          <w:tcPr>
            <w:tcW w:w="701" w:type="dxa"/>
            <w:noWrap w:val="0"/>
            <w:vAlign w:val="center"/>
          </w:tcPr>
          <w:p w14:paraId="00572DF4">
            <w:pPr>
              <w:spacing w:line="360" w:lineRule="auto"/>
              <w:jc w:val="center"/>
              <w:rPr>
                <w:rFonts w:hint="eastAsia" w:ascii="宋体" w:hAnsi="宋体" w:cs="宋体"/>
                <w:sz w:val="24"/>
              </w:rPr>
            </w:pPr>
          </w:p>
        </w:tc>
      </w:tr>
      <w:tr w14:paraId="4196CC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815" w:type="dxa"/>
            <w:gridSpan w:val="2"/>
            <w:noWrap w:val="0"/>
            <w:vAlign w:val="center"/>
          </w:tcPr>
          <w:p w14:paraId="79DC963C">
            <w:pPr>
              <w:spacing w:line="360" w:lineRule="auto"/>
              <w:jc w:val="center"/>
              <w:rPr>
                <w:rFonts w:ascii="宋体" w:hAnsi="宋体" w:cs="宋体"/>
                <w:sz w:val="24"/>
              </w:rPr>
            </w:pPr>
            <w:r>
              <w:rPr>
                <w:rFonts w:hint="eastAsia" w:ascii="宋体" w:hAnsi="宋体"/>
                <w:sz w:val="24"/>
                <w:highlight w:val="white"/>
              </w:rPr>
              <w:t>评审结论：符合/不符合</w:t>
            </w:r>
          </w:p>
        </w:tc>
        <w:tc>
          <w:tcPr>
            <w:tcW w:w="704" w:type="dxa"/>
            <w:noWrap w:val="0"/>
            <w:vAlign w:val="center"/>
          </w:tcPr>
          <w:p w14:paraId="19E17C07">
            <w:pPr>
              <w:spacing w:line="360" w:lineRule="auto"/>
              <w:jc w:val="center"/>
              <w:rPr>
                <w:rFonts w:hint="eastAsia" w:ascii="宋体" w:hAnsi="宋体" w:cs="宋体"/>
                <w:sz w:val="24"/>
              </w:rPr>
            </w:pPr>
          </w:p>
        </w:tc>
        <w:tc>
          <w:tcPr>
            <w:tcW w:w="704" w:type="dxa"/>
            <w:noWrap w:val="0"/>
            <w:vAlign w:val="center"/>
          </w:tcPr>
          <w:p w14:paraId="75BCB783">
            <w:pPr>
              <w:spacing w:line="360" w:lineRule="auto"/>
              <w:jc w:val="center"/>
              <w:rPr>
                <w:rFonts w:hint="eastAsia" w:ascii="宋体" w:hAnsi="宋体" w:cs="宋体"/>
                <w:sz w:val="24"/>
              </w:rPr>
            </w:pPr>
          </w:p>
        </w:tc>
        <w:tc>
          <w:tcPr>
            <w:tcW w:w="704" w:type="dxa"/>
            <w:noWrap w:val="0"/>
            <w:vAlign w:val="center"/>
          </w:tcPr>
          <w:p w14:paraId="75A28ECE">
            <w:pPr>
              <w:spacing w:line="360" w:lineRule="auto"/>
              <w:jc w:val="center"/>
              <w:rPr>
                <w:rFonts w:hint="eastAsia" w:ascii="宋体" w:hAnsi="宋体" w:cs="宋体"/>
                <w:sz w:val="24"/>
              </w:rPr>
            </w:pPr>
          </w:p>
        </w:tc>
        <w:tc>
          <w:tcPr>
            <w:tcW w:w="704" w:type="dxa"/>
            <w:noWrap w:val="0"/>
            <w:vAlign w:val="center"/>
          </w:tcPr>
          <w:p w14:paraId="4140FB6B">
            <w:pPr>
              <w:spacing w:line="360" w:lineRule="auto"/>
              <w:jc w:val="center"/>
              <w:rPr>
                <w:rFonts w:hint="eastAsia" w:ascii="宋体" w:hAnsi="宋体" w:cs="宋体"/>
                <w:sz w:val="24"/>
              </w:rPr>
            </w:pPr>
          </w:p>
        </w:tc>
        <w:tc>
          <w:tcPr>
            <w:tcW w:w="704" w:type="dxa"/>
            <w:noWrap w:val="0"/>
            <w:vAlign w:val="center"/>
          </w:tcPr>
          <w:p w14:paraId="73F04CE6">
            <w:pPr>
              <w:spacing w:line="360" w:lineRule="auto"/>
              <w:jc w:val="center"/>
              <w:rPr>
                <w:rFonts w:hint="eastAsia" w:ascii="宋体" w:hAnsi="宋体" w:cs="宋体"/>
                <w:sz w:val="24"/>
              </w:rPr>
            </w:pPr>
          </w:p>
        </w:tc>
        <w:tc>
          <w:tcPr>
            <w:tcW w:w="704" w:type="dxa"/>
            <w:noWrap w:val="0"/>
            <w:vAlign w:val="center"/>
          </w:tcPr>
          <w:p w14:paraId="59305463">
            <w:pPr>
              <w:spacing w:line="360" w:lineRule="auto"/>
              <w:jc w:val="center"/>
              <w:rPr>
                <w:rFonts w:hint="eastAsia" w:ascii="宋体" w:hAnsi="宋体" w:cs="宋体"/>
                <w:sz w:val="24"/>
              </w:rPr>
            </w:pPr>
          </w:p>
        </w:tc>
        <w:tc>
          <w:tcPr>
            <w:tcW w:w="704" w:type="dxa"/>
            <w:noWrap w:val="0"/>
            <w:vAlign w:val="center"/>
          </w:tcPr>
          <w:p w14:paraId="55765B2C">
            <w:pPr>
              <w:spacing w:line="360" w:lineRule="auto"/>
              <w:jc w:val="center"/>
              <w:rPr>
                <w:rFonts w:hint="eastAsia" w:ascii="宋体" w:hAnsi="宋体" w:cs="宋体"/>
                <w:sz w:val="24"/>
              </w:rPr>
            </w:pPr>
          </w:p>
        </w:tc>
        <w:tc>
          <w:tcPr>
            <w:tcW w:w="704" w:type="dxa"/>
            <w:noWrap w:val="0"/>
            <w:vAlign w:val="center"/>
          </w:tcPr>
          <w:p w14:paraId="412BE094">
            <w:pPr>
              <w:spacing w:line="360" w:lineRule="auto"/>
              <w:jc w:val="center"/>
              <w:rPr>
                <w:rFonts w:hint="eastAsia" w:ascii="宋体" w:hAnsi="宋体" w:cs="宋体"/>
                <w:sz w:val="24"/>
              </w:rPr>
            </w:pPr>
          </w:p>
        </w:tc>
        <w:tc>
          <w:tcPr>
            <w:tcW w:w="701" w:type="dxa"/>
            <w:noWrap w:val="0"/>
            <w:vAlign w:val="center"/>
          </w:tcPr>
          <w:p w14:paraId="7BDF12B0">
            <w:pPr>
              <w:spacing w:line="360" w:lineRule="auto"/>
              <w:jc w:val="center"/>
              <w:rPr>
                <w:rFonts w:hint="eastAsia" w:ascii="宋体" w:hAnsi="宋体" w:cs="宋体"/>
                <w:sz w:val="24"/>
              </w:rPr>
            </w:pPr>
          </w:p>
        </w:tc>
      </w:tr>
    </w:tbl>
    <w:p w14:paraId="0A74864F">
      <w:pPr>
        <w:spacing w:line="360" w:lineRule="auto"/>
        <w:rPr>
          <w:rFonts w:hint="eastAsia" w:ascii="宋体" w:hAnsi="宋体" w:cs="宋体"/>
          <w:sz w:val="24"/>
        </w:rPr>
      </w:pPr>
      <w:r>
        <w:rPr>
          <w:rFonts w:hint="eastAsia" w:ascii="宋体" w:hAnsi="宋体" w:cs="宋体"/>
          <w:sz w:val="24"/>
          <w:highlight w:val="white"/>
        </w:rPr>
        <w:t>评标委员会全体成员签名：</w:t>
      </w:r>
    </w:p>
    <w:p w14:paraId="5CDAFFFE">
      <w:pPr>
        <w:pStyle w:val="3"/>
        <w:rPr>
          <w:rFonts w:hint="eastAsia" w:ascii="宋体" w:hAnsi="宋体" w:eastAsia="宋体"/>
          <w:sz w:val="24"/>
          <w:szCs w:val="24"/>
        </w:rPr>
      </w:pPr>
      <w:r>
        <w:rPr>
          <w:rFonts w:ascii="宋体" w:hAnsi="宋体" w:eastAsia="宋体"/>
          <w:sz w:val="24"/>
          <w:szCs w:val="24"/>
          <w:highlight w:val="white"/>
        </w:rPr>
        <w:br w:type="page"/>
      </w:r>
      <w:bookmarkStart w:id="215" w:name="_Toc256000085"/>
      <w:r>
        <w:rPr>
          <w:rFonts w:hint="eastAsia" w:ascii="宋体" w:hAnsi="宋体" w:eastAsia="宋体"/>
          <w:sz w:val="24"/>
          <w:szCs w:val="24"/>
          <w:highlight w:val="white"/>
        </w:rPr>
        <w:t>附表3：资格评审记录表</w:t>
      </w:r>
      <w:bookmarkEnd w:id="215"/>
    </w:p>
    <w:p w14:paraId="55725C34">
      <w:pPr>
        <w:spacing w:line="360" w:lineRule="auto"/>
        <w:jc w:val="center"/>
        <w:rPr>
          <w:rFonts w:hint="eastAsia" w:ascii="宋体" w:hAnsi="宋体" w:cs="宋体"/>
          <w:b/>
          <w:sz w:val="24"/>
        </w:rPr>
      </w:pPr>
      <w:r>
        <w:rPr>
          <w:rFonts w:hint="eastAsia" w:ascii="宋体" w:hAnsi="宋体" w:cs="宋体"/>
          <w:b/>
          <w:sz w:val="24"/>
          <w:highlight w:val="white"/>
        </w:rPr>
        <w:t>资格评审记录表</w:t>
      </w:r>
    </w:p>
    <w:p w14:paraId="045B850F">
      <w:pPr>
        <w:spacing w:line="360" w:lineRule="auto"/>
        <w:jc w:val="center"/>
        <w:rPr>
          <w:rFonts w:hint="eastAsia" w:ascii="宋体" w:hAnsi="宋体" w:cs="宋体"/>
          <w:b/>
          <w:sz w:val="24"/>
        </w:rPr>
      </w:pPr>
    </w:p>
    <w:p w14:paraId="5D163511">
      <w:pPr>
        <w:spacing w:line="360" w:lineRule="auto"/>
        <w:rPr>
          <w:rFonts w:hint="eastAsia" w:ascii="宋体" w:hAnsi="宋体" w:cs="宋体"/>
          <w:sz w:val="24"/>
        </w:rPr>
      </w:pPr>
      <w:r>
        <w:rPr>
          <w:rFonts w:hint="eastAsia" w:ascii="宋体" w:hAnsi="宋体" w:cs="宋体"/>
          <w:sz w:val="24"/>
          <w:highlight w:val="white"/>
        </w:rPr>
        <w:t>工程名称：______（项目名称）</w:t>
      </w:r>
      <w:r>
        <w:rPr>
          <w:rFonts w:hint="eastAsia" w:ascii="宋体" w:hAnsi="宋体"/>
          <w:sz w:val="24"/>
          <w:highlight w:val="white"/>
        </w:rPr>
        <w:t>设计施工总承包</w:t>
      </w:r>
      <w:r>
        <w:rPr>
          <w:rFonts w:hint="eastAsia" w:ascii="宋体" w:hAnsi="宋体" w:cs="宋体"/>
          <w:sz w:val="24"/>
          <w:highlight w:val="white"/>
        </w:rPr>
        <w:t>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8"/>
        <w:gridCol w:w="1912"/>
        <w:gridCol w:w="722"/>
        <w:gridCol w:w="724"/>
        <w:gridCol w:w="724"/>
        <w:gridCol w:w="724"/>
        <w:gridCol w:w="724"/>
        <w:gridCol w:w="724"/>
        <w:gridCol w:w="724"/>
        <w:gridCol w:w="724"/>
        <w:gridCol w:w="727"/>
      </w:tblGrid>
      <w:tr w14:paraId="35E0F3F0">
        <w:tblPrEx>
          <w:tblCellMar>
            <w:top w:w="0" w:type="dxa"/>
            <w:left w:w="108" w:type="dxa"/>
            <w:bottom w:w="0" w:type="dxa"/>
            <w:right w:w="108" w:type="dxa"/>
          </w:tblCellMar>
        </w:tblPrEx>
        <w:trPr>
          <w:trHeight w:val="57" w:hRule="atLeast"/>
          <w:jc w:val="center"/>
        </w:trPr>
        <w:tc>
          <w:tcPr>
            <w:tcW w:w="708" w:type="dxa"/>
            <w:vMerge w:val="restart"/>
            <w:noWrap w:val="0"/>
            <w:vAlign w:val="center"/>
          </w:tcPr>
          <w:p w14:paraId="64AD064C">
            <w:pPr>
              <w:spacing w:line="360" w:lineRule="auto"/>
              <w:jc w:val="center"/>
              <w:rPr>
                <w:rFonts w:hint="eastAsia" w:ascii="宋体" w:hAnsi="宋体" w:cs="宋体"/>
                <w:sz w:val="24"/>
              </w:rPr>
            </w:pPr>
            <w:r>
              <w:rPr>
                <w:rFonts w:hint="eastAsia" w:ascii="宋体" w:hAnsi="宋体" w:cs="宋体"/>
                <w:sz w:val="24"/>
                <w:highlight w:val="white"/>
              </w:rPr>
              <w:t>序号</w:t>
            </w:r>
          </w:p>
        </w:tc>
        <w:tc>
          <w:tcPr>
            <w:tcW w:w="1912" w:type="dxa"/>
            <w:vMerge w:val="restart"/>
            <w:noWrap w:val="0"/>
            <w:vAlign w:val="center"/>
          </w:tcPr>
          <w:p w14:paraId="347A7304">
            <w:pPr>
              <w:spacing w:line="360" w:lineRule="auto"/>
              <w:jc w:val="center"/>
              <w:rPr>
                <w:rFonts w:hint="eastAsia" w:ascii="宋体" w:hAnsi="宋体" w:cs="宋体"/>
                <w:sz w:val="24"/>
              </w:rPr>
            </w:pPr>
            <w:r>
              <w:rPr>
                <w:rFonts w:hint="eastAsia" w:ascii="宋体" w:hAnsi="宋体" w:cs="宋体"/>
                <w:sz w:val="24"/>
                <w:highlight w:val="white"/>
              </w:rPr>
              <w:t>评审因素</w:t>
            </w:r>
          </w:p>
        </w:tc>
        <w:tc>
          <w:tcPr>
            <w:tcW w:w="6517" w:type="dxa"/>
            <w:gridSpan w:val="9"/>
            <w:noWrap w:val="0"/>
            <w:vAlign w:val="center"/>
          </w:tcPr>
          <w:p w14:paraId="08121A6C">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726D9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vMerge w:val="continue"/>
            <w:noWrap w:val="0"/>
            <w:vAlign w:val="center"/>
          </w:tcPr>
          <w:p w14:paraId="4288987C">
            <w:pPr>
              <w:spacing w:line="360" w:lineRule="auto"/>
              <w:rPr>
                <w:rFonts w:hint="eastAsia" w:ascii="宋体" w:hAnsi="宋体" w:cs="宋体"/>
                <w:sz w:val="24"/>
              </w:rPr>
            </w:pPr>
          </w:p>
        </w:tc>
        <w:tc>
          <w:tcPr>
            <w:tcW w:w="1912" w:type="dxa"/>
            <w:vMerge w:val="continue"/>
            <w:noWrap w:val="0"/>
            <w:vAlign w:val="center"/>
          </w:tcPr>
          <w:p w14:paraId="77C9839F">
            <w:pPr>
              <w:spacing w:line="360" w:lineRule="auto"/>
              <w:rPr>
                <w:rFonts w:hint="eastAsia" w:ascii="宋体" w:hAnsi="宋体" w:cs="宋体"/>
                <w:sz w:val="24"/>
              </w:rPr>
            </w:pPr>
          </w:p>
        </w:tc>
        <w:tc>
          <w:tcPr>
            <w:tcW w:w="722" w:type="dxa"/>
            <w:noWrap w:val="0"/>
            <w:vAlign w:val="center"/>
          </w:tcPr>
          <w:p w14:paraId="5471D030">
            <w:pPr>
              <w:spacing w:line="360" w:lineRule="auto"/>
              <w:jc w:val="center"/>
              <w:rPr>
                <w:rFonts w:hint="eastAsia" w:ascii="宋体" w:hAnsi="宋体" w:cs="宋体"/>
                <w:sz w:val="24"/>
              </w:rPr>
            </w:pPr>
          </w:p>
        </w:tc>
        <w:tc>
          <w:tcPr>
            <w:tcW w:w="724" w:type="dxa"/>
            <w:noWrap w:val="0"/>
            <w:vAlign w:val="center"/>
          </w:tcPr>
          <w:p w14:paraId="3CC22513">
            <w:pPr>
              <w:spacing w:line="360" w:lineRule="auto"/>
              <w:jc w:val="center"/>
              <w:rPr>
                <w:rFonts w:hint="eastAsia" w:ascii="宋体" w:hAnsi="宋体" w:cs="宋体"/>
                <w:sz w:val="24"/>
              </w:rPr>
            </w:pPr>
          </w:p>
        </w:tc>
        <w:tc>
          <w:tcPr>
            <w:tcW w:w="724" w:type="dxa"/>
            <w:noWrap w:val="0"/>
            <w:vAlign w:val="center"/>
          </w:tcPr>
          <w:p w14:paraId="300219C8">
            <w:pPr>
              <w:spacing w:line="360" w:lineRule="auto"/>
              <w:jc w:val="center"/>
              <w:rPr>
                <w:rFonts w:hint="eastAsia" w:ascii="宋体" w:hAnsi="宋体" w:cs="宋体"/>
                <w:sz w:val="24"/>
              </w:rPr>
            </w:pPr>
          </w:p>
        </w:tc>
        <w:tc>
          <w:tcPr>
            <w:tcW w:w="724" w:type="dxa"/>
            <w:noWrap w:val="0"/>
            <w:vAlign w:val="center"/>
          </w:tcPr>
          <w:p w14:paraId="156E523E">
            <w:pPr>
              <w:spacing w:line="360" w:lineRule="auto"/>
              <w:jc w:val="center"/>
              <w:rPr>
                <w:rFonts w:hint="eastAsia" w:ascii="宋体" w:hAnsi="宋体" w:cs="宋体"/>
                <w:sz w:val="24"/>
              </w:rPr>
            </w:pPr>
          </w:p>
        </w:tc>
        <w:tc>
          <w:tcPr>
            <w:tcW w:w="724" w:type="dxa"/>
            <w:noWrap w:val="0"/>
            <w:vAlign w:val="center"/>
          </w:tcPr>
          <w:p w14:paraId="7E68614A">
            <w:pPr>
              <w:spacing w:line="360" w:lineRule="auto"/>
              <w:jc w:val="center"/>
              <w:rPr>
                <w:rFonts w:hint="eastAsia" w:ascii="宋体" w:hAnsi="宋体" w:cs="宋体"/>
                <w:sz w:val="24"/>
              </w:rPr>
            </w:pPr>
          </w:p>
        </w:tc>
        <w:tc>
          <w:tcPr>
            <w:tcW w:w="724" w:type="dxa"/>
            <w:noWrap w:val="0"/>
            <w:vAlign w:val="center"/>
          </w:tcPr>
          <w:p w14:paraId="18B2E44A">
            <w:pPr>
              <w:spacing w:line="360" w:lineRule="auto"/>
              <w:jc w:val="center"/>
              <w:rPr>
                <w:rFonts w:hint="eastAsia" w:ascii="宋体" w:hAnsi="宋体" w:cs="宋体"/>
                <w:sz w:val="24"/>
              </w:rPr>
            </w:pPr>
          </w:p>
        </w:tc>
        <w:tc>
          <w:tcPr>
            <w:tcW w:w="724" w:type="dxa"/>
            <w:noWrap w:val="0"/>
            <w:vAlign w:val="center"/>
          </w:tcPr>
          <w:p w14:paraId="00C35DC1">
            <w:pPr>
              <w:spacing w:line="360" w:lineRule="auto"/>
              <w:jc w:val="center"/>
              <w:rPr>
                <w:rFonts w:hint="eastAsia" w:ascii="宋体" w:hAnsi="宋体" w:cs="宋体"/>
                <w:sz w:val="24"/>
              </w:rPr>
            </w:pPr>
          </w:p>
        </w:tc>
        <w:tc>
          <w:tcPr>
            <w:tcW w:w="724" w:type="dxa"/>
            <w:noWrap w:val="0"/>
            <w:vAlign w:val="center"/>
          </w:tcPr>
          <w:p w14:paraId="2DDD59A5">
            <w:pPr>
              <w:spacing w:line="360" w:lineRule="auto"/>
              <w:jc w:val="center"/>
              <w:rPr>
                <w:rFonts w:hint="eastAsia" w:ascii="宋体" w:hAnsi="宋体" w:cs="宋体"/>
                <w:sz w:val="24"/>
              </w:rPr>
            </w:pPr>
          </w:p>
        </w:tc>
        <w:tc>
          <w:tcPr>
            <w:tcW w:w="727" w:type="dxa"/>
            <w:noWrap w:val="0"/>
            <w:vAlign w:val="center"/>
          </w:tcPr>
          <w:p w14:paraId="7E390A33">
            <w:pPr>
              <w:spacing w:line="360" w:lineRule="auto"/>
              <w:jc w:val="center"/>
              <w:rPr>
                <w:rFonts w:hint="eastAsia" w:ascii="宋体" w:hAnsi="宋体" w:cs="宋体"/>
                <w:sz w:val="24"/>
              </w:rPr>
            </w:pPr>
          </w:p>
        </w:tc>
      </w:tr>
      <w:tr w14:paraId="7EA0C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46740856">
            <w:pPr>
              <w:spacing w:line="360" w:lineRule="auto"/>
              <w:jc w:val="center"/>
              <w:rPr>
                <w:rFonts w:hint="eastAsia" w:ascii="宋体" w:hAnsi="宋体" w:cs="宋体"/>
                <w:sz w:val="24"/>
              </w:rPr>
            </w:pPr>
            <w:r>
              <w:rPr>
                <w:rFonts w:hint="eastAsia" w:ascii="宋体" w:hAnsi="宋体" w:cs="宋体"/>
                <w:sz w:val="24"/>
                <w:highlight w:val="white"/>
              </w:rPr>
              <w:t>1</w:t>
            </w:r>
          </w:p>
        </w:tc>
        <w:tc>
          <w:tcPr>
            <w:tcW w:w="1912" w:type="dxa"/>
            <w:noWrap w:val="0"/>
            <w:vAlign w:val="center"/>
          </w:tcPr>
          <w:p w14:paraId="11669DDF">
            <w:pPr>
              <w:spacing w:line="360" w:lineRule="auto"/>
              <w:jc w:val="center"/>
              <w:rPr>
                <w:rFonts w:hint="eastAsia" w:ascii="宋体" w:hAnsi="宋体" w:cs="宋体"/>
                <w:sz w:val="24"/>
              </w:rPr>
            </w:pPr>
            <w:r>
              <w:rPr>
                <w:rFonts w:hint="eastAsia" w:ascii="宋体" w:hAnsi="宋体" w:cs="宋体"/>
                <w:sz w:val="24"/>
                <w:highlight w:val="white"/>
              </w:rPr>
              <w:t>营业执照</w:t>
            </w:r>
          </w:p>
        </w:tc>
        <w:tc>
          <w:tcPr>
            <w:tcW w:w="722" w:type="dxa"/>
            <w:noWrap w:val="0"/>
            <w:vAlign w:val="center"/>
          </w:tcPr>
          <w:p w14:paraId="05F7FEA7">
            <w:pPr>
              <w:spacing w:line="360" w:lineRule="auto"/>
              <w:jc w:val="center"/>
              <w:rPr>
                <w:rFonts w:hint="eastAsia" w:ascii="宋体" w:hAnsi="宋体" w:cs="宋体"/>
                <w:sz w:val="24"/>
              </w:rPr>
            </w:pPr>
          </w:p>
        </w:tc>
        <w:tc>
          <w:tcPr>
            <w:tcW w:w="724" w:type="dxa"/>
            <w:noWrap w:val="0"/>
            <w:vAlign w:val="center"/>
          </w:tcPr>
          <w:p w14:paraId="10DE3E65">
            <w:pPr>
              <w:spacing w:line="360" w:lineRule="auto"/>
              <w:jc w:val="center"/>
              <w:rPr>
                <w:rFonts w:hint="eastAsia" w:ascii="宋体" w:hAnsi="宋体" w:cs="宋体"/>
                <w:sz w:val="24"/>
              </w:rPr>
            </w:pPr>
          </w:p>
        </w:tc>
        <w:tc>
          <w:tcPr>
            <w:tcW w:w="724" w:type="dxa"/>
            <w:noWrap w:val="0"/>
            <w:vAlign w:val="center"/>
          </w:tcPr>
          <w:p w14:paraId="029C2341">
            <w:pPr>
              <w:spacing w:line="360" w:lineRule="auto"/>
              <w:jc w:val="center"/>
              <w:rPr>
                <w:rFonts w:hint="eastAsia" w:ascii="宋体" w:hAnsi="宋体" w:cs="宋体"/>
                <w:sz w:val="24"/>
              </w:rPr>
            </w:pPr>
          </w:p>
        </w:tc>
        <w:tc>
          <w:tcPr>
            <w:tcW w:w="724" w:type="dxa"/>
            <w:noWrap w:val="0"/>
            <w:vAlign w:val="center"/>
          </w:tcPr>
          <w:p w14:paraId="49D87FD6">
            <w:pPr>
              <w:spacing w:line="360" w:lineRule="auto"/>
              <w:jc w:val="center"/>
              <w:rPr>
                <w:rFonts w:hint="eastAsia" w:ascii="宋体" w:hAnsi="宋体" w:cs="宋体"/>
                <w:sz w:val="24"/>
              </w:rPr>
            </w:pPr>
          </w:p>
        </w:tc>
        <w:tc>
          <w:tcPr>
            <w:tcW w:w="724" w:type="dxa"/>
            <w:noWrap w:val="0"/>
            <w:vAlign w:val="center"/>
          </w:tcPr>
          <w:p w14:paraId="4F770EE1">
            <w:pPr>
              <w:spacing w:line="360" w:lineRule="auto"/>
              <w:jc w:val="center"/>
              <w:rPr>
                <w:rFonts w:hint="eastAsia" w:ascii="宋体" w:hAnsi="宋体" w:cs="宋体"/>
                <w:sz w:val="24"/>
              </w:rPr>
            </w:pPr>
          </w:p>
        </w:tc>
        <w:tc>
          <w:tcPr>
            <w:tcW w:w="724" w:type="dxa"/>
            <w:noWrap w:val="0"/>
            <w:vAlign w:val="center"/>
          </w:tcPr>
          <w:p w14:paraId="281C00E9">
            <w:pPr>
              <w:spacing w:line="360" w:lineRule="auto"/>
              <w:jc w:val="center"/>
              <w:rPr>
                <w:rFonts w:hint="eastAsia" w:ascii="宋体" w:hAnsi="宋体" w:cs="宋体"/>
                <w:sz w:val="24"/>
              </w:rPr>
            </w:pPr>
          </w:p>
        </w:tc>
        <w:tc>
          <w:tcPr>
            <w:tcW w:w="724" w:type="dxa"/>
            <w:noWrap w:val="0"/>
            <w:vAlign w:val="center"/>
          </w:tcPr>
          <w:p w14:paraId="1FE68167">
            <w:pPr>
              <w:spacing w:line="360" w:lineRule="auto"/>
              <w:jc w:val="center"/>
              <w:rPr>
                <w:rFonts w:hint="eastAsia" w:ascii="宋体" w:hAnsi="宋体" w:cs="宋体"/>
                <w:sz w:val="24"/>
              </w:rPr>
            </w:pPr>
          </w:p>
        </w:tc>
        <w:tc>
          <w:tcPr>
            <w:tcW w:w="724" w:type="dxa"/>
            <w:noWrap w:val="0"/>
            <w:vAlign w:val="center"/>
          </w:tcPr>
          <w:p w14:paraId="767971CD">
            <w:pPr>
              <w:spacing w:line="360" w:lineRule="auto"/>
              <w:jc w:val="center"/>
              <w:rPr>
                <w:rFonts w:hint="eastAsia" w:ascii="宋体" w:hAnsi="宋体" w:cs="宋体"/>
                <w:sz w:val="24"/>
              </w:rPr>
            </w:pPr>
          </w:p>
        </w:tc>
        <w:tc>
          <w:tcPr>
            <w:tcW w:w="727" w:type="dxa"/>
            <w:noWrap w:val="0"/>
            <w:vAlign w:val="center"/>
          </w:tcPr>
          <w:p w14:paraId="36BDB374">
            <w:pPr>
              <w:spacing w:line="360" w:lineRule="auto"/>
              <w:jc w:val="center"/>
              <w:rPr>
                <w:rFonts w:hint="eastAsia" w:ascii="宋体" w:hAnsi="宋体" w:cs="宋体"/>
                <w:sz w:val="24"/>
              </w:rPr>
            </w:pPr>
          </w:p>
        </w:tc>
      </w:tr>
      <w:tr w14:paraId="2AEFF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01080FDB">
            <w:pPr>
              <w:spacing w:line="360" w:lineRule="auto"/>
              <w:jc w:val="center"/>
              <w:rPr>
                <w:rFonts w:hint="eastAsia" w:ascii="宋体" w:hAnsi="宋体" w:cs="宋体"/>
                <w:sz w:val="24"/>
              </w:rPr>
            </w:pPr>
            <w:r>
              <w:rPr>
                <w:rFonts w:hint="eastAsia" w:ascii="宋体" w:hAnsi="宋体" w:cs="宋体"/>
                <w:sz w:val="24"/>
                <w:highlight w:val="white"/>
              </w:rPr>
              <w:t>2</w:t>
            </w:r>
          </w:p>
        </w:tc>
        <w:tc>
          <w:tcPr>
            <w:tcW w:w="1912" w:type="dxa"/>
            <w:noWrap w:val="0"/>
            <w:vAlign w:val="bottom"/>
          </w:tcPr>
          <w:p w14:paraId="0DB59BCF">
            <w:pPr>
              <w:spacing w:line="360" w:lineRule="auto"/>
              <w:jc w:val="center"/>
              <w:rPr>
                <w:rFonts w:hint="eastAsia" w:ascii="宋体" w:hAnsi="宋体" w:cs="宋体"/>
                <w:sz w:val="24"/>
              </w:rPr>
            </w:pPr>
            <w:r>
              <w:rPr>
                <w:rFonts w:hint="eastAsia" w:ascii="宋体" w:hAnsi="宋体" w:cs="宋体"/>
                <w:sz w:val="24"/>
                <w:highlight w:val="white"/>
              </w:rPr>
              <w:t>资质等级</w:t>
            </w:r>
          </w:p>
        </w:tc>
        <w:tc>
          <w:tcPr>
            <w:tcW w:w="722" w:type="dxa"/>
            <w:noWrap w:val="0"/>
            <w:vAlign w:val="center"/>
          </w:tcPr>
          <w:p w14:paraId="5FB71089">
            <w:pPr>
              <w:spacing w:line="360" w:lineRule="auto"/>
              <w:jc w:val="center"/>
              <w:rPr>
                <w:rFonts w:hint="eastAsia" w:ascii="宋体" w:hAnsi="宋体" w:cs="宋体"/>
                <w:sz w:val="24"/>
              </w:rPr>
            </w:pPr>
          </w:p>
        </w:tc>
        <w:tc>
          <w:tcPr>
            <w:tcW w:w="724" w:type="dxa"/>
            <w:noWrap w:val="0"/>
            <w:vAlign w:val="center"/>
          </w:tcPr>
          <w:p w14:paraId="18057894">
            <w:pPr>
              <w:spacing w:line="360" w:lineRule="auto"/>
              <w:jc w:val="center"/>
              <w:rPr>
                <w:rFonts w:hint="eastAsia" w:ascii="宋体" w:hAnsi="宋体" w:cs="宋体"/>
                <w:sz w:val="24"/>
              </w:rPr>
            </w:pPr>
          </w:p>
        </w:tc>
        <w:tc>
          <w:tcPr>
            <w:tcW w:w="724" w:type="dxa"/>
            <w:noWrap w:val="0"/>
            <w:vAlign w:val="center"/>
          </w:tcPr>
          <w:p w14:paraId="0BB9B49A">
            <w:pPr>
              <w:spacing w:line="360" w:lineRule="auto"/>
              <w:jc w:val="center"/>
              <w:rPr>
                <w:rFonts w:hint="eastAsia" w:ascii="宋体" w:hAnsi="宋体" w:cs="宋体"/>
                <w:sz w:val="24"/>
              </w:rPr>
            </w:pPr>
          </w:p>
        </w:tc>
        <w:tc>
          <w:tcPr>
            <w:tcW w:w="724" w:type="dxa"/>
            <w:noWrap w:val="0"/>
            <w:vAlign w:val="center"/>
          </w:tcPr>
          <w:p w14:paraId="15DD1CAF">
            <w:pPr>
              <w:spacing w:line="360" w:lineRule="auto"/>
              <w:jc w:val="center"/>
              <w:rPr>
                <w:rFonts w:hint="eastAsia" w:ascii="宋体" w:hAnsi="宋体" w:cs="宋体"/>
                <w:sz w:val="24"/>
              </w:rPr>
            </w:pPr>
          </w:p>
        </w:tc>
        <w:tc>
          <w:tcPr>
            <w:tcW w:w="724" w:type="dxa"/>
            <w:noWrap w:val="0"/>
            <w:vAlign w:val="center"/>
          </w:tcPr>
          <w:p w14:paraId="421ADFAB">
            <w:pPr>
              <w:spacing w:line="360" w:lineRule="auto"/>
              <w:jc w:val="center"/>
              <w:rPr>
                <w:rFonts w:hint="eastAsia" w:ascii="宋体" w:hAnsi="宋体" w:cs="宋体"/>
                <w:sz w:val="24"/>
              </w:rPr>
            </w:pPr>
          </w:p>
        </w:tc>
        <w:tc>
          <w:tcPr>
            <w:tcW w:w="724" w:type="dxa"/>
            <w:noWrap w:val="0"/>
            <w:vAlign w:val="center"/>
          </w:tcPr>
          <w:p w14:paraId="30E79C06">
            <w:pPr>
              <w:spacing w:line="360" w:lineRule="auto"/>
              <w:jc w:val="center"/>
              <w:rPr>
                <w:rFonts w:hint="eastAsia" w:ascii="宋体" w:hAnsi="宋体" w:cs="宋体"/>
                <w:sz w:val="24"/>
              </w:rPr>
            </w:pPr>
          </w:p>
        </w:tc>
        <w:tc>
          <w:tcPr>
            <w:tcW w:w="724" w:type="dxa"/>
            <w:noWrap w:val="0"/>
            <w:vAlign w:val="center"/>
          </w:tcPr>
          <w:p w14:paraId="3B654B69">
            <w:pPr>
              <w:spacing w:line="360" w:lineRule="auto"/>
              <w:jc w:val="center"/>
              <w:rPr>
                <w:rFonts w:hint="eastAsia" w:ascii="宋体" w:hAnsi="宋体" w:cs="宋体"/>
                <w:sz w:val="24"/>
              </w:rPr>
            </w:pPr>
          </w:p>
        </w:tc>
        <w:tc>
          <w:tcPr>
            <w:tcW w:w="724" w:type="dxa"/>
            <w:noWrap w:val="0"/>
            <w:vAlign w:val="center"/>
          </w:tcPr>
          <w:p w14:paraId="31CF012B">
            <w:pPr>
              <w:spacing w:line="360" w:lineRule="auto"/>
              <w:jc w:val="center"/>
              <w:rPr>
                <w:rFonts w:hint="eastAsia" w:ascii="宋体" w:hAnsi="宋体" w:cs="宋体"/>
                <w:sz w:val="24"/>
              </w:rPr>
            </w:pPr>
          </w:p>
        </w:tc>
        <w:tc>
          <w:tcPr>
            <w:tcW w:w="727" w:type="dxa"/>
            <w:noWrap w:val="0"/>
            <w:vAlign w:val="center"/>
          </w:tcPr>
          <w:p w14:paraId="32B20D61">
            <w:pPr>
              <w:spacing w:line="360" w:lineRule="auto"/>
              <w:jc w:val="center"/>
              <w:rPr>
                <w:rFonts w:hint="eastAsia" w:ascii="宋体" w:hAnsi="宋体" w:cs="宋体"/>
                <w:sz w:val="24"/>
              </w:rPr>
            </w:pPr>
          </w:p>
        </w:tc>
      </w:tr>
      <w:tr w14:paraId="46F6E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3C99E05A">
            <w:pPr>
              <w:spacing w:line="360" w:lineRule="auto"/>
              <w:jc w:val="center"/>
              <w:rPr>
                <w:rFonts w:hint="eastAsia" w:ascii="宋体" w:hAnsi="宋体" w:cs="宋体"/>
                <w:sz w:val="24"/>
              </w:rPr>
            </w:pPr>
            <w:r>
              <w:rPr>
                <w:rFonts w:hint="eastAsia" w:ascii="宋体" w:hAnsi="宋体" w:cs="宋体"/>
                <w:sz w:val="24"/>
                <w:highlight w:val="white"/>
              </w:rPr>
              <w:t>3</w:t>
            </w:r>
          </w:p>
        </w:tc>
        <w:tc>
          <w:tcPr>
            <w:tcW w:w="1912" w:type="dxa"/>
            <w:noWrap w:val="0"/>
            <w:vAlign w:val="bottom"/>
          </w:tcPr>
          <w:p w14:paraId="6A3CE8C7">
            <w:pPr>
              <w:spacing w:line="360" w:lineRule="auto"/>
              <w:jc w:val="center"/>
              <w:rPr>
                <w:rFonts w:hint="eastAsia" w:ascii="宋体" w:hAnsi="宋体" w:cs="宋体"/>
                <w:sz w:val="24"/>
              </w:rPr>
            </w:pPr>
            <w:r>
              <w:rPr>
                <w:rFonts w:hint="eastAsia" w:ascii="宋体" w:hAnsi="宋体" w:cs="宋体"/>
                <w:sz w:val="24"/>
                <w:highlight w:val="white"/>
              </w:rPr>
              <w:t>财务状况</w:t>
            </w:r>
          </w:p>
        </w:tc>
        <w:tc>
          <w:tcPr>
            <w:tcW w:w="722" w:type="dxa"/>
            <w:noWrap w:val="0"/>
            <w:vAlign w:val="center"/>
          </w:tcPr>
          <w:p w14:paraId="289C2DC2">
            <w:pPr>
              <w:spacing w:line="360" w:lineRule="auto"/>
              <w:jc w:val="center"/>
              <w:rPr>
                <w:rFonts w:hint="eastAsia" w:ascii="宋体" w:hAnsi="宋体" w:cs="宋体"/>
                <w:sz w:val="24"/>
              </w:rPr>
            </w:pPr>
          </w:p>
        </w:tc>
        <w:tc>
          <w:tcPr>
            <w:tcW w:w="724" w:type="dxa"/>
            <w:noWrap w:val="0"/>
            <w:vAlign w:val="center"/>
          </w:tcPr>
          <w:p w14:paraId="0F40FA33">
            <w:pPr>
              <w:spacing w:line="360" w:lineRule="auto"/>
              <w:jc w:val="center"/>
              <w:rPr>
                <w:rFonts w:hint="eastAsia" w:ascii="宋体" w:hAnsi="宋体" w:cs="宋体"/>
                <w:sz w:val="24"/>
              </w:rPr>
            </w:pPr>
          </w:p>
        </w:tc>
        <w:tc>
          <w:tcPr>
            <w:tcW w:w="724" w:type="dxa"/>
            <w:noWrap w:val="0"/>
            <w:vAlign w:val="center"/>
          </w:tcPr>
          <w:p w14:paraId="2DEFCA5A">
            <w:pPr>
              <w:spacing w:line="360" w:lineRule="auto"/>
              <w:jc w:val="center"/>
              <w:rPr>
                <w:rFonts w:hint="eastAsia" w:ascii="宋体" w:hAnsi="宋体" w:cs="宋体"/>
                <w:sz w:val="24"/>
              </w:rPr>
            </w:pPr>
          </w:p>
        </w:tc>
        <w:tc>
          <w:tcPr>
            <w:tcW w:w="724" w:type="dxa"/>
            <w:noWrap w:val="0"/>
            <w:vAlign w:val="center"/>
          </w:tcPr>
          <w:p w14:paraId="29D06C77">
            <w:pPr>
              <w:spacing w:line="360" w:lineRule="auto"/>
              <w:jc w:val="center"/>
              <w:rPr>
                <w:rFonts w:hint="eastAsia" w:ascii="宋体" w:hAnsi="宋体" w:cs="宋体"/>
                <w:sz w:val="24"/>
              </w:rPr>
            </w:pPr>
          </w:p>
        </w:tc>
        <w:tc>
          <w:tcPr>
            <w:tcW w:w="724" w:type="dxa"/>
            <w:noWrap w:val="0"/>
            <w:vAlign w:val="center"/>
          </w:tcPr>
          <w:p w14:paraId="2235CC77">
            <w:pPr>
              <w:spacing w:line="360" w:lineRule="auto"/>
              <w:jc w:val="center"/>
              <w:rPr>
                <w:rFonts w:hint="eastAsia" w:ascii="宋体" w:hAnsi="宋体" w:cs="宋体"/>
                <w:sz w:val="24"/>
              </w:rPr>
            </w:pPr>
          </w:p>
        </w:tc>
        <w:tc>
          <w:tcPr>
            <w:tcW w:w="724" w:type="dxa"/>
            <w:noWrap w:val="0"/>
            <w:vAlign w:val="center"/>
          </w:tcPr>
          <w:p w14:paraId="47B72DEF">
            <w:pPr>
              <w:spacing w:line="360" w:lineRule="auto"/>
              <w:jc w:val="center"/>
              <w:rPr>
                <w:rFonts w:hint="eastAsia" w:ascii="宋体" w:hAnsi="宋体" w:cs="宋体"/>
                <w:sz w:val="24"/>
              </w:rPr>
            </w:pPr>
          </w:p>
        </w:tc>
        <w:tc>
          <w:tcPr>
            <w:tcW w:w="724" w:type="dxa"/>
            <w:noWrap w:val="0"/>
            <w:vAlign w:val="center"/>
          </w:tcPr>
          <w:p w14:paraId="65DE3B10">
            <w:pPr>
              <w:spacing w:line="360" w:lineRule="auto"/>
              <w:jc w:val="center"/>
              <w:rPr>
                <w:rFonts w:hint="eastAsia" w:ascii="宋体" w:hAnsi="宋体" w:cs="宋体"/>
                <w:sz w:val="24"/>
              </w:rPr>
            </w:pPr>
          </w:p>
        </w:tc>
        <w:tc>
          <w:tcPr>
            <w:tcW w:w="724" w:type="dxa"/>
            <w:noWrap w:val="0"/>
            <w:vAlign w:val="center"/>
          </w:tcPr>
          <w:p w14:paraId="208808AB">
            <w:pPr>
              <w:spacing w:line="360" w:lineRule="auto"/>
              <w:jc w:val="center"/>
              <w:rPr>
                <w:rFonts w:hint="eastAsia" w:ascii="宋体" w:hAnsi="宋体" w:cs="宋体"/>
                <w:sz w:val="24"/>
              </w:rPr>
            </w:pPr>
          </w:p>
        </w:tc>
        <w:tc>
          <w:tcPr>
            <w:tcW w:w="727" w:type="dxa"/>
            <w:noWrap w:val="0"/>
            <w:vAlign w:val="center"/>
          </w:tcPr>
          <w:p w14:paraId="77F06023">
            <w:pPr>
              <w:spacing w:line="360" w:lineRule="auto"/>
              <w:jc w:val="center"/>
              <w:rPr>
                <w:rFonts w:hint="eastAsia" w:ascii="宋体" w:hAnsi="宋体" w:cs="宋体"/>
                <w:sz w:val="24"/>
              </w:rPr>
            </w:pPr>
          </w:p>
        </w:tc>
      </w:tr>
      <w:tr w14:paraId="61EA6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283218A4">
            <w:pPr>
              <w:spacing w:line="360" w:lineRule="auto"/>
              <w:jc w:val="center"/>
              <w:rPr>
                <w:rFonts w:hint="eastAsia" w:ascii="宋体" w:hAnsi="宋体" w:cs="宋体"/>
                <w:sz w:val="24"/>
              </w:rPr>
            </w:pPr>
            <w:r>
              <w:rPr>
                <w:rFonts w:hint="eastAsia" w:ascii="宋体" w:hAnsi="宋体" w:cs="宋体"/>
                <w:sz w:val="24"/>
                <w:highlight w:val="white"/>
              </w:rPr>
              <w:t>4</w:t>
            </w:r>
          </w:p>
        </w:tc>
        <w:tc>
          <w:tcPr>
            <w:tcW w:w="1912" w:type="dxa"/>
            <w:noWrap w:val="0"/>
            <w:vAlign w:val="bottom"/>
          </w:tcPr>
          <w:p w14:paraId="1A71602D">
            <w:pPr>
              <w:spacing w:line="360" w:lineRule="auto"/>
              <w:jc w:val="center"/>
              <w:rPr>
                <w:rFonts w:hint="eastAsia" w:ascii="宋体" w:hAnsi="宋体" w:cs="宋体"/>
                <w:sz w:val="24"/>
              </w:rPr>
            </w:pPr>
            <w:r>
              <w:rPr>
                <w:rFonts w:hint="eastAsia" w:ascii="宋体" w:hAnsi="宋体" w:cs="宋体"/>
                <w:sz w:val="24"/>
                <w:highlight w:val="white"/>
              </w:rPr>
              <w:t>类似项目业绩</w:t>
            </w:r>
          </w:p>
        </w:tc>
        <w:tc>
          <w:tcPr>
            <w:tcW w:w="722" w:type="dxa"/>
            <w:noWrap w:val="0"/>
            <w:vAlign w:val="center"/>
          </w:tcPr>
          <w:p w14:paraId="218030D5">
            <w:pPr>
              <w:spacing w:line="360" w:lineRule="auto"/>
              <w:jc w:val="center"/>
              <w:rPr>
                <w:rFonts w:hint="eastAsia" w:ascii="宋体" w:hAnsi="宋体" w:cs="宋体"/>
                <w:sz w:val="24"/>
              </w:rPr>
            </w:pPr>
          </w:p>
        </w:tc>
        <w:tc>
          <w:tcPr>
            <w:tcW w:w="724" w:type="dxa"/>
            <w:noWrap w:val="0"/>
            <w:vAlign w:val="center"/>
          </w:tcPr>
          <w:p w14:paraId="2E0A6E62">
            <w:pPr>
              <w:spacing w:line="360" w:lineRule="auto"/>
              <w:jc w:val="center"/>
              <w:rPr>
                <w:rFonts w:hint="eastAsia" w:ascii="宋体" w:hAnsi="宋体" w:cs="宋体"/>
                <w:sz w:val="24"/>
              </w:rPr>
            </w:pPr>
          </w:p>
        </w:tc>
        <w:tc>
          <w:tcPr>
            <w:tcW w:w="724" w:type="dxa"/>
            <w:noWrap w:val="0"/>
            <w:vAlign w:val="center"/>
          </w:tcPr>
          <w:p w14:paraId="2E43247B">
            <w:pPr>
              <w:spacing w:line="360" w:lineRule="auto"/>
              <w:jc w:val="center"/>
              <w:rPr>
                <w:rFonts w:hint="eastAsia" w:ascii="宋体" w:hAnsi="宋体" w:cs="宋体"/>
                <w:sz w:val="24"/>
              </w:rPr>
            </w:pPr>
          </w:p>
        </w:tc>
        <w:tc>
          <w:tcPr>
            <w:tcW w:w="724" w:type="dxa"/>
            <w:noWrap w:val="0"/>
            <w:vAlign w:val="center"/>
          </w:tcPr>
          <w:p w14:paraId="04752A01">
            <w:pPr>
              <w:spacing w:line="360" w:lineRule="auto"/>
              <w:jc w:val="center"/>
              <w:rPr>
                <w:rFonts w:hint="eastAsia" w:ascii="宋体" w:hAnsi="宋体" w:cs="宋体"/>
                <w:sz w:val="24"/>
              </w:rPr>
            </w:pPr>
          </w:p>
        </w:tc>
        <w:tc>
          <w:tcPr>
            <w:tcW w:w="724" w:type="dxa"/>
            <w:noWrap w:val="0"/>
            <w:vAlign w:val="center"/>
          </w:tcPr>
          <w:p w14:paraId="360CEE4F">
            <w:pPr>
              <w:spacing w:line="360" w:lineRule="auto"/>
              <w:jc w:val="center"/>
              <w:rPr>
                <w:rFonts w:hint="eastAsia" w:ascii="宋体" w:hAnsi="宋体" w:cs="宋体"/>
                <w:sz w:val="24"/>
              </w:rPr>
            </w:pPr>
          </w:p>
        </w:tc>
        <w:tc>
          <w:tcPr>
            <w:tcW w:w="724" w:type="dxa"/>
            <w:noWrap w:val="0"/>
            <w:vAlign w:val="center"/>
          </w:tcPr>
          <w:p w14:paraId="55501C14">
            <w:pPr>
              <w:spacing w:line="360" w:lineRule="auto"/>
              <w:jc w:val="center"/>
              <w:rPr>
                <w:rFonts w:hint="eastAsia" w:ascii="宋体" w:hAnsi="宋体" w:cs="宋体"/>
                <w:sz w:val="24"/>
              </w:rPr>
            </w:pPr>
          </w:p>
        </w:tc>
        <w:tc>
          <w:tcPr>
            <w:tcW w:w="724" w:type="dxa"/>
            <w:noWrap w:val="0"/>
            <w:vAlign w:val="center"/>
          </w:tcPr>
          <w:p w14:paraId="2F8A266C">
            <w:pPr>
              <w:spacing w:line="360" w:lineRule="auto"/>
              <w:jc w:val="center"/>
              <w:rPr>
                <w:rFonts w:hint="eastAsia" w:ascii="宋体" w:hAnsi="宋体" w:cs="宋体"/>
                <w:sz w:val="24"/>
              </w:rPr>
            </w:pPr>
          </w:p>
        </w:tc>
        <w:tc>
          <w:tcPr>
            <w:tcW w:w="724" w:type="dxa"/>
            <w:noWrap w:val="0"/>
            <w:vAlign w:val="center"/>
          </w:tcPr>
          <w:p w14:paraId="4DD3F570">
            <w:pPr>
              <w:spacing w:line="360" w:lineRule="auto"/>
              <w:jc w:val="center"/>
              <w:rPr>
                <w:rFonts w:hint="eastAsia" w:ascii="宋体" w:hAnsi="宋体" w:cs="宋体"/>
                <w:sz w:val="24"/>
              </w:rPr>
            </w:pPr>
          </w:p>
        </w:tc>
        <w:tc>
          <w:tcPr>
            <w:tcW w:w="727" w:type="dxa"/>
            <w:noWrap w:val="0"/>
            <w:vAlign w:val="center"/>
          </w:tcPr>
          <w:p w14:paraId="3CFDFD6A">
            <w:pPr>
              <w:spacing w:line="360" w:lineRule="auto"/>
              <w:jc w:val="center"/>
              <w:rPr>
                <w:rFonts w:hint="eastAsia" w:ascii="宋体" w:hAnsi="宋体" w:cs="宋体"/>
                <w:sz w:val="24"/>
              </w:rPr>
            </w:pPr>
          </w:p>
        </w:tc>
      </w:tr>
      <w:tr w14:paraId="1C3EE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1C368422">
            <w:pPr>
              <w:spacing w:line="360" w:lineRule="auto"/>
              <w:jc w:val="center"/>
              <w:rPr>
                <w:rFonts w:hint="eastAsia" w:ascii="宋体" w:hAnsi="宋体" w:cs="宋体"/>
                <w:sz w:val="24"/>
              </w:rPr>
            </w:pPr>
            <w:r>
              <w:rPr>
                <w:rFonts w:hint="eastAsia" w:ascii="宋体" w:hAnsi="宋体" w:cs="宋体"/>
                <w:sz w:val="24"/>
                <w:highlight w:val="white"/>
              </w:rPr>
              <w:t>5</w:t>
            </w:r>
          </w:p>
        </w:tc>
        <w:tc>
          <w:tcPr>
            <w:tcW w:w="1912" w:type="dxa"/>
            <w:noWrap w:val="0"/>
            <w:vAlign w:val="bottom"/>
          </w:tcPr>
          <w:p w14:paraId="28B46C89">
            <w:pPr>
              <w:spacing w:line="360" w:lineRule="auto"/>
              <w:jc w:val="center"/>
              <w:rPr>
                <w:rFonts w:hint="eastAsia" w:ascii="宋体" w:hAnsi="宋体" w:cs="宋体"/>
                <w:sz w:val="24"/>
              </w:rPr>
            </w:pPr>
            <w:r>
              <w:rPr>
                <w:rFonts w:hint="eastAsia" w:ascii="宋体" w:hAnsi="宋体" w:cs="宋体"/>
                <w:sz w:val="24"/>
                <w:highlight w:val="white"/>
              </w:rPr>
              <w:t>信誉</w:t>
            </w:r>
          </w:p>
        </w:tc>
        <w:tc>
          <w:tcPr>
            <w:tcW w:w="722" w:type="dxa"/>
            <w:noWrap w:val="0"/>
            <w:vAlign w:val="center"/>
          </w:tcPr>
          <w:p w14:paraId="700C6E47">
            <w:pPr>
              <w:spacing w:line="360" w:lineRule="auto"/>
              <w:jc w:val="center"/>
              <w:rPr>
                <w:rFonts w:hint="eastAsia" w:ascii="宋体" w:hAnsi="宋体" w:cs="宋体"/>
                <w:sz w:val="24"/>
              </w:rPr>
            </w:pPr>
          </w:p>
        </w:tc>
        <w:tc>
          <w:tcPr>
            <w:tcW w:w="724" w:type="dxa"/>
            <w:noWrap w:val="0"/>
            <w:vAlign w:val="center"/>
          </w:tcPr>
          <w:p w14:paraId="28B2E722">
            <w:pPr>
              <w:spacing w:line="360" w:lineRule="auto"/>
              <w:jc w:val="center"/>
              <w:rPr>
                <w:rFonts w:hint="eastAsia" w:ascii="宋体" w:hAnsi="宋体" w:cs="宋体"/>
                <w:sz w:val="24"/>
              </w:rPr>
            </w:pPr>
          </w:p>
        </w:tc>
        <w:tc>
          <w:tcPr>
            <w:tcW w:w="724" w:type="dxa"/>
            <w:noWrap w:val="0"/>
            <w:vAlign w:val="center"/>
          </w:tcPr>
          <w:p w14:paraId="2A94D67E">
            <w:pPr>
              <w:spacing w:line="360" w:lineRule="auto"/>
              <w:jc w:val="center"/>
              <w:rPr>
                <w:rFonts w:hint="eastAsia" w:ascii="宋体" w:hAnsi="宋体" w:cs="宋体"/>
                <w:sz w:val="24"/>
              </w:rPr>
            </w:pPr>
          </w:p>
        </w:tc>
        <w:tc>
          <w:tcPr>
            <w:tcW w:w="724" w:type="dxa"/>
            <w:noWrap w:val="0"/>
            <w:vAlign w:val="center"/>
          </w:tcPr>
          <w:p w14:paraId="2B6F82E3">
            <w:pPr>
              <w:spacing w:line="360" w:lineRule="auto"/>
              <w:jc w:val="center"/>
              <w:rPr>
                <w:rFonts w:hint="eastAsia" w:ascii="宋体" w:hAnsi="宋体" w:cs="宋体"/>
                <w:sz w:val="24"/>
              </w:rPr>
            </w:pPr>
          </w:p>
        </w:tc>
        <w:tc>
          <w:tcPr>
            <w:tcW w:w="724" w:type="dxa"/>
            <w:noWrap w:val="0"/>
            <w:vAlign w:val="center"/>
          </w:tcPr>
          <w:p w14:paraId="56F703F1">
            <w:pPr>
              <w:spacing w:line="360" w:lineRule="auto"/>
              <w:jc w:val="center"/>
              <w:rPr>
                <w:rFonts w:hint="eastAsia" w:ascii="宋体" w:hAnsi="宋体" w:cs="宋体"/>
                <w:sz w:val="24"/>
              </w:rPr>
            </w:pPr>
          </w:p>
        </w:tc>
        <w:tc>
          <w:tcPr>
            <w:tcW w:w="724" w:type="dxa"/>
            <w:noWrap w:val="0"/>
            <w:vAlign w:val="center"/>
          </w:tcPr>
          <w:p w14:paraId="11F06B5C">
            <w:pPr>
              <w:spacing w:line="360" w:lineRule="auto"/>
              <w:jc w:val="center"/>
              <w:rPr>
                <w:rFonts w:hint="eastAsia" w:ascii="宋体" w:hAnsi="宋体" w:cs="宋体"/>
                <w:sz w:val="24"/>
              </w:rPr>
            </w:pPr>
          </w:p>
        </w:tc>
        <w:tc>
          <w:tcPr>
            <w:tcW w:w="724" w:type="dxa"/>
            <w:noWrap w:val="0"/>
            <w:vAlign w:val="center"/>
          </w:tcPr>
          <w:p w14:paraId="207D11F1">
            <w:pPr>
              <w:spacing w:line="360" w:lineRule="auto"/>
              <w:jc w:val="center"/>
              <w:rPr>
                <w:rFonts w:hint="eastAsia" w:ascii="宋体" w:hAnsi="宋体" w:cs="宋体"/>
                <w:sz w:val="24"/>
              </w:rPr>
            </w:pPr>
          </w:p>
        </w:tc>
        <w:tc>
          <w:tcPr>
            <w:tcW w:w="724" w:type="dxa"/>
            <w:noWrap w:val="0"/>
            <w:vAlign w:val="center"/>
          </w:tcPr>
          <w:p w14:paraId="4CB623FB">
            <w:pPr>
              <w:spacing w:line="360" w:lineRule="auto"/>
              <w:jc w:val="center"/>
              <w:rPr>
                <w:rFonts w:hint="eastAsia" w:ascii="宋体" w:hAnsi="宋体" w:cs="宋体"/>
                <w:sz w:val="24"/>
              </w:rPr>
            </w:pPr>
          </w:p>
        </w:tc>
        <w:tc>
          <w:tcPr>
            <w:tcW w:w="727" w:type="dxa"/>
            <w:noWrap w:val="0"/>
            <w:vAlign w:val="center"/>
          </w:tcPr>
          <w:p w14:paraId="3F27E474">
            <w:pPr>
              <w:spacing w:line="360" w:lineRule="auto"/>
              <w:jc w:val="center"/>
              <w:rPr>
                <w:rFonts w:hint="eastAsia" w:ascii="宋体" w:hAnsi="宋体" w:cs="宋体"/>
                <w:sz w:val="24"/>
              </w:rPr>
            </w:pPr>
          </w:p>
        </w:tc>
      </w:tr>
      <w:tr w14:paraId="49D41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1FFAFE34">
            <w:pPr>
              <w:spacing w:line="360" w:lineRule="auto"/>
              <w:jc w:val="center"/>
              <w:rPr>
                <w:rFonts w:hint="eastAsia" w:ascii="宋体" w:hAnsi="宋体" w:cs="宋体"/>
                <w:sz w:val="24"/>
              </w:rPr>
            </w:pPr>
            <w:r>
              <w:rPr>
                <w:rFonts w:hint="eastAsia" w:ascii="宋体" w:hAnsi="宋体" w:cs="宋体"/>
                <w:sz w:val="24"/>
                <w:highlight w:val="white"/>
              </w:rPr>
              <w:t>6</w:t>
            </w:r>
          </w:p>
        </w:tc>
        <w:tc>
          <w:tcPr>
            <w:tcW w:w="1912" w:type="dxa"/>
            <w:noWrap w:val="0"/>
            <w:vAlign w:val="bottom"/>
          </w:tcPr>
          <w:p w14:paraId="7D4FADA7">
            <w:pPr>
              <w:spacing w:line="360" w:lineRule="auto"/>
              <w:jc w:val="center"/>
              <w:rPr>
                <w:rFonts w:hint="eastAsia" w:ascii="宋体" w:hAnsi="宋体" w:cs="宋体"/>
                <w:sz w:val="24"/>
              </w:rPr>
            </w:pPr>
            <w:r>
              <w:rPr>
                <w:rFonts w:hint="eastAsia" w:ascii="宋体" w:hAnsi="宋体" w:cs="宋体"/>
                <w:sz w:val="24"/>
                <w:highlight w:val="white"/>
              </w:rPr>
              <w:t>项目经理</w:t>
            </w:r>
          </w:p>
        </w:tc>
        <w:tc>
          <w:tcPr>
            <w:tcW w:w="722" w:type="dxa"/>
            <w:noWrap w:val="0"/>
            <w:vAlign w:val="center"/>
          </w:tcPr>
          <w:p w14:paraId="787A32F6">
            <w:pPr>
              <w:spacing w:line="360" w:lineRule="auto"/>
              <w:jc w:val="center"/>
              <w:rPr>
                <w:rFonts w:hint="eastAsia" w:ascii="宋体" w:hAnsi="宋体" w:cs="宋体"/>
                <w:sz w:val="24"/>
              </w:rPr>
            </w:pPr>
          </w:p>
        </w:tc>
        <w:tc>
          <w:tcPr>
            <w:tcW w:w="724" w:type="dxa"/>
            <w:noWrap w:val="0"/>
            <w:vAlign w:val="center"/>
          </w:tcPr>
          <w:p w14:paraId="53A0E7B4">
            <w:pPr>
              <w:spacing w:line="360" w:lineRule="auto"/>
              <w:jc w:val="center"/>
              <w:rPr>
                <w:rFonts w:hint="eastAsia" w:ascii="宋体" w:hAnsi="宋体" w:cs="宋体"/>
                <w:sz w:val="24"/>
              </w:rPr>
            </w:pPr>
          </w:p>
        </w:tc>
        <w:tc>
          <w:tcPr>
            <w:tcW w:w="724" w:type="dxa"/>
            <w:noWrap w:val="0"/>
            <w:vAlign w:val="center"/>
          </w:tcPr>
          <w:p w14:paraId="320E6A35">
            <w:pPr>
              <w:spacing w:line="360" w:lineRule="auto"/>
              <w:jc w:val="center"/>
              <w:rPr>
                <w:rFonts w:hint="eastAsia" w:ascii="宋体" w:hAnsi="宋体" w:cs="宋体"/>
                <w:sz w:val="24"/>
              </w:rPr>
            </w:pPr>
          </w:p>
        </w:tc>
        <w:tc>
          <w:tcPr>
            <w:tcW w:w="724" w:type="dxa"/>
            <w:noWrap w:val="0"/>
            <w:vAlign w:val="center"/>
          </w:tcPr>
          <w:p w14:paraId="71087F9A">
            <w:pPr>
              <w:spacing w:line="360" w:lineRule="auto"/>
              <w:jc w:val="center"/>
              <w:rPr>
                <w:rFonts w:hint="eastAsia" w:ascii="宋体" w:hAnsi="宋体" w:cs="宋体"/>
                <w:sz w:val="24"/>
              </w:rPr>
            </w:pPr>
          </w:p>
        </w:tc>
        <w:tc>
          <w:tcPr>
            <w:tcW w:w="724" w:type="dxa"/>
            <w:noWrap w:val="0"/>
            <w:vAlign w:val="center"/>
          </w:tcPr>
          <w:p w14:paraId="1820CC1C">
            <w:pPr>
              <w:spacing w:line="360" w:lineRule="auto"/>
              <w:jc w:val="center"/>
              <w:rPr>
                <w:rFonts w:hint="eastAsia" w:ascii="宋体" w:hAnsi="宋体" w:cs="宋体"/>
                <w:sz w:val="24"/>
              </w:rPr>
            </w:pPr>
          </w:p>
        </w:tc>
        <w:tc>
          <w:tcPr>
            <w:tcW w:w="724" w:type="dxa"/>
            <w:noWrap w:val="0"/>
            <w:vAlign w:val="center"/>
          </w:tcPr>
          <w:p w14:paraId="611C2B28">
            <w:pPr>
              <w:spacing w:line="360" w:lineRule="auto"/>
              <w:jc w:val="center"/>
              <w:rPr>
                <w:rFonts w:hint="eastAsia" w:ascii="宋体" w:hAnsi="宋体" w:cs="宋体"/>
                <w:sz w:val="24"/>
              </w:rPr>
            </w:pPr>
          </w:p>
        </w:tc>
        <w:tc>
          <w:tcPr>
            <w:tcW w:w="724" w:type="dxa"/>
            <w:noWrap w:val="0"/>
            <w:vAlign w:val="center"/>
          </w:tcPr>
          <w:p w14:paraId="13C5A6F7">
            <w:pPr>
              <w:spacing w:line="360" w:lineRule="auto"/>
              <w:jc w:val="center"/>
              <w:rPr>
                <w:rFonts w:hint="eastAsia" w:ascii="宋体" w:hAnsi="宋体" w:cs="宋体"/>
                <w:sz w:val="24"/>
              </w:rPr>
            </w:pPr>
          </w:p>
        </w:tc>
        <w:tc>
          <w:tcPr>
            <w:tcW w:w="724" w:type="dxa"/>
            <w:noWrap w:val="0"/>
            <w:vAlign w:val="center"/>
          </w:tcPr>
          <w:p w14:paraId="3601F217">
            <w:pPr>
              <w:spacing w:line="360" w:lineRule="auto"/>
              <w:jc w:val="center"/>
              <w:rPr>
                <w:rFonts w:hint="eastAsia" w:ascii="宋体" w:hAnsi="宋体" w:cs="宋体"/>
                <w:sz w:val="24"/>
              </w:rPr>
            </w:pPr>
          </w:p>
        </w:tc>
        <w:tc>
          <w:tcPr>
            <w:tcW w:w="727" w:type="dxa"/>
            <w:noWrap w:val="0"/>
            <w:vAlign w:val="center"/>
          </w:tcPr>
          <w:p w14:paraId="7067141B">
            <w:pPr>
              <w:spacing w:line="360" w:lineRule="auto"/>
              <w:jc w:val="center"/>
              <w:rPr>
                <w:rFonts w:hint="eastAsia" w:ascii="宋体" w:hAnsi="宋体" w:cs="宋体"/>
                <w:sz w:val="24"/>
              </w:rPr>
            </w:pPr>
          </w:p>
        </w:tc>
      </w:tr>
      <w:tr w14:paraId="0E207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28A12E8A">
            <w:pPr>
              <w:spacing w:line="360" w:lineRule="auto"/>
              <w:jc w:val="center"/>
              <w:rPr>
                <w:rFonts w:hint="eastAsia" w:ascii="宋体" w:hAnsi="宋体" w:cs="宋体"/>
                <w:sz w:val="24"/>
              </w:rPr>
            </w:pPr>
            <w:r>
              <w:rPr>
                <w:rFonts w:hint="eastAsia" w:ascii="宋体" w:hAnsi="宋体" w:cs="宋体"/>
                <w:sz w:val="24"/>
                <w:highlight w:val="white"/>
              </w:rPr>
              <w:t>7</w:t>
            </w:r>
          </w:p>
        </w:tc>
        <w:tc>
          <w:tcPr>
            <w:tcW w:w="1912" w:type="dxa"/>
            <w:noWrap w:val="0"/>
            <w:vAlign w:val="bottom"/>
          </w:tcPr>
          <w:p w14:paraId="5FE05919">
            <w:pPr>
              <w:spacing w:line="360" w:lineRule="auto"/>
              <w:jc w:val="center"/>
              <w:rPr>
                <w:rFonts w:hint="eastAsia" w:ascii="宋体" w:hAnsi="宋体" w:cs="宋体"/>
                <w:sz w:val="24"/>
              </w:rPr>
            </w:pPr>
            <w:r>
              <w:rPr>
                <w:rFonts w:hint="eastAsia" w:ascii="宋体" w:hAnsi="宋体" w:cs="宋体"/>
                <w:sz w:val="24"/>
                <w:highlight w:val="white"/>
              </w:rPr>
              <w:t>设计负责人</w:t>
            </w:r>
          </w:p>
        </w:tc>
        <w:tc>
          <w:tcPr>
            <w:tcW w:w="722" w:type="dxa"/>
            <w:noWrap w:val="0"/>
            <w:vAlign w:val="center"/>
          </w:tcPr>
          <w:p w14:paraId="6DBBF386">
            <w:pPr>
              <w:spacing w:line="360" w:lineRule="auto"/>
              <w:jc w:val="center"/>
              <w:rPr>
                <w:rFonts w:hint="eastAsia" w:ascii="宋体" w:hAnsi="宋体" w:cs="宋体"/>
                <w:sz w:val="24"/>
              </w:rPr>
            </w:pPr>
          </w:p>
        </w:tc>
        <w:tc>
          <w:tcPr>
            <w:tcW w:w="724" w:type="dxa"/>
            <w:noWrap w:val="0"/>
            <w:vAlign w:val="center"/>
          </w:tcPr>
          <w:p w14:paraId="4B16DF6B">
            <w:pPr>
              <w:spacing w:line="360" w:lineRule="auto"/>
              <w:jc w:val="center"/>
              <w:rPr>
                <w:rFonts w:hint="eastAsia" w:ascii="宋体" w:hAnsi="宋体" w:cs="宋体"/>
                <w:sz w:val="24"/>
              </w:rPr>
            </w:pPr>
          </w:p>
        </w:tc>
        <w:tc>
          <w:tcPr>
            <w:tcW w:w="724" w:type="dxa"/>
            <w:noWrap w:val="0"/>
            <w:vAlign w:val="center"/>
          </w:tcPr>
          <w:p w14:paraId="3E739CBB">
            <w:pPr>
              <w:spacing w:line="360" w:lineRule="auto"/>
              <w:jc w:val="center"/>
              <w:rPr>
                <w:rFonts w:hint="eastAsia" w:ascii="宋体" w:hAnsi="宋体" w:cs="宋体"/>
                <w:sz w:val="24"/>
              </w:rPr>
            </w:pPr>
          </w:p>
        </w:tc>
        <w:tc>
          <w:tcPr>
            <w:tcW w:w="724" w:type="dxa"/>
            <w:noWrap w:val="0"/>
            <w:vAlign w:val="center"/>
          </w:tcPr>
          <w:p w14:paraId="2665572D">
            <w:pPr>
              <w:spacing w:line="360" w:lineRule="auto"/>
              <w:jc w:val="center"/>
              <w:rPr>
                <w:rFonts w:hint="eastAsia" w:ascii="宋体" w:hAnsi="宋体" w:cs="宋体"/>
                <w:sz w:val="24"/>
              </w:rPr>
            </w:pPr>
          </w:p>
        </w:tc>
        <w:tc>
          <w:tcPr>
            <w:tcW w:w="724" w:type="dxa"/>
            <w:noWrap w:val="0"/>
            <w:vAlign w:val="center"/>
          </w:tcPr>
          <w:p w14:paraId="13575EA5">
            <w:pPr>
              <w:spacing w:line="360" w:lineRule="auto"/>
              <w:jc w:val="center"/>
              <w:rPr>
                <w:rFonts w:hint="eastAsia" w:ascii="宋体" w:hAnsi="宋体" w:cs="宋体"/>
                <w:sz w:val="24"/>
              </w:rPr>
            </w:pPr>
          </w:p>
        </w:tc>
        <w:tc>
          <w:tcPr>
            <w:tcW w:w="724" w:type="dxa"/>
            <w:noWrap w:val="0"/>
            <w:vAlign w:val="center"/>
          </w:tcPr>
          <w:p w14:paraId="6532F3E5">
            <w:pPr>
              <w:spacing w:line="360" w:lineRule="auto"/>
              <w:jc w:val="center"/>
              <w:rPr>
                <w:rFonts w:hint="eastAsia" w:ascii="宋体" w:hAnsi="宋体" w:cs="宋体"/>
                <w:sz w:val="24"/>
              </w:rPr>
            </w:pPr>
          </w:p>
        </w:tc>
        <w:tc>
          <w:tcPr>
            <w:tcW w:w="724" w:type="dxa"/>
            <w:noWrap w:val="0"/>
            <w:vAlign w:val="center"/>
          </w:tcPr>
          <w:p w14:paraId="2FE2EA4A">
            <w:pPr>
              <w:spacing w:line="360" w:lineRule="auto"/>
              <w:jc w:val="center"/>
              <w:rPr>
                <w:rFonts w:hint="eastAsia" w:ascii="宋体" w:hAnsi="宋体" w:cs="宋体"/>
                <w:sz w:val="24"/>
              </w:rPr>
            </w:pPr>
          </w:p>
        </w:tc>
        <w:tc>
          <w:tcPr>
            <w:tcW w:w="724" w:type="dxa"/>
            <w:noWrap w:val="0"/>
            <w:vAlign w:val="center"/>
          </w:tcPr>
          <w:p w14:paraId="3C3C5CF4">
            <w:pPr>
              <w:spacing w:line="360" w:lineRule="auto"/>
              <w:jc w:val="center"/>
              <w:rPr>
                <w:rFonts w:hint="eastAsia" w:ascii="宋体" w:hAnsi="宋体" w:cs="宋体"/>
                <w:sz w:val="24"/>
              </w:rPr>
            </w:pPr>
          </w:p>
        </w:tc>
        <w:tc>
          <w:tcPr>
            <w:tcW w:w="727" w:type="dxa"/>
            <w:noWrap w:val="0"/>
            <w:vAlign w:val="center"/>
          </w:tcPr>
          <w:p w14:paraId="7D964877">
            <w:pPr>
              <w:spacing w:line="360" w:lineRule="auto"/>
              <w:jc w:val="center"/>
              <w:rPr>
                <w:rFonts w:hint="eastAsia" w:ascii="宋体" w:hAnsi="宋体" w:cs="宋体"/>
                <w:sz w:val="24"/>
              </w:rPr>
            </w:pPr>
          </w:p>
        </w:tc>
      </w:tr>
      <w:tr w14:paraId="0F9177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20B3921E">
            <w:pPr>
              <w:spacing w:line="360" w:lineRule="auto"/>
              <w:jc w:val="center"/>
              <w:rPr>
                <w:rFonts w:hint="eastAsia" w:ascii="宋体" w:hAnsi="宋体" w:cs="宋体"/>
                <w:sz w:val="24"/>
              </w:rPr>
            </w:pPr>
            <w:r>
              <w:rPr>
                <w:rFonts w:ascii="宋体" w:hAnsi="宋体" w:cs="宋体"/>
                <w:sz w:val="24"/>
                <w:highlight w:val="white"/>
              </w:rPr>
              <w:t>8</w:t>
            </w:r>
          </w:p>
        </w:tc>
        <w:tc>
          <w:tcPr>
            <w:tcW w:w="1912" w:type="dxa"/>
            <w:noWrap w:val="0"/>
            <w:vAlign w:val="center"/>
          </w:tcPr>
          <w:p w14:paraId="0130F492">
            <w:pPr>
              <w:spacing w:line="360" w:lineRule="auto"/>
              <w:jc w:val="center"/>
              <w:rPr>
                <w:rFonts w:hint="eastAsia" w:ascii="宋体" w:hAnsi="宋体" w:cs="宋体"/>
                <w:sz w:val="24"/>
              </w:rPr>
            </w:pPr>
            <w:r>
              <w:rPr>
                <w:rFonts w:hint="eastAsia" w:ascii="宋体" w:hAnsi="宋体" w:cs="宋体"/>
                <w:sz w:val="24"/>
                <w:highlight w:val="white"/>
              </w:rPr>
              <w:t>施工负责人</w:t>
            </w:r>
          </w:p>
        </w:tc>
        <w:tc>
          <w:tcPr>
            <w:tcW w:w="722" w:type="dxa"/>
            <w:noWrap w:val="0"/>
            <w:vAlign w:val="center"/>
          </w:tcPr>
          <w:p w14:paraId="1240819F">
            <w:pPr>
              <w:spacing w:line="360" w:lineRule="auto"/>
              <w:jc w:val="center"/>
              <w:rPr>
                <w:rFonts w:hint="eastAsia" w:ascii="宋体" w:hAnsi="宋体" w:cs="宋体"/>
                <w:sz w:val="24"/>
              </w:rPr>
            </w:pPr>
          </w:p>
        </w:tc>
        <w:tc>
          <w:tcPr>
            <w:tcW w:w="724" w:type="dxa"/>
            <w:noWrap w:val="0"/>
            <w:vAlign w:val="center"/>
          </w:tcPr>
          <w:p w14:paraId="5631D625">
            <w:pPr>
              <w:spacing w:line="360" w:lineRule="auto"/>
              <w:jc w:val="center"/>
              <w:rPr>
                <w:rFonts w:hint="eastAsia" w:ascii="宋体" w:hAnsi="宋体" w:cs="宋体"/>
                <w:sz w:val="24"/>
              </w:rPr>
            </w:pPr>
          </w:p>
        </w:tc>
        <w:tc>
          <w:tcPr>
            <w:tcW w:w="724" w:type="dxa"/>
            <w:noWrap w:val="0"/>
            <w:vAlign w:val="center"/>
          </w:tcPr>
          <w:p w14:paraId="681F8C4B">
            <w:pPr>
              <w:spacing w:line="360" w:lineRule="auto"/>
              <w:jc w:val="center"/>
              <w:rPr>
                <w:rFonts w:hint="eastAsia" w:ascii="宋体" w:hAnsi="宋体" w:cs="宋体"/>
                <w:sz w:val="24"/>
              </w:rPr>
            </w:pPr>
          </w:p>
        </w:tc>
        <w:tc>
          <w:tcPr>
            <w:tcW w:w="724" w:type="dxa"/>
            <w:noWrap w:val="0"/>
            <w:vAlign w:val="center"/>
          </w:tcPr>
          <w:p w14:paraId="448921E6">
            <w:pPr>
              <w:spacing w:line="360" w:lineRule="auto"/>
              <w:jc w:val="center"/>
              <w:rPr>
                <w:rFonts w:hint="eastAsia" w:ascii="宋体" w:hAnsi="宋体" w:cs="宋体"/>
                <w:sz w:val="24"/>
              </w:rPr>
            </w:pPr>
          </w:p>
        </w:tc>
        <w:tc>
          <w:tcPr>
            <w:tcW w:w="724" w:type="dxa"/>
            <w:noWrap w:val="0"/>
            <w:vAlign w:val="center"/>
          </w:tcPr>
          <w:p w14:paraId="37E6F39B">
            <w:pPr>
              <w:spacing w:line="360" w:lineRule="auto"/>
              <w:jc w:val="center"/>
              <w:rPr>
                <w:rFonts w:hint="eastAsia" w:ascii="宋体" w:hAnsi="宋体" w:cs="宋体"/>
                <w:sz w:val="24"/>
              </w:rPr>
            </w:pPr>
          </w:p>
        </w:tc>
        <w:tc>
          <w:tcPr>
            <w:tcW w:w="724" w:type="dxa"/>
            <w:noWrap w:val="0"/>
            <w:vAlign w:val="center"/>
          </w:tcPr>
          <w:p w14:paraId="07D62397">
            <w:pPr>
              <w:spacing w:line="360" w:lineRule="auto"/>
              <w:jc w:val="center"/>
              <w:rPr>
                <w:rFonts w:hint="eastAsia" w:ascii="宋体" w:hAnsi="宋体" w:cs="宋体"/>
                <w:sz w:val="24"/>
              </w:rPr>
            </w:pPr>
          </w:p>
        </w:tc>
        <w:tc>
          <w:tcPr>
            <w:tcW w:w="724" w:type="dxa"/>
            <w:noWrap w:val="0"/>
            <w:vAlign w:val="center"/>
          </w:tcPr>
          <w:p w14:paraId="37FD5A48">
            <w:pPr>
              <w:spacing w:line="360" w:lineRule="auto"/>
              <w:jc w:val="center"/>
              <w:rPr>
                <w:rFonts w:hint="eastAsia" w:ascii="宋体" w:hAnsi="宋体" w:cs="宋体"/>
                <w:sz w:val="24"/>
              </w:rPr>
            </w:pPr>
          </w:p>
        </w:tc>
        <w:tc>
          <w:tcPr>
            <w:tcW w:w="724" w:type="dxa"/>
            <w:noWrap w:val="0"/>
            <w:vAlign w:val="center"/>
          </w:tcPr>
          <w:p w14:paraId="35673549">
            <w:pPr>
              <w:spacing w:line="360" w:lineRule="auto"/>
              <w:jc w:val="center"/>
              <w:rPr>
                <w:rFonts w:hint="eastAsia" w:ascii="宋体" w:hAnsi="宋体" w:cs="宋体"/>
                <w:sz w:val="24"/>
              </w:rPr>
            </w:pPr>
          </w:p>
        </w:tc>
        <w:tc>
          <w:tcPr>
            <w:tcW w:w="727" w:type="dxa"/>
            <w:noWrap w:val="0"/>
            <w:vAlign w:val="center"/>
          </w:tcPr>
          <w:p w14:paraId="15FE84E8">
            <w:pPr>
              <w:spacing w:line="360" w:lineRule="auto"/>
              <w:jc w:val="center"/>
              <w:rPr>
                <w:rFonts w:hint="eastAsia" w:ascii="宋体" w:hAnsi="宋体" w:cs="宋体"/>
                <w:sz w:val="24"/>
              </w:rPr>
            </w:pPr>
          </w:p>
        </w:tc>
      </w:tr>
      <w:tr w14:paraId="45C9C2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49FF09E1">
            <w:pPr>
              <w:spacing w:line="360" w:lineRule="auto"/>
              <w:jc w:val="center"/>
              <w:rPr>
                <w:rFonts w:hint="eastAsia" w:ascii="宋体" w:hAnsi="宋体" w:cs="宋体"/>
                <w:sz w:val="24"/>
              </w:rPr>
            </w:pPr>
            <w:r>
              <w:rPr>
                <w:rFonts w:ascii="宋体" w:hAnsi="宋体" w:cs="宋体"/>
                <w:sz w:val="24"/>
                <w:highlight w:val="white"/>
              </w:rPr>
              <w:t>9</w:t>
            </w:r>
          </w:p>
        </w:tc>
        <w:tc>
          <w:tcPr>
            <w:tcW w:w="1912" w:type="dxa"/>
            <w:noWrap w:val="0"/>
            <w:vAlign w:val="center"/>
          </w:tcPr>
          <w:p w14:paraId="08184F1A">
            <w:pPr>
              <w:spacing w:line="360" w:lineRule="auto"/>
              <w:jc w:val="center"/>
              <w:rPr>
                <w:rFonts w:hint="eastAsia" w:ascii="宋体" w:hAnsi="宋体" w:cs="宋体"/>
                <w:sz w:val="24"/>
              </w:rPr>
            </w:pPr>
            <w:r>
              <w:rPr>
                <w:rFonts w:hint="eastAsia" w:ascii="宋体" w:hAnsi="宋体" w:cs="宋体"/>
                <w:sz w:val="24"/>
                <w:highlight w:val="white"/>
              </w:rPr>
              <w:t>安全生产许可证</w:t>
            </w:r>
          </w:p>
        </w:tc>
        <w:tc>
          <w:tcPr>
            <w:tcW w:w="722" w:type="dxa"/>
            <w:noWrap w:val="0"/>
            <w:vAlign w:val="center"/>
          </w:tcPr>
          <w:p w14:paraId="4A32CB83">
            <w:pPr>
              <w:spacing w:line="360" w:lineRule="auto"/>
              <w:jc w:val="center"/>
              <w:rPr>
                <w:rFonts w:hint="eastAsia" w:ascii="宋体" w:hAnsi="宋体" w:cs="宋体"/>
                <w:sz w:val="24"/>
              </w:rPr>
            </w:pPr>
          </w:p>
        </w:tc>
        <w:tc>
          <w:tcPr>
            <w:tcW w:w="724" w:type="dxa"/>
            <w:noWrap w:val="0"/>
            <w:vAlign w:val="center"/>
          </w:tcPr>
          <w:p w14:paraId="67E3BE7A">
            <w:pPr>
              <w:spacing w:line="360" w:lineRule="auto"/>
              <w:jc w:val="center"/>
              <w:rPr>
                <w:rFonts w:hint="eastAsia" w:ascii="宋体" w:hAnsi="宋体" w:cs="宋体"/>
                <w:sz w:val="24"/>
              </w:rPr>
            </w:pPr>
          </w:p>
        </w:tc>
        <w:tc>
          <w:tcPr>
            <w:tcW w:w="724" w:type="dxa"/>
            <w:noWrap w:val="0"/>
            <w:vAlign w:val="center"/>
          </w:tcPr>
          <w:p w14:paraId="5579F486">
            <w:pPr>
              <w:spacing w:line="360" w:lineRule="auto"/>
              <w:jc w:val="center"/>
              <w:rPr>
                <w:rFonts w:hint="eastAsia" w:ascii="宋体" w:hAnsi="宋体" w:cs="宋体"/>
                <w:sz w:val="24"/>
              </w:rPr>
            </w:pPr>
          </w:p>
        </w:tc>
        <w:tc>
          <w:tcPr>
            <w:tcW w:w="724" w:type="dxa"/>
            <w:noWrap w:val="0"/>
            <w:vAlign w:val="center"/>
          </w:tcPr>
          <w:p w14:paraId="2DFA9B15">
            <w:pPr>
              <w:spacing w:line="360" w:lineRule="auto"/>
              <w:jc w:val="center"/>
              <w:rPr>
                <w:rFonts w:hint="eastAsia" w:ascii="宋体" w:hAnsi="宋体" w:cs="宋体"/>
                <w:sz w:val="24"/>
              </w:rPr>
            </w:pPr>
          </w:p>
        </w:tc>
        <w:tc>
          <w:tcPr>
            <w:tcW w:w="724" w:type="dxa"/>
            <w:noWrap w:val="0"/>
            <w:vAlign w:val="center"/>
          </w:tcPr>
          <w:p w14:paraId="640E2C4D">
            <w:pPr>
              <w:spacing w:line="360" w:lineRule="auto"/>
              <w:jc w:val="center"/>
              <w:rPr>
                <w:rFonts w:hint="eastAsia" w:ascii="宋体" w:hAnsi="宋体" w:cs="宋体"/>
                <w:sz w:val="24"/>
              </w:rPr>
            </w:pPr>
          </w:p>
        </w:tc>
        <w:tc>
          <w:tcPr>
            <w:tcW w:w="724" w:type="dxa"/>
            <w:noWrap w:val="0"/>
            <w:vAlign w:val="center"/>
          </w:tcPr>
          <w:p w14:paraId="0D4038F7">
            <w:pPr>
              <w:spacing w:line="360" w:lineRule="auto"/>
              <w:jc w:val="center"/>
              <w:rPr>
                <w:rFonts w:hint="eastAsia" w:ascii="宋体" w:hAnsi="宋体" w:cs="宋体"/>
                <w:sz w:val="24"/>
              </w:rPr>
            </w:pPr>
          </w:p>
        </w:tc>
        <w:tc>
          <w:tcPr>
            <w:tcW w:w="724" w:type="dxa"/>
            <w:noWrap w:val="0"/>
            <w:vAlign w:val="center"/>
          </w:tcPr>
          <w:p w14:paraId="41968F93">
            <w:pPr>
              <w:spacing w:line="360" w:lineRule="auto"/>
              <w:jc w:val="center"/>
              <w:rPr>
                <w:rFonts w:hint="eastAsia" w:ascii="宋体" w:hAnsi="宋体" w:cs="宋体"/>
                <w:sz w:val="24"/>
              </w:rPr>
            </w:pPr>
          </w:p>
        </w:tc>
        <w:tc>
          <w:tcPr>
            <w:tcW w:w="724" w:type="dxa"/>
            <w:noWrap w:val="0"/>
            <w:vAlign w:val="center"/>
          </w:tcPr>
          <w:p w14:paraId="53CCD6E2">
            <w:pPr>
              <w:spacing w:line="360" w:lineRule="auto"/>
              <w:jc w:val="center"/>
              <w:rPr>
                <w:rFonts w:hint="eastAsia" w:ascii="宋体" w:hAnsi="宋体" w:cs="宋体"/>
                <w:sz w:val="24"/>
              </w:rPr>
            </w:pPr>
          </w:p>
        </w:tc>
        <w:tc>
          <w:tcPr>
            <w:tcW w:w="727" w:type="dxa"/>
            <w:noWrap w:val="0"/>
            <w:vAlign w:val="center"/>
          </w:tcPr>
          <w:p w14:paraId="6846ECE4">
            <w:pPr>
              <w:spacing w:line="360" w:lineRule="auto"/>
              <w:jc w:val="center"/>
              <w:rPr>
                <w:rFonts w:hint="eastAsia" w:ascii="宋体" w:hAnsi="宋体" w:cs="宋体"/>
                <w:sz w:val="24"/>
              </w:rPr>
            </w:pPr>
          </w:p>
        </w:tc>
      </w:tr>
      <w:tr w14:paraId="47E5C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2D5C3679">
            <w:pPr>
              <w:spacing w:line="360" w:lineRule="auto"/>
              <w:jc w:val="center"/>
              <w:rPr>
                <w:rFonts w:hint="eastAsia" w:ascii="宋体" w:hAnsi="宋体" w:cs="宋体"/>
                <w:sz w:val="24"/>
              </w:rPr>
            </w:pPr>
            <w:r>
              <w:rPr>
                <w:rFonts w:hint="eastAsia" w:ascii="宋体" w:hAnsi="宋体" w:cs="宋体"/>
                <w:sz w:val="24"/>
                <w:highlight w:val="white"/>
              </w:rPr>
              <w:t>10</w:t>
            </w:r>
          </w:p>
        </w:tc>
        <w:tc>
          <w:tcPr>
            <w:tcW w:w="1912" w:type="dxa"/>
            <w:noWrap w:val="0"/>
            <w:vAlign w:val="center"/>
          </w:tcPr>
          <w:p w14:paraId="2CD47687">
            <w:pPr>
              <w:spacing w:line="360" w:lineRule="auto"/>
              <w:jc w:val="center"/>
              <w:rPr>
                <w:rFonts w:hint="eastAsia" w:ascii="宋体" w:hAnsi="宋体" w:cs="宋体"/>
                <w:sz w:val="24"/>
              </w:rPr>
            </w:pPr>
            <w:r>
              <w:rPr>
                <w:rFonts w:hint="eastAsia" w:ascii="宋体" w:hAnsi="宋体" w:cs="宋体"/>
                <w:sz w:val="24"/>
                <w:highlight w:val="white"/>
              </w:rPr>
              <w:t>其他要求</w:t>
            </w:r>
          </w:p>
        </w:tc>
        <w:tc>
          <w:tcPr>
            <w:tcW w:w="722" w:type="dxa"/>
            <w:noWrap w:val="0"/>
            <w:vAlign w:val="center"/>
          </w:tcPr>
          <w:p w14:paraId="15FE124A">
            <w:pPr>
              <w:spacing w:line="360" w:lineRule="auto"/>
              <w:jc w:val="center"/>
              <w:rPr>
                <w:rFonts w:hint="eastAsia" w:ascii="宋体" w:hAnsi="宋体" w:cs="宋体"/>
                <w:sz w:val="24"/>
              </w:rPr>
            </w:pPr>
          </w:p>
        </w:tc>
        <w:tc>
          <w:tcPr>
            <w:tcW w:w="724" w:type="dxa"/>
            <w:noWrap w:val="0"/>
            <w:vAlign w:val="center"/>
          </w:tcPr>
          <w:p w14:paraId="16F48014">
            <w:pPr>
              <w:spacing w:line="360" w:lineRule="auto"/>
              <w:jc w:val="center"/>
              <w:rPr>
                <w:rFonts w:hint="eastAsia" w:ascii="宋体" w:hAnsi="宋体" w:cs="宋体"/>
                <w:sz w:val="24"/>
              </w:rPr>
            </w:pPr>
          </w:p>
        </w:tc>
        <w:tc>
          <w:tcPr>
            <w:tcW w:w="724" w:type="dxa"/>
            <w:noWrap w:val="0"/>
            <w:vAlign w:val="center"/>
          </w:tcPr>
          <w:p w14:paraId="1A854FC2">
            <w:pPr>
              <w:spacing w:line="360" w:lineRule="auto"/>
              <w:jc w:val="center"/>
              <w:rPr>
                <w:rFonts w:hint="eastAsia" w:ascii="宋体" w:hAnsi="宋体" w:cs="宋体"/>
                <w:sz w:val="24"/>
              </w:rPr>
            </w:pPr>
          </w:p>
        </w:tc>
        <w:tc>
          <w:tcPr>
            <w:tcW w:w="724" w:type="dxa"/>
            <w:noWrap w:val="0"/>
            <w:vAlign w:val="center"/>
          </w:tcPr>
          <w:p w14:paraId="1539C0FA">
            <w:pPr>
              <w:spacing w:line="360" w:lineRule="auto"/>
              <w:jc w:val="center"/>
              <w:rPr>
                <w:rFonts w:hint="eastAsia" w:ascii="宋体" w:hAnsi="宋体" w:cs="宋体"/>
                <w:sz w:val="24"/>
              </w:rPr>
            </w:pPr>
          </w:p>
        </w:tc>
        <w:tc>
          <w:tcPr>
            <w:tcW w:w="724" w:type="dxa"/>
            <w:noWrap w:val="0"/>
            <w:vAlign w:val="center"/>
          </w:tcPr>
          <w:p w14:paraId="2BC45982">
            <w:pPr>
              <w:spacing w:line="360" w:lineRule="auto"/>
              <w:jc w:val="center"/>
              <w:rPr>
                <w:rFonts w:hint="eastAsia" w:ascii="宋体" w:hAnsi="宋体" w:cs="宋体"/>
                <w:sz w:val="24"/>
              </w:rPr>
            </w:pPr>
          </w:p>
        </w:tc>
        <w:tc>
          <w:tcPr>
            <w:tcW w:w="724" w:type="dxa"/>
            <w:noWrap w:val="0"/>
            <w:vAlign w:val="center"/>
          </w:tcPr>
          <w:p w14:paraId="699C03ED">
            <w:pPr>
              <w:spacing w:line="360" w:lineRule="auto"/>
              <w:jc w:val="center"/>
              <w:rPr>
                <w:rFonts w:hint="eastAsia" w:ascii="宋体" w:hAnsi="宋体" w:cs="宋体"/>
                <w:sz w:val="24"/>
              </w:rPr>
            </w:pPr>
          </w:p>
        </w:tc>
        <w:tc>
          <w:tcPr>
            <w:tcW w:w="724" w:type="dxa"/>
            <w:noWrap w:val="0"/>
            <w:vAlign w:val="center"/>
          </w:tcPr>
          <w:p w14:paraId="1F7AAFA4">
            <w:pPr>
              <w:spacing w:line="360" w:lineRule="auto"/>
              <w:jc w:val="center"/>
              <w:rPr>
                <w:rFonts w:hint="eastAsia" w:ascii="宋体" w:hAnsi="宋体" w:cs="宋体"/>
                <w:sz w:val="24"/>
              </w:rPr>
            </w:pPr>
          </w:p>
        </w:tc>
        <w:tc>
          <w:tcPr>
            <w:tcW w:w="724" w:type="dxa"/>
            <w:noWrap w:val="0"/>
            <w:vAlign w:val="center"/>
          </w:tcPr>
          <w:p w14:paraId="3A3F178F">
            <w:pPr>
              <w:spacing w:line="360" w:lineRule="auto"/>
              <w:jc w:val="center"/>
              <w:rPr>
                <w:rFonts w:hint="eastAsia" w:ascii="宋体" w:hAnsi="宋体" w:cs="宋体"/>
                <w:sz w:val="24"/>
              </w:rPr>
            </w:pPr>
          </w:p>
        </w:tc>
        <w:tc>
          <w:tcPr>
            <w:tcW w:w="727" w:type="dxa"/>
            <w:noWrap w:val="0"/>
            <w:vAlign w:val="center"/>
          </w:tcPr>
          <w:p w14:paraId="0A42E35A">
            <w:pPr>
              <w:spacing w:line="360" w:lineRule="auto"/>
              <w:jc w:val="center"/>
              <w:rPr>
                <w:rFonts w:hint="eastAsia" w:ascii="宋体" w:hAnsi="宋体" w:cs="宋体"/>
                <w:sz w:val="24"/>
              </w:rPr>
            </w:pPr>
          </w:p>
        </w:tc>
      </w:tr>
      <w:tr w14:paraId="1A44F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3DB034F4">
            <w:pPr>
              <w:spacing w:line="360" w:lineRule="auto"/>
              <w:jc w:val="center"/>
              <w:rPr>
                <w:rFonts w:hint="eastAsia" w:ascii="宋体" w:hAnsi="宋体" w:cs="宋体"/>
                <w:sz w:val="24"/>
              </w:rPr>
            </w:pPr>
            <w:r>
              <w:rPr>
                <w:rFonts w:hint="eastAsia" w:ascii="宋体" w:hAnsi="宋体" w:cs="宋体"/>
                <w:sz w:val="24"/>
                <w:highlight w:val="white"/>
              </w:rPr>
              <w:t>11</w:t>
            </w:r>
          </w:p>
        </w:tc>
        <w:tc>
          <w:tcPr>
            <w:tcW w:w="1912" w:type="dxa"/>
            <w:noWrap w:val="0"/>
            <w:vAlign w:val="center"/>
          </w:tcPr>
          <w:p w14:paraId="7E28971D">
            <w:pPr>
              <w:spacing w:line="360" w:lineRule="auto"/>
              <w:jc w:val="center"/>
              <w:rPr>
                <w:rFonts w:hint="eastAsia" w:ascii="宋体" w:hAnsi="宋体" w:cs="宋体"/>
                <w:sz w:val="24"/>
              </w:rPr>
            </w:pPr>
            <w:r>
              <w:rPr>
                <w:rFonts w:hint="eastAsia" w:ascii="宋体" w:hAnsi="宋体" w:cs="宋体"/>
                <w:sz w:val="24"/>
                <w:highlight w:val="white"/>
              </w:rPr>
              <w:t>联合体投标人</w:t>
            </w:r>
          </w:p>
        </w:tc>
        <w:tc>
          <w:tcPr>
            <w:tcW w:w="722" w:type="dxa"/>
            <w:noWrap w:val="0"/>
            <w:vAlign w:val="center"/>
          </w:tcPr>
          <w:p w14:paraId="2E073978">
            <w:pPr>
              <w:spacing w:line="360" w:lineRule="auto"/>
              <w:jc w:val="center"/>
              <w:rPr>
                <w:rFonts w:hint="eastAsia" w:ascii="宋体" w:hAnsi="宋体" w:cs="宋体"/>
                <w:sz w:val="24"/>
              </w:rPr>
            </w:pPr>
          </w:p>
        </w:tc>
        <w:tc>
          <w:tcPr>
            <w:tcW w:w="724" w:type="dxa"/>
            <w:noWrap w:val="0"/>
            <w:vAlign w:val="center"/>
          </w:tcPr>
          <w:p w14:paraId="2583B80A">
            <w:pPr>
              <w:spacing w:line="360" w:lineRule="auto"/>
              <w:jc w:val="center"/>
              <w:rPr>
                <w:rFonts w:hint="eastAsia" w:ascii="宋体" w:hAnsi="宋体" w:cs="宋体"/>
                <w:sz w:val="24"/>
              </w:rPr>
            </w:pPr>
          </w:p>
        </w:tc>
        <w:tc>
          <w:tcPr>
            <w:tcW w:w="724" w:type="dxa"/>
            <w:noWrap w:val="0"/>
            <w:vAlign w:val="center"/>
          </w:tcPr>
          <w:p w14:paraId="05552939">
            <w:pPr>
              <w:spacing w:line="360" w:lineRule="auto"/>
              <w:jc w:val="center"/>
              <w:rPr>
                <w:rFonts w:hint="eastAsia" w:ascii="宋体" w:hAnsi="宋体" w:cs="宋体"/>
                <w:sz w:val="24"/>
              </w:rPr>
            </w:pPr>
          </w:p>
        </w:tc>
        <w:tc>
          <w:tcPr>
            <w:tcW w:w="724" w:type="dxa"/>
            <w:noWrap w:val="0"/>
            <w:vAlign w:val="center"/>
          </w:tcPr>
          <w:p w14:paraId="1E42CFAB">
            <w:pPr>
              <w:spacing w:line="360" w:lineRule="auto"/>
              <w:jc w:val="center"/>
              <w:rPr>
                <w:rFonts w:hint="eastAsia" w:ascii="宋体" w:hAnsi="宋体" w:cs="宋体"/>
                <w:sz w:val="24"/>
              </w:rPr>
            </w:pPr>
          </w:p>
        </w:tc>
        <w:tc>
          <w:tcPr>
            <w:tcW w:w="724" w:type="dxa"/>
            <w:noWrap w:val="0"/>
            <w:vAlign w:val="center"/>
          </w:tcPr>
          <w:p w14:paraId="19F0CE2F">
            <w:pPr>
              <w:spacing w:line="360" w:lineRule="auto"/>
              <w:jc w:val="center"/>
              <w:rPr>
                <w:rFonts w:hint="eastAsia" w:ascii="宋体" w:hAnsi="宋体" w:cs="宋体"/>
                <w:sz w:val="24"/>
              </w:rPr>
            </w:pPr>
          </w:p>
        </w:tc>
        <w:tc>
          <w:tcPr>
            <w:tcW w:w="724" w:type="dxa"/>
            <w:noWrap w:val="0"/>
            <w:vAlign w:val="center"/>
          </w:tcPr>
          <w:p w14:paraId="5E513D8F">
            <w:pPr>
              <w:spacing w:line="360" w:lineRule="auto"/>
              <w:jc w:val="center"/>
              <w:rPr>
                <w:rFonts w:hint="eastAsia" w:ascii="宋体" w:hAnsi="宋体" w:cs="宋体"/>
                <w:sz w:val="24"/>
              </w:rPr>
            </w:pPr>
          </w:p>
        </w:tc>
        <w:tc>
          <w:tcPr>
            <w:tcW w:w="724" w:type="dxa"/>
            <w:noWrap w:val="0"/>
            <w:vAlign w:val="center"/>
          </w:tcPr>
          <w:p w14:paraId="257B0C23">
            <w:pPr>
              <w:spacing w:line="360" w:lineRule="auto"/>
              <w:jc w:val="center"/>
              <w:rPr>
                <w:rFonts w:hint="eastAsia" w:ascii="宋体" w:hAnsi="宋体" w:cs="宋体"/>
                <w:sz w:val="24"/>
              </w:rPr>
            </w:pPr>
          </w:p>
        </w:tc>
        <w:tc>
          <w:tcPr>
            <w:tcW w:w="724" w:type="dxa"/>
            <w:noWrap w:val="0"/>
            <w:vAlign w:val="center"/>
          </w:tcPr>
          <w:p w14:paraId="7EF666DA">
            <w:pPr>
              <w:spacing w:line="360" w:lineRule="auto"/>
              <w:jc w:val="center"/>
              <w:rPr>
                <w:rFonts w:hint="eastAsia" w:ascii="宋体" w:hAnsi="宋体" w:cs="宋体"/>
                <w:sz w:val="24"/>
              </w:rPr>
            </w:pPr>
          </w:p>
        </w:tc>
        <w:tc>
          <w:tcPr>
            <w:tcW w:w="727" w:type="dxa"/>
            <w:noWrap w:val="0"/>
            <w:vAlign w:val="center"/>
          </w:tcPr>
          <w:p w14:paraId="2E76CAFD">
            <w:pPr>
              <w:spacing w:line="360" w:lineRule="auto"/>
              <w:jc w:val="center"/>
              <w:rPr>
                <w:rFonts w:hint="eastAsia" w:ascii="宋体" w:hAnsi="宋体" w:cs="宋体"/>
                <w:sz w:val="24"/>
              </w:rPr>
            </w:pPr>
          </w:p>
        </w:tc>
      </w:tr>
      <w:tr w14:paraId="20B24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3E0D2E86">
            <w:pPr>
              <w:spacing w:line="360" w:lineRule="auto"/>
              <w:jc w:val="center"/>
              <w:rPr>
                <w:rFonts w:hint="eastAsia" w:ascii="宋体" w:hAnsi="宋体" w:cs="宋体"/>
                <w:sz w:val="24"/>
              </w:rPr>
            </w:pPr>
            <w:r>
              <w:rPr>
                <w:rFonts w:hint="eastAsia" w:ascii="宋体" w:hAnsi="宋体" w:cs="宋体"/>
                <w:sz w:val="24"/>
                <w:highlight w:val="white"/>
              </w:rPr>
              <w:t>12</w:t>
            </w:r>
          </w:p>
        </w:tc>
        <w:tc>
          <w:tcPr>
            <w:tcW w:w="1912" w:type="dxa"/>
            <w:noWrap w:val="0"/>
            <w:vAlign w:val="center"/>
          </w:tcPr>
          <w:p w14:paraId="55C1473D">
            <w:pPr>
              <w:spacing w:line="360" w:lineRule="auto"/>
              <w:jc w:val="center"/>
              <w:rPr>
                <w:rFonts w:hint="eastAsia" w:ascii="宋体" w:hAnsi="宋体" w:cs="宋体"/>
                <w:sz w:val="24"/>
              </w:rPr>
            </w:pPr>
            <w:r>
              <w:rPr>
                <w:rFonts w:hint="eastAsia" w:ascii="宋体" w:hAnsi="宋体" w:cs="宋体"/>
                <w:sz w:val="24"/>
                <w:highlight w:val="white"/>
              </w:rPr>
              <w:t>投标要求</w:t>
            </w:r>
          </w:p>
        </w:tc>
        <w:tc>
          <w:tcPr>
            <w:tcW w:w="722" w:type="dxa"/>
            <w:noWrap w:val="0"/>
            <w:vAlign w:val="center"/>
          </w:tcPr>
          <w:p w14:paraId="15E56898">
            <w:pPr>
              <w:spacing w:line="360" w:lineRule="auto"/>
              <w:jc w:val="center"/>
              <w:rPr>
                <w:rFonts w:hint="eastAsia" w:ascii="宋体" w:hAnsi="宋体" w:cs="宋体"/>
                <w:sz w:val="24"/>
              </w:rPr>
            </w:pPr>
          </w:p>
        </w:tc>
        <w:tc>
          <w:tcPr>
            <w:tcW w:w="724" w:type="dxa"/>
            <w:noWrap w:val="0"/>
            <w:vAlign w:val="center"/>
          </w:tcPr>
          <w:p w14:paraId="1DA202AA">
            <w:pPr>
              <w:spacing w:line="360" w:lineRule="auto"/>
              <w:jc w:val="center"/>
              <w:rPr>
                <w:rFonts w:hint="eastAsia" w:ascii="宋体" w:hAnsi="宋体" w:cs="宋体"/>
                <w:sz w:val="24"/>
              </w:rPr>
            </w:pPr>
          </w:p>
        </w:tc>
        <w:tc>
          <w:tcPr>
            <w:tcW w:w="724" w:type="dxa"/>
            <w:noWrap w:val="0"/>
            <w:vAlign w:val="center"/>
          </w:tcPr>
          <w:p w14:paraId="7ED8F874">
            <w:pPr>
              <w:spacing w:line="360" w:lineRule="auto"/>
              <w:jc w:val="center"/>
              <w:rPr>
                <w:rFonts w:hint="eastAsia" w:ascii="宋体" w:hAnsi="宋体" w:cs="宋体"/>
                <w:sz w:val="24"/>
              </w:rPr>
            </w:pPr>
          </w:p>
        </w:tc>
        <w:tc>
          <w:tcPr>
            <w:tcW w:w="724" w:type="dxa"/>
            <w:noWrap w:val="0"/>
            <w:vAlign w:val="center"/>
          </w:tcPr>
          <w:p w14:paraId="5B8E38A0">
            <w:pPr>
              <w:spacing w:line="360" w:lineRule="auto"/>
              <w:jc w:val="center"/>
              <w:rPr>
                <w:rFonts w:hint="eastAsia" w:ascii="宋体" w:hAnsi="宋体" w:cs="宋体"/>
                <w:sz w:val="24"/>
              </w:rPr>
            </w:pPr>
          </w:p>
        </w:tc>
        <w:tc>
          <w:tcPr>
            <w:tcW w:w="724" w:type="dxa"/>
            <w:noWrap w:val="0"/>
            <w:vAlign w:val="center"/>
          </w:tcPr>
          <w:p w14:paraId="465D3E1B">
            <w:pPr>
              <w:spacing w:line="360" w:lineRule="auto"/>
              <w:jc w:val="center"/>
              <w:rPr>
                <w:rFonts w:hint="eastAsia" w:ascii="宋体" w:hAnsi="宋体" w:cs="宋体"/>
                <w:sz w:val="24"/>
              </w:rPr>
            </w:pPr>
          </w:p>
        </w:tc>
        <w:tc>
          <w:tcPr>
            <w:tcW w:w="724" w:type="dxa"/>
            <w:noWrap w:val="0"/>
            <w:vAlign w:val="center"/>
          </w:tcPr>
          <w:p w14:paraId="3C3D5A1C">
            <w:pPr>
              <w:spacing w:line="360" w:lineRule="auto"/>
              <w:jc w:val="center"/>
              <w:rPr>
                <w:rFonts w:hint="eastAsia" w:ascii="宋体" w:hAnsi="宋体" w:cs="宋体"/>
                <w:sz w:val="24"/>
              </w:rPr>
            </w:pPr>
          </w:p>
        </w:tc>
        <w:tc>
          <w:tcPr>
            <w:tcW w:w="724" w:type="dxa"/>
            <w:noWrap w:val="0"/>
            <w:vAlign w:val="center"/>
          </w:tcPr>
          <w:p w14:paraId="0E3BF284">
            <w:pPr>
              <w:spacing w:line="360" w:lineRule="auto"/>
              <w:jc w:val="center"/>
              <w:rPr>
                <w:rFonts w:hint="eastAsia" w:ascii="宋体" w:hAnsi="宋体" w:cs="宋体"/>
                <w:sz w:val="24"/>
              </w:rPr>
            </w:pPr>
          </w:p>
        </w:tc>
        <w:tc>
          <w:tcPr>
            <w:tcW w:w="724" w:type="dxa"/>
            <w:noWrap w:val="0"/>
            <w:vAlign w:val="center"/>
          </w:tcPr>
          <w:p w14:paraId="453D74EA">
            <w:pPr>
              <w:spacing w:line="360" w:lineRule="auto"/>
              <w:jc w:val="center"/>
              <w:rPr>
                <w:rFonts w:hint="eastAsia" w:ascii="宋体" w:hAnsi="宋体" w:cs="宋体"/>
                <w:sz w:val="24"/>
              </w:rPr>
            </w:pPr>
          </w:p>
        </w:tc>
        <w:tc>
          <w:tcPr>
            <w:tcW w:w="727" w:type="dxa"/>
            <w:noWrap w:val="0"/>
            <w:vAlign w:val="center"/>
          </w:tcPr>
          <w:p w14:paraId="0939E2DA">
            <w:pPr>
              <w:spacing w:line="360" w:lineRule="auto"/>
              <w:jc w:val="center"/>
              <w:rPr>
                <w:rFonts w:hint="eastAsia" w:ascii="宋体" w:hAnsi="宋体" w:cs="宋体"/>
                <w:sz w:val="24"/>
              </w:rPr>
            </w:pPr>
          </w:p>
        </w:tc>
      </w:tr>
      <w:tr w14:paraId="43F2D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708" w:type="dxa"/>
            <w:noWrap w:val="0"/>
            <w:vAlign w:val="center"/>
          </w:tcPr>
          <w:p w14:paraId="35CF1960">
            <w:pPr>
              <w:spacing w:line="360" w:lineRule="auto"/>
              <w:jc w:val="center"/>
              <w:rPr>
                <w:rFonts w:ascii="宋体" w:hAnsi="宋体" w:cs="宋体"/>
                <w:sz w:val="24"/>
              </w:rPr>
            </w:pPr>
            <w:r>
              <w:rPr>
                <w:rFonts w:hint="eastAsia" w:ascii="宋体" w:hAnsi="宋体" w:cs="宋体"/>
                <w:w w:val="99"/>
                <w:sz w:val="24"/>
                <w:highlight w:val="white"/>
              </w:rPr>
              <w:t>…</w:t>
            </w:r>
          </w:p>
        </w:tc>
        <w:tc>
          <w:tcPr>
            <w:tcW w:w="1912" w:type="dxa"/>
            <w:noWrap w:val="0"/>
            <w:vAlign w:val="center"/>
          </w:tcPr>
          <w:p w14:paraId="5146D6F3">
            <w:pPr>
              <w:spacing w:line="360" w:lineRule="auto"/>
              <w:jc w:val="center"/>
              <w:rPr>
                <w:rFonts w:hint="eastAsia" w:ascii="宋体" w:hAnsi="宋体" w:cs="宋体"/>
                <w:sz w:val="24"/>
              </w:rPr>
            </w:pPr>
            <w:r>
              <w:rPr>
                <w:rFonts w:hint="eastAsia" w:ascii="宋体" w:hAnsi="宋体" w:cs="宋体"/>
                <w:w w:val="99"/>
                <w:sz w:val="24"/>
                <w:highlight w:val="white"/>
              </w:rPr>
              <w:t>……</w:t>
            </w:r>
          </w:p>
        </w:tc>
        <w:tc>
          <w:tcPr>
            <w:tcW w:w="722" w:type="dxa"/>
            <w:noWrap w:val="0"/>
            <w:vAlign w:val="center"/>
          </w:tcPr>
          <w:p w14:paraId="2D688DE3">
            <w:pPr>
              <w:spacing w:line="360" w:lineRule="auto"/>
              <w:jc w:val="center"/>
              <w:rPr>
                <w:rFonts w:hint="eastAsia" w:ascii="宋体" w:hAnsi="宋体" w:cs="宋体"/>
                <w:sz w:val="24"/>
              </w:rPr>
            </w:pPr>
          </w:p>
        </w:tc>
        <w:tc>
          <w:tcPr>
            <w:tcW w:w="724" w:type="dxa"/>
            <w:noWrap w:val="0"/>
            <w:vAlign w:val="center"/>
          </w:tcPr>
          <w:p w14:paraId="31E48869">
            <w:pPr>
              <w:spacing w:line="360" w:lineRule="auto"/>
              <w:jc w:val="center"/>
              <w:rPr>
                <w:rFonts w:hint="eastAsia" w:ascii="宋体" w:hAnsi="宋体" w:cs="宋体"/>
                <w:sz w:val="24"/>
              </w:rPr>
            </w:pPr>
          </w:p>
        </w:tc>
        <w:tc>
          <w:tcPr>
            <w:tcW w:w="724" w:type="dxa"/>
            <w:noWrap w:val="0"/>
            <w:vAlign w:val="center"/>
          </w:tcPr>
          <w:p w14:paraId="190A6FC3">
            <w:pPr>
              <w:spacing w:line="360" w:lineRule="auto"/>
              <w:jc w:val="center"/>
              <w:rPr>
                <w:rFonts w:hint="eastAsia" w:ascii="宋体" w:hAnsi="宋体" w:cs="宋体"/>
                <w:sz w:val="24"/>
              </w:rPr>
            </w:pPr>
          </w:p>
        </w:tc>
        <w:tc>
          <w:tcPr>
            <w:tcW w:w="724" w:type="dxa"/>
            <w:noWrap w:val="0"/>
            <w:vAlign w:val="center"/>
          </w:tcPr>
          <w:p w14:paraId="54A80288">
            <w:pPr>
              <w:spacing w:line="360" w:lineRule="auto"/>
              <w:jc w:val="center"/>
              <w:rPr>
                <w:rFonts w:hint="eastAsia" w:ascii="宋体" w:hAnsi="宋体" w:cs="宋体"/>
                <w:sz w:val="24"/>
              </w:rPr>
            </w:pPr>
          </w:p>
        </w:tc>
        <w:tc>
          <w:tcPr>
            <w:tcW w:w="724" w:type="dxa"/>
            <w:noWrap w:val="0"/>
            <w:vAlign w:val="center"/>
          </w:tcPr>
          <w:p w14:paraId="01ABEE7E">
            <w:pPr>
              <w:spacing w:line="360" w:lineRule="auto"/>
              <w:jc w:val="center"/>
              <w:rPr>
                <w:rFonts w:hint="eastAsia" w:ascii="宋体" w:hAnsi="宋体" w:cs="宋体"/>
                <w:sz w:val="24"/>
              </w:rPr>
            </w:pPr>
          </w:p>
        </w:tc>
        <w:tc>
          <w:tcPr>
            <w:tcW w:w="724" w:type="dxa"/>
            <w:noWrap w:val="0"/>
            <w:vAlign w:val="center"/>
          </w:tcPr>
          <w:p w14:paraId="764A04B2">
            <w:pPr>
              <w:spacing w:line="360" w:lineRule="auto"/>
              <w:jc w:val="center"/>
              <w:rPr>
                <w:rFonts w:hint="eastAsia" w:ascii="宋体" w:hAnsi="宋体" w:cs="宋体"/>
                <w:sz w:val="24"/>
              </w:rPr>
            </w:pPr>
          </w:p>
        </w:tc>
        <w:tc>
          <w:tcPr>
            <w:tcW w:w="724" w:type="dxa"/>
            <w:noWrap w:val="0"/>
            <w:vAlign w:val="center"/>
          </w:tcPr>
          <w:p w14:paraId="0D7DF50C">
            <w:pPr>
              <w:spacing w:line="360" w:lineRule="auto"/>
              <w:jc w:val="center"/>
              <w:rPr>
                <w:rFonts w:hint="eastAsia" w:ascii="宋体" w:hAnsi="宋体" w:cs="宋体"/>
                <w:sz w:val="24"/>
              </w:rPr>
            </w:pPr>
          </w:p>
        </w:tc>
        <w:tc>
          <w:tcPr>
            <w:tcW w:w="724" w:type="dxa"/>
            <w:noWrap w:val="0"/>
            <w:vAlign w:val="center"/>
          </w:tcPr>
          <w:p w14:paraId="16E53AD2">
            <w:pPr>
              <w:spacing w:line="360" w:lineRule="auto"/>
              <w:jc w:val="center"/>
              <w:rPr>
                <w:rFonts w:hint="eastAsia" w:ascii="宋体" w:hAnsi="宋体" w:cs="宋体"/>
                <w:sz w:val="24"/>
              </w:rPr>
            </w:pPr>
          </w:p>
        </w:tc>
        <w:tc>
          <w:tcPr>
            <w:tcW w:w="727" w:type="dxa"/>
            <w:noWrap w:val="0"/>
            <w:vAlign w:val="center"/>
          </w:tcPr>
          <w:p w14:paraId="38CB38DB">
            <w:pPr>
              <w:spacing w:line="360" w:lineRule="auto"/>
              <w:jc w:val="center"/>
              <w:rPr>
                <w:rFonts w:hint="eastAsia" w:ascii="宋体" w:hAnsi="宋体" w:cs="宋体"/>
                <w:sz w:val="24"/>
              </w:rPr>
            </w:pPr>
          </w:p>
        </w:tc>
      </w:tr>
      <w:tr w14:paraId="47EE0E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620" w:type="dxa"/>
            <w:gridSpan w:val="2"/>
            <w:noWrap w:val="0"/>
            <w:vAlign w:val="center"/>
          </w:tcPr>
          <w:p w14:paraId="0C9F30B6">
            <w:pPr>
              <w:spacing w:line="360" w:lineRule="auto"/>
              <w:jc w:val="center"/>
              <w:rPr>
                <w:rFonts w:hint="eastAsia" w:ascii="宋体" w:hAnsi="宋体" w:cs="宋体"/>
                <w:sz w:val="24"/>
              </w:rPr>
            </w:pPr>
            <w:r>
              <w:rPr>
                <w:rFonts w:hint="eastAsia" w:ascii="宋体" w:hAnsi="宋体"/>
                <w:sz w:val="24"/>
                <w:highlight w:val="white"/>
              </w:rPr>
              <w:t>评审结论：符合/不符合</w:t>
            </w:r>
          </w:p>
        </w:tc>
        <w:tc>
          <w:tcPr>
            <w:tcW w:w="722" w:type="dxa"/>
            <w:noWrap w:val="0"/>
            <w:vAlign w:val="center"/>
          </w:tcPr>
          <w:p w14:paraId="0FED89EC">
            <w:pPr>
              <w:spacing w:line="360" w:lineRule="auto"/>
              <w:jc w:val="center"/>
              <w:rPr>
                <w:rFonts w:hint="eastAsia" w:ascii="宋体" w:hAnsi="宋体" w:cs="宋体"/>
                <w:sz w:val="24"/>
              </w:rPr>
            </w:pPr>
          </w:p>
        </w:tc>
        <w:tc>
          <w:tcPr>
            <w:tcW w:w="724" w:type="dxa"/>
            <w:noWrap w:val="0"/>
            <w:vAlign w:val="center"/>
          </w:tcPr>
          <w:p w14:paraId="4C6ED77E">
            <w:pPr>
              <w:spacing w:line="360" w:lineRule="auto"/>
              <w:jc w:val="center"/>
              <w:rPr>
                <w:rFonts w:hint="eastAsia" w:ascii="宋体" w:hAnsi="宋体" w:cs="宋体"/>
                <w:sz w:val="24"/>
              </w:rPr>
            </w:pPr>
          </w:p>
        </w:tc>
        <w:tc>
          <w:tcPr>
            <w:tcW w:w="724" w:type="dxa"/>
            <w:noWrap w:val="0"/>
            <w:vAlign w:val="center"/>
          </w:tcPr>
          <w:p w14:paraId="7C0F47DF">
            <w:pPr>
              <w:spacing w:line="360" w:lineRule="auto"/>
              <w:jc w:val="center"/>
              <w:rPr>
                <w:rFonts w:hint="eastAsia" w:ascii="宋体" w:hAnsi="宋体" w:cs="宋体"/>
                <w:sz w:val="24"/>
              </w:rPr>
            </w:pPr>
          </w:p>
        </w:tc>
        <w:tc>
          <w:tcPr>
            <w:tcW w:w="724" w:type="dxa"/>
            <w:noWrap w:val="0"/>
            <w:vAlign w:val="center"/>
          </w:tcPr>
          <w:p w14:paraId="1D837B10">
            <w:pPr>
              <w:spacing w:line="360" w:lineRule="auto"/>
              <w:jc w:val="center"/>
              <w:rPr>
                <w:rFonts w:hint="eastAsia" w:ascii="宋体" w:hAnsi="宋体" w:cs="宋体"/>
                <w:sz w:val="24"/>
              </w:rPr>
            </w:pPr>
          </w:p>
        </w:tc>
        <w:tc>
          <w:tcPr>
            <w:tcW w:w="724" w:type="dxa"/>
            <w:noWrap w:val="0"/>
            <w:vAlign w:val="center"/>
          </w:tcPr>
          <w:p w14:paraId="1F73B413">
            <w:pPr>
              <w:spacing w:line="360" w:lineRule="auto"/>
              <w:jc w:val="center"/>
              <w:rPr>
                <w:rFonts w:hint="eastAsia" w:ascii="宋体" w:hAnsi="宋体" w:cs="宋体"/>
                <w:sz w:val="24"/>
              </w:rPr>
            </w:pPr>
          </w:p>
        </w:tc>
        <w:tc>
          <w:tcPr>
            <w:tcW w:w="724" w:type="dxa"/>
            <w:noWrap w:val="0"/>
            <w:vAlign w:val="center"/>
          </w:tcPr>
          <w:p w14:paraId="010236C2">
            <w:pPr>
              <w:spacing w:line="360" w:lineRule="auto"/>
              <w:jc w:val="center"/>
              <w:rPr>
                <w:rFonts w:hint="eastAsia" w:ascii="宋体" w:hAnsi="宋体" w:cs="宋体"/>
                <w:sz w:val="24"/>
              </w:rPr>
            </w:pPr>
          </w:p>
        </w:tc>
        <w:tc>
          <w:tcPr>
            <w:tcW w:w="724" w:type="dxa"/>
            <w:noWrap w:val="0"/>
            <w:vAlign w:val="center"/>
          </w:tcPr>
          <w:p w14:paraId="7D5540B4">
            <w:pPr>
              <w:spacing w:line="360" w:lineRule="auto"/>
              <w:jc w:val="center"/>
              <w:rPr>
                <w:rFonts w:hint="eastAsia" w:ascii="宋体" w:hAnsi="宋体" w:cs="宋体"/>
                <w:sz w:val="24"/>
              </w:rPr>
            </w:pPr>
          </w:p>
        </w:tc>
        <w:tc>
          <w:tcPr>
            <w:tcW w:w="724" w:type="dxa"/>
            <w:noWrap w:val="0"/>
            <w:vAlign w:val="center"/>
          </w:tcPr>
          <w:p w14:paraId="51EBB4FD">
            <w:pPr>
              <w:spacing w:line="360" w:lineRule="auto"/>
              <w:jc w:val="center"/>
              <w:rPr>
                <w:rFonts w:hint="eastAsia" w:ascii="宋体" w:hAnsi="宋体" w:cs="宋体"/>
                <w:sz w:val="24"/>
              </w:rPr>
            </w:pPr>
          </w:p>
        </w:tc>
        <w:tc>
          <w:tcPr>
            <w:tcW w:w="727" w:type="dxa"/>
            <w:noWrap w:val="0"/>
            <w:vAlign w:val="center"/>
          </w:tcPr>
          <w:p w14:paraId="2DF5E011">
            <w:pPr>
              <w:spacing w:line="360" w:lineRule="auto"/>
              <w:jc w:val="center"/>
              <w:rPr>
                <w:rFonts w:hint="eastAsia" w:ascii="宋体" w:hAnsi="宋体" w:cs="宋体"/>
                <w:sz w:val="24"/>
              </w:rPr>
            </w:pPr>
          </w:p>
        </w:tc>
      </w:tr>
    </w:tbl>
    <w:p w14:paraId="78800DCE">
      <w:pPr>
        <w:spacing w:line="360" w:lineRule="auto"/>
        <w:rPr>
          <w:rFonts w:hint="eastAsia" w:ascii="宋体" w:hAnsi="宋体" w:cs="宋体"/>
          <w:sz w:val="24"/>
        </w:rPr>
      </w:pPr>
      <w:r>
        <w:rPr>
          <w:rFonts w:hint="eastAsia" w:ascii="宋体" w:hAnsi="宋体" w:cs="宋体"/>
          <w:sz w:val="24"/>
          <w:highlight w:val="white"/>
        </w:rPr>
        <w:t>评标委员会全体成员签名：</w:t>
      </w:r>
    </w:p>
    <w:p w14:paraId="02E0BD35">
      <w:pPr>
        <w:spacing w:line="360" w:lineRule="auto"/>
        <w:rPr>
          <w:rFonts w:hint="eastAsia" w:ascii="宋体" w:hAnsi="宋体" w:cs="宋体"/>
          <w:sz w:val="24"/>
        </w:rPr>
      </w:pPr>
      <w:r>
        <w:rPr>
          <w:rFonts w:hint="eastAsia" w:ascii="宋体" w:hAnsi="宋体" w:cs="宋体"/>
          <w:sz w:val="24"/>
          <w:highlight w:val="white"/>
        </w:rPr>
        <w:t xml:space="preserve">    </w:t>
      </w:r>
    </w:p>
    <w:p w14:paraId="51B52B1D">
      <w:pPr>
        <w:pStyle w:val="3"/>
        <w:rPr>
          <w:rFonts w:hint="eastAsia" w:ascii="宋体" w:hAnsi="宋体" w:eastAsia="宋体"/>
          <w:sz w:val="24"/>
          <w:szCs w:val="24"/>
        </w:rPr>
      </w:pPr>
      <w:r>
        <w:rPr>
          <w:rFonts w:ascii="宋体" w:hAnsi="宋体" w:eastAsia="宋体"/>
          <w:sz w:val="24"/>
          <w:szCs w:val="24"/>
          <w:highlight w:val="white"/>
        </w:rPr>
        <w:br w:type="page"/>
      </w:r>
      <w:bookmarkStart w:id="216" w:name="_Toc256000087"/>
      <w:r>
        <w:rPr>
          <w:rFonts w:hint="eastAsia" w:ascii="宋体" w:hAnsi="宋体" w:eastAsia="宋体"/>
          <w:sz w:val="24"/>
          <w:szCs w:val="24"/>
          <w:highlight w:val="white"/>
        </w:rPr>
        <w:t>附表4：响应性评审记录表</w:t>
      </w:r>
      <w:bookmarkEnd w:id="216"/>
    </w:p>
    <w:p w14:paraId="09B08D5C">
      <w:pPr>
        <w:spacing w:line="360" w:lineRule="auto"/>
        <w:jc w:val="center"/>
        <w:rPr>
          <w:rFonts w:hint="eastAsia" w:ascii="宋体" w:hAnsi="宋体" w:cs="宋体"/>
          <w:b/>
          <w:sz w:val="24"/>
        </w:rPr>
      </w:pPr>
      <w:r>
        <w:rPr>
          <w:rFonts w:hint="eastAsia" w:ascii="宋体" w:hAnsi="宋体" w:cs="宋体"/>
          <w:b/>
          <w:sz w:val="24"/>
          <w:highlight w:val="white"/>
        </w:rPr>
        <w:t>响应性评审记录表</w:t>
      </w:r>
    </w:p>
    <w:p w14:paraId="2CBC4471">
      <w:pPr>
        <w:spacing w:line="360" w:lineRule="auto"/>
        <w:jc w:val="center"/>
        <w:rPr>
          <w:rFonts w:hint="eastAsia" w:ascii="宋体" w:hAnsi="宋体" w:cs="宋体"/>
          <w:b/>
          <w:sz w:val="24"/>
        </w:rPr>
      </w:pPr>
    </w:p>
    <w:p w14:paraId="06B4AB7D">
      <w:pPr>
        <w:spacing w:line="360" w:lineRule="auto"/>
        <w:rPr>
          <w:rFonts w:hint="eastAsia"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7"/>
        <w:gridCol w:w="2033"/>
        <w:gridCol w:w="722"/>
        <w:gridCol w:w="724"/>
        <w:gridCol w:w="724"/>
        <w:gridCol w:w="724"/>
        <w:gridCol w:w="724"/>
        <w:gridCol w:w="724"/>
        <w:gridCol w:w="724"/>
        <w:gridCol w:w="724"/>
        <w:gridCol w:w="727"/>
      </w:tblGrid>
      <w:tr w14:paraId="586BCC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vMerge w:val="restart"/>
            <w:noWrap w:val="0"/>
            <w:vAlign w:val="center"/>
          </w:tcPr>
          <w:p w14:paraId="0732522A">
            <w:pPr>
              <w:spacing w:line="360" w:lineRule="auto"/>
              <w:jc w:val="center"/>
              <w:rPr>
                <w:rFonts w:hint="eastAsia" w:ascii="宋体" w:hAnsi="宋体" w:cs="宋体"/>
                <w:sz w:val="24"/>
              </w:rPr>
            </w:pPr>
            <w:r>
              <w:rPr>
                <w:rFonts w:hint="eastAsia" w:ascii="宋体" w:hAnsi="宋体" w:cs="宋体"/>
                <w:sz w:val="24"/>
                <w:highlight w:val="white"/>
              </w:rPr>
              <w:t>序号</w:t>
            </w:r>
          </w:p>
        </w:tc>
        <w:tc>
          <w:tcPr>
            <w:tcW w:w="2033" w:type="dxa"/>
            <w:vMerge w:val="restart"/>
            <w:noWrap w:val="0"/>
            <w:vAlign w:val="center"/>
          </w:tcPr>
          <w:p w14:paraId="1EB7437C">
            <w:pPr>
              <w:spacing w:line="360" w:lineRule="auto"/>
              <w:jc w:val="center"/>
              <w:rPr>
                <w:rFonts w:hint="eastAsia" w:ascii="宋体" w:hAnsi="宋体" w:cs="宋体"/>
                <w:sz w:val="24"/>
              </w:rPr>
            </w:pPr>
            <w:r>
              <w:rPr>
                <w:rFonts w:hint="eastAsia" w:ascii="宋体" w:hAnsi="宋体" w:cs="宋体"/>
                <w:sz w:val="24"/>
                <w:highlight w:val="white"/>
              </w:rPr>
              <w:t>评审因素</w:t>
            </w:r>
          </w:p>
        </w:tc>
        <w:tc>
          <w:tcPr>
            <w:tcW w:w="6517" w:type="dxa"/>
            <w:gridSpan w:val="9"/>
            <w:noWrap w:val="0"/>
            <w:vAlign w:val="center"/>
          </w:tcPr>
          <w:p w14:paraId="55FE6ADA">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415218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vMerge w:val="continue"/>
            <w:noWrap w:val="0"/>
            <w:vAlign w:val="center"/>
          </w:tcPr>
          <w:p w14:paraId="5CEA11A6">
            <w:pPr>
              <w:spacing w:line="360" w:lineRule="auto"/>
              <w:rPr>
                <w:rFonts w:hint="eastAsia" w:ascii="宋体" w:hAnsi="宋体" w:cs="宋体"/>
                <w:sz w:val="24"/>
              </w:rPr>
            </w:pPr>
          </w:p>
        </w:tc>
        <w:tc>
          <w:tcPr>
            <w:tcW w:w="2033" w:type="dxa"/>
            <w:vMerge w:val="continue"/>
            <w:noWrap w:val="0"/>
            <w:vAlign w:val="center"/>
          </w:tcPr>
          <w:p w14:paraId="0AA39AA4">
            <w:pPr>
              <w:spacing w:line="360" w:lineRule="auto"/>
              <w:rPr>
                <w:rFonts w:hint="eastAsia" w:ascii="宋体" w:hAnsi="宋体" w:cs="宋体"/>
                <w:sz w:val="24"/>
              </w:rPr>
            </w:pPr>
          </w:p>
        </w:tc>
        <w:tc>
          <w:tcPr>
            <w:tcW w:w="722" w:type="dxa"/>
            <w:noWrap w:val="0"/>
            <w:vAlign w:val="center"/>
          </w:tcPr>
          <w:p w14:paraId="7F81ACFF">
            <w:pPr>
              <w:spacing w:line="360" w:lineRule="auto"/>
              <w:jc w:val="center"/>
              <w:rPr>
                <w:rFonts w:hint="eastAsia" w:ascii="宋体" w:hAnsi="宋体" w:cs="宋体"/>
                <w:sz w:val="24"/>
              </w:rPr>
            </w:pPr>
          </w:p>
        </w:tc>
        <w:tc>
          <w:tcPr>
            <w:tcW w:w="724" w:type="dxa"/>
            <w:noWrap w:val="0"/>
            <w:vAlign w:val="center"/>
          </w:tcPr>
          <w:p w14:paraId="72D7C6CE">
            <w:pPr>
              <w:spacing w:line="360" w:lineRule="auto"/>
              <w:jc w:val="center"/>
              <w:rPr>
                <w:rFonts w:hint="eastAsia" w:ascii="宋体" w:hAnsi="宋体" w:cs="宋体"/>
                <w:sz w:val="24"/>
              </w:rPr>
            </w:pPr>
          </w:p>
        </w:tc>
        <w:tc>
          <w:tcPr>
            <w:tcW w:w="724" w:type="dxa"/>
            <w:noWrap w:val="0"/>
            <w:vAlign w:val="center"/>
          </w:tcPr>
          <w:p w14:paraId="7C9DB0A9">
            <w:pPr>
              <w:spacing w:line="360" w:lineRule="auto"/>
              <w:jc w:val="center"/>
              <w:rPr>
                <w:rFonts w:hint="eastAsia" w:ascii="宋体" w:hAnsi="宋体" w:cs="宋体"/>
                <w:sz w:val="24"/>
              </w:rPr>
            </w:pPr>
          </w:p>
        </w:tc>
        <w:tc>
          <w:tcPr>
            <w:tcW w:w="724" w:type="dxa"/>
            <w:noWrap w:val="0"/>
            <w:vAlign w:val="center"/>
          </w:tcPr>
          <w:p w14:paraId="0E1D1C2A">
            <w:pPr>
              <w:spacing w:line="360" w:lineRule="auto"/>
              <w:jc w:val="center"/>
              <w:rPr>
                <w:rFonts w:hint="eastAsia" w:ascii="宋体" w:hAnsi="宋体" w:cs="宋体"/>
                <w:sz w:val="24"/>
              </w:rPr>
            </w:pPr>
          </w:p>
        </w:tc>
        <w:tc>
          <w:tcPr>
            <w:tcW w:w="724" w:type="dxa"/>
            <w:noWrap w:val="0"/>
            <w:vAlign w:val="center"/>
          </w:tcPr>
          <w:p w14:paraId="4A7B56C4">
            <w:pPr>
              <w:spacing w:line="360" w:lineRule="auto"/>
              <w:jc w:val="center"/>
              <w:rPr>
                <w:rFonts w:hint="eastAsia" w:ascii="宋体" w:hAnsi="宋体" w:cs="宋体"/>
                <w:sz w:val="24"/>
              </w:rPr>
            </w:pPr>
          </w:p>
        </w:tc>
        <w:tc>
          <w:tcPr>
            <w:tcW w:w="724" w:type="dxa"/>
            <w:noWrap w:val="0"/>
            <w:vAlign w:val="center"/>
          </w:tcPr>
          <w:p w14:paraId="2AC745EC">
            <w:pPr>
              <w:spacing w:line="360" w:lineRule="auto"/>
              <w:jc w:val="center"/>
              <w:rPr>
                <w:rFonts w:hint="eastAsia" w:ascii="宋体" w:hAnsi="宋体" w:cs="宋体"/>
                <w:sz w:val="24"/>
              </w:rPr>
            </w:pPr>
          </w:p>
        </w:tc>
        <w:tc>
          <w:tcPr>
            <w:tcW w:w="724" w:type="dxa"/>
            <w:noWrap w:val="0"/>
            <w:vAlign w:val="center"/>
          </w:tcPr>
          <w:p w14:paraId="606CE79F">
            <w:pPr>
              <w:spacing w:line="360" w:lineRule="auto"/>
              <w:jc w:val="center"/>
              <w:rPr>
                <w:rFonts w:hint="eastAsia" w:ascii="宋体" w:hAnsi="宋体" w:cs="宋体"/>
                <w:sz w:val="24"/>
              </w:rPr>
            </w:pPr>
          </w:p>
        </w:tc>
        <w:tc>
          <w:tcPr>
            <w:tcW w:w="724" w:type="dxa"/>
            <w:noWrap w:val="0"/>
            <w:vAlign w:val="center"/>
          </w:tcPr>
          <w:p w14:paraId="3C85FD29">
            <w:pPr>
              <w:spacing w:line="360" w:lineRule="auto"/>
              <w:jc w:val="center"/>
              <w:rPr>
                <w:rFonts w:hint="eastAsia" w:ascii="宋体" w:hAnsi="宋体" w:cs="宋体"/>
                <w:sz w:val="24"/>
              </w:rPr>
            </w:pPr>
          </w:p>
        </w:tc>
        <w:tc>
          <w:tcPr>
            <w:tcW w:w="727" w:type="dxa"/>
            <w:noWrap w:val="0"/>
            <w:vAlign w:val="center"/>
          </w:tcPr>
          <w:p w14:paraId="5D7CE208">
            <w:pPr>
              <w:spacing w:line="360" w:lineRule="auto"/>
              <w:jc w:val="center"/>
              <w:rPr>
                <w:rFonts w:hint="eastAsia" w:ascii="宋体" w:hAnsi="宋体" w:cs="宋体"/>
                <w:sz w:val="24"/>
              </w:rPr>
            </w:pPr>
          </w:p>
        </w:tc>
      </w:tr>
      <w:tr w14:paraId="12D2E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0A43A9BB">
            <w:pPr>
              <w:spacing w:line="360" w:lineRule="auto"/>
              <w:jc w:val="center"/>
              <w:rPr>
                <w:rFonts w:hint="eastAsia" w:ascii="宋体" w:hAnsi="宋体" w:cs="宋体"/>
                <w:sz w:val="24"/>
              </w:rPr>
            </w:pPr>
            <w:r>
              <w:rPr>
                <w:rFonts w:hint="eastAsia" w:ascii="宋体" w:hAnsi="宋体" w:cs="宋体"/>
                <w:sz w:val="24"/>
                <w:highlight w:val="white"/>
              </w:rPr>
              <w:t>1</w:t>
            </w:r>
          </w:p>
        </w:tc>
        <w:tc>
          <w:tcPr>
            <w:tcW w:w="2033" w:type="dxa"/>
            <w:noWrap w:val="0"/>
            <w:vAlign w:val="center"/>
          </w:tcPr>
          <w:p w14:paraId="6EA9ACDA">
            <w:pPr>
              <w:spacing w:line="360" w:lineRule="auto"/>
              <w:jc w:val="center"/>
              <w:rPr>
                <w:rFonts w:hint="eastAsia" w:ascii="宋体" w:hAnsi="宋体" w:cs="宋体"/>
                <w:sz w:val="24"/>
              </w:rPr>
            </w:pPr>
            <w:r>
              <w:rPr>
                <w:rFonts w:hint="eastAsia" w:ascii="宋体" w:hAnsi="宋体" w:cs="宋体"/>
                <w:sz w:val="24"/>
                <w:highlight w:val="white"/>
              </w:rPr>
              <w:t>投标报价</w:t>
            </w:r>
          </w:p>
        </w:tc>
        <w:tc>
          <w:tcPr>
            <w:tcW w:w="722" w:type="dxa"/>
            <w:noWrap w:val="0"/>
            <w:vAlign w:val="center"/>
          </w:tcPr>
          <w:p w14:paraId="0B84D185">
            <w:pPr>
              <w:spacing w:line="360" w:lineRule="auto"/>
              <w:jc w:val="center"/>
              <w:rPr>
                <w:rFonts w:hint="eastAsia" w:ascii="宋体" w:hAnsi="宋体" w:cs="宋体"/>
                <w:sz w:val="24"/>
              </w:rPr>
            </w:pPr>
          </w:p>
        </w:tc>
        <w:tc>
          <w:tcPr>
            <w:tcW w:w="724" w:type="dxa"/>
            <w:noWrap w:val="0"/>
            <w:vAlign w:val="center"/>
          </w:tcPr>
          <w:p w14:paraId="3ECD5797">
            <w:pPr>
              <w:spacing w:line="360" w:lineRule="auto"/>
              <w:jc w:val="center"/>
              <w:rPr>
                <w:rFonts w:hint="eastAsia" w:ascii="宋体" w:hAnsi="宋体" w:cs="宋体"/>
                <w:sz w:val="24"/>
              </w:rPr>
            </w:pPr>
          </w:p>
        </w:tc>
        <w:tc>
          <w:tcPr>
            <w:tcW w:w="724" w:type="dxa"/>
            <w:noWrap w:val="0"/>
            <w:vAlign w:val="center"/>
          </w:tcPr>
          <w:p w14:paraId="17F9DE10">
            <w:pPr>
              <w:spacing w:line="360" w:lineRule="auto"/>
              <w:jc w:val="center"/>
              <w:rPr>
                <w:rFonts w:hint="eastAsia" w:ascii="宋体" w:hAnsi="宋体" w:cs="宋体"/>
                <w:sz w:val="24"/>
              </w:rPr>
            </w:pPr>
          </w:p>
        </w:tc>
        <w:tc>
          <w:tcPr>
            <w:tcW w:w="724" w:type="dxa"/>
            <w:noWrap w:val="0"/>
            <w:vAlign w:val="center"/>
          </w:tcPr>
          <w:p w14:paraId="785FBD85">
            <w:pPr>
              <w:spacing w:line="360" w:lineRule="auto"/>
              <w:jc w:val="center"/>
              <w:rPr>
                <w:rFonts w:hint="eastAsia" w:ascii="宋体" w:hAnsi="宋体" w:cs="宋体"/>
                <w:sz w:val="24"/>
              </w:rPr>
            </w:pPr>
          </w:p>
        </w:tc>
        <w:tc>
          <w:tcPr>
            <w:tcW w:w="724" w:type="dxa"/>
            <w:noWrap w:val="0"/>
            <w:vAlign w:val="center"/>
          </w:tcPr>
          <w:p w14:paraId="170DDA35">
            <w:pPr>
              <w:spacing w:line="360" w:lineRule="auto"/>
              <w:jc w:val="center"/>
              <w:rPr>
                <w:rFonts w:hint="eastAsia" w:ascii="宋体" w:hAnsi="宋体" w:cs="宋体"/>
                <w:sz w:val="24"/>
              </w:rPr>
            </w:pPr>
          </w:p>
        </w:tc>
        <w:tc>
          <w:tcPr>
            <w:tcW w:w="724" w:type="dxa"/>
            <w:noWrap w:val="0"/>
            <w:vAlign w:val="center"/>
          </w:tcPr>
          <w:p w14:paraId="59794FA2">
            <w:pPr>
              <w:spacing w:line="360" w:lineRule="auto"/>
              <w:jc w:val="center"/>
              <w:rPr>
                <w:rFonts w:hint="eastAsia" w:ascii="宋体" w:hAnsi="宋体" w:cs="宋体"/>
                <w:sz w:val="24"/>
              </w:rPr>
            </w:pPr>
          </w:p>
        </w:tc>
        <w:tc>
          <w:tcPr>
            <w:tcW w:w="724" w:type="dxa"/>
            <w:noWrap w:val="0"/>
            <w:vAlign w:val="center"/>
          </w:tcPr>
          <w:p w14:paraId="08882852">
            <w:pPr>
              <w:spacing w:line="360" w:lineRule="auto"/>
              <w:jc w:val="center"/>
              <w:rPr>
                <w:rFonts w:hint="eastAsia" w:ascii="宋体" w:hAnsi="宋体" w:cs="宋体"/>
                <w:sz w:val="24"/>
              </w:rPr>
            </w:pPr>
          </w:p>
        </w:tc>
        <w:tc>
          <w:tcPr>
            <w:tcW w:w="724" w:type="dxa"/>
            <w:noWrap w:val="0"/>
            <w:vAlign w:val="center"/>
          </w:tcPr>
          <w:p w14:paraId="4FCE6570">
            <w:pPr>
              <w:spacing w:line="360" w:lineRule="auto"/>
              <w:jc w:val="center"/>
              <w:rPr>
                <w:rFonts w:hint="eastAsia" w:ascii="宋体" w:hAnsi="宋体" w:cs="宋体"/>
                <w:sz w:val="24"/>
              </w:rPr>
            </w:pPr>
          </w:p>
        </w:tc>
        <w:tc>
          <w:tcPr>
            <w:tcW w:w="727" w:type="dxa"/>
            <w:noWrap w:val="0"/>
            <w:vAlign w:val="center"/>
          </w:tcPr>
          <w:p w14:paraId="13C9D3D6">
            <w:pPr>
              <w:spacing w:line="360" w:lineRule="auto"/>
              <w:jc w:val="center"/>
              <w:rPr>
                <w:rFonts w:hint="eastAsia" w:ascii="宋体" w:hAnsi="宋体" w:cs="宋体"/>
                <w:sz w:val="24"/>
              </w:rPr>
            </w:pPr>
          </w:p>
        </w:tc>
      </w:tr>
      <w:tr w14:paraId="0D0DF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1FD3078F">
            <w:pPr>
              <w:spacing w:line="360" w:lineRule="auto"/>
              <w:jc w:val="center"/>
              <w:rPr>
                <w:rFonts w:hint="eastAsia" w:ascii="宋体" w:hAnsi="宋体" w:cs="宋体"/>
                <w:sz w:val="24"/>
              </w:rPr>
            </w:pPr>
            <w:r>
              <w:rPr>
                <w:rFonts w:hint="eastAsia" w:ascii="宋体" w:hAnsi="宋体" w:cs="宋体"/>
                <w:sz w:val="24"/>
                <w:highlight w:val="white"/>
              </w:rPr>
              <w:t>2</w:t>
            </w:r>
          </w:p>
        </w:tc>
        <w:tc>
          <w:tcPr>
            <w:tcW w:w="2033" w:type="dxa"/>
            <w:noWrap w:val="0"/>
            <w:vAlign w:val="bottom"/>
          </w:tcPr>
          <w:p w14:paraId="2D5CD033">
            <w:pPr>
              <w:spacing w:line="360" w:lineRule="auto"/>
              <w:jc w:val="center"/>
              <w:rPr>
                <w:rFonts w:hint="eastAsia" w:ascii="宋体" w:hAnsi="宋体" w:cs="宋体"/>
                <w:sz w:val="24"/>
              </w:rPr>
            </w:pPr>
            <w:r>
              <w:rPr>
                <w:rFonts w:hint="eastAsia" w:ascii="宋体" w:hAnsi="宋体" w:cs="宋体"/>
                <w:sz w:val="24"/>
                <w:highlight w:val="white"/>
              </w:rPr>
              <w:t>投标内容</w:t>
            </w:r>
          </w:p>
        </w:tc>
        <w:tc>
          <w:tcPr>
            <w:tcW w:w="722" w:type="dxa"/>
            <w:noWrap w:val="0"/>
            <w:vAlign w:val="center"/>
          </w:tcPr>
          <w:p w14:paraId="1D9340A3">
            <w:pPr>
              <w:spacing w:line="360" w:lineRule="auto"/>
              <w:jc w:val="center"/>
              <w:rPr>
                <w:rFonts w:hint="eastAsia" w:ascii="宋体" w:hAnsi="宋体" w:cs="宋体"/>
                <w:sz w:val="24"/>
              </w:rPr>
            </w:pPr>
          </w:p>
        </w:tc>
        <w:tc>
          <w:tcPr>
            <w:tcW w:w="724" w:type="dxa"/>
            <w:noWrap w:val="0"/>
            <w:vAlign w:val="center"/>
          </w:tcPr>
          <w:p w14:paraId="7DAD6487">
            <w:pPr>
              <w:spacing w:line="360" w:lineRule="auto"/>
              <w:jc w:val="center"/>
              <w:rPr>
                <w:rFonts w:hint="eastAsia" w:ascii="宋体" w:hAnsi="宋体" w:cs="宋体"/>
                <w:sz w:val="24"/>
              </w:rPr>
            </w:pPr>
          </w:p>
        </w:tc>
        <w:tc>
          <w:tcPr>
            <w:tcW w:w="724" w:type="dxa"/>
            <w:noWrap w:val="0"/>
            <w:vAlign w:val="center"/>
          </w:tcPr>
          <w:p w14:paraId="07255235">
            <w:pPr>
              <w:spacing w:line="360" w:lineRule="auto"/>
              <w:jc w:val="center"/>
              <w:rPr>
                <w:rFonts w:hint="eastAsia" w:ascii="宋体" w:hAnsi="宋体" w:cs="宋体"/>
                <w:sz w:val="24"/>
              </w:rPr>
            </w:pPr>
          </w:p>
        </w:tc>
        <w:tc>
          <w:tcPr>
            <w:tcW w:w="724" w:type="dxa"/>
            <w:noWrap w:val="0"/>
            <w:vAlign w:val="center"/>
          </w:tcPr>
          <w:p w14:paraId="39C85A39">
            <w:pPr>
              <w:spacing w:line="360" w:lineRule="auto"/>
              <w:jc w:val="center"/>
              <w:rPr>
                <w:rFonts w:hint="eastAsia" w:ascii="宋体" w:hAnsi="宋体" w:cs="宋体"/>
                <w:sz w:val="24"/>
              </w:rPr>
            </w:pPr>
          </w:p>
        </w:tc>
        <w:tc>
          <w:tcPr>
            <w:tcW w:w="724" w:type="dxa"/>
            <w:noWrap w:val="0"/>
            <w:vAlign w:val="center"/>
          </w:tcPr>
          <w:p w14:paraId="1B6B5010">
            <w:pPr>
              <w:spacing w:line="360" w:lineRule="auto"/>
              <w:jc w:val="center"/>
              <w:rPr>
                <w:rFonts w:hint="eastAsia" w:ascii="宋体" w:hAnsi="宋体" w:cs="宋体"/>
                <w:sz w:val="24"/>
              </w:rPr>
            </w:pPr>
          </w:p>
        </w:tc>
        <w:tc>
          <w:tcPr>
            <w:tcW w:w="724" w:type="dxa"/>
            <w:noWrap w:val="0"/>
            <w:vAlign w:val="center"/>
          </w:tcPr>
          <w:p w14:paraId="2E704151">
            <w:pPr>
              <w:spacing w:line="360" w:lineRule="auto"/>
              <w:jc w:val="center"/>
              <w:rPr>
                <w:rFonts w:hint="eastAsia" w:ascii="宋体" w:hAnsi="宋体" w:cs="宋体"/>
                <w:sz w:val="24"/>
              </w:rPr>
            </w:pPr>
          </w:p>
        </w:tc>
        <w:tc>
          <w:tcPr>
            <w:tcW w:w="724" w:type="dxa"/>
            <w:noWrap w:val="0"/>
            <w:vAlign w:val="center"/>
          </w:tcPr>
          <w:p w14:paraId="20955285">
            <w:pPr>
              <w:spacing w:line="360" w:lineRule="auto"/>
              <w:jc w:val="center"/>
              <w:rPr>
                <w:rFonts w:hint="eastAsia" w:ascii="宋体" w:hAnsi="宋体" w:cs="宋体"/>
                <w:sz w:val="24"/>
              </w:rPr>
            </w:pPr>
          </w:p>
        </w:tc>
        <w:tc>
          <w:tcPr>
            <w:tcW w:w="724" w:type="dxa"/>
            <w:noWrap w:val="0"/>
            <w:vAlign w:val="center"/>
          </w:tcPr>
          <w:p w14:paraId="07734ACD">
            <w:pPr>
              <w:spacing w:line="360" w:lineRule="auto"/>
              <w:jc w:val="center"/>
              <w:rPr>
                <w:rFonts w:hint="eastAsia" w:ascii="宋体" w:hAnsi="宋体" w:cs="宋体"/>
                <w:sz w:val="24"/>
              </w:rPr>
            </w:pPr>
          </w:p>
        </w:tc>
        <w:tc>
          <w:tcPr>
            <w:tcW w:w="727" w:type="dxa"/>
            <w:noWrap w:val="0"/>
            <w:vAlign w:val="center"/>
          </w:tcPr>
          <w:p w14:paraId="65294F8D">
            <w:pPr>
              <w:spacing w:line="360" w:lineRule="auto"/>
              <w:jc w:val="center"/>
              <w:rPr>
                <w:rFonts w:hint="eastAsia" w:ascii="宋体" w:hAnsi="宋体" w:cs="宋体"/>
                <w:sz w:val="24"/>
              </w:rPr>
            </w:pPr>
          </w:p>
        </w:tc>
      </w:tr>
      <w:tr w14:paraId="2AFDB2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7EE52E98">
            <w:pPr>
              <w:spacing w:line="360" w:lineRule="auto"/>
              <w:jc w:val="center"/>
              <w:rPr>
                <w:rFonts w:hint="eastAsia" w:ascii="宋体" w:hAnsi="宋体" w:cs="宋体"/>
                <w:sz w:val="24"/>
              </w:rPr>
            </w:pPr>
            <w:r>
              <w:rPr>
                <w:rFonts w:hint="eastAsia" w:ascii="宋体" w:hAnsi="宋体" w:cs="宋体"/>
                <w:sz w:val="24"/>
                <w:highlight w:val="white"/>
              </w:rPr>
              <w:t>3</w:t>
            </w:r>
          </w:p>
        </w:tc>
        <w:tc>
          <w:tcPr>
            <w:tcW w:w="2033" w:type="dxa"/>
            <w:noWrap w:val="0"/>
            <w:vAlign w:val="bottom"/>
          </w:tcPr>
          <w:p w14:paraId="41447069">
            <w:pPr>
              <w:spacing w:line="360" w:lineRule="auto"/>
              <w:jc w:val="center"/>
              <w:rPr>
                <w:rFonts w:hint="eastAsia" w:ascii="宋体" w:hAnsi="宋体" w:cs="宋体"/>
                <w:sz w:val="24"/>
              </w:rPr>
            </w:pPr>
            <w:r>
              <w:rPr>
                <w:rFonts w:hint="eastAsia" w:ascii="宋体" w:hAnsi="宋体" w:cs="宋体"/>
                <w:sz w:val="24"/>
                <w:highlight w:val="white"/>
              </w:rPr>
              <w:t>工期</w:t>
            </w:r>
          </w:p>
        </w:tc>
        <w:tc>
          <w:tcPr>
            <w:tcW w:w="722" w:type="dxa"/>
            <w:noWrap w:val="0"/>
            <w:vAlign w:val="center"/>
          </w:tcPr>
          <w:p w14:paraId="722F512C">
            <w:pPr>
              <w:spacing w:line="360" w:lineRule="auto"/>
              <w:jc w:val="center"/>
              <w:rPr>
                <w:rFonts w:hint="eastAsia" w:ascii="宋体" w:hAnsi="宋体" w:cs="宋体"/>
                <w:sz w:val="24"/>
              </w:rPr>
            </w:pPr>
          </w:p>
        </w:tc>
        <w:tc>
          <w:tcPr>
            <w:tcW w:w="724" w:type="dxa"/>
            <w:noWrap w:val="0"/>
            <w:vAlign w:val="center"/>
          </w:tcPr>
          <w:p w14:paraId="31FFDEFA">
            <w:pPr>
              <w:spacing w:line="360" w:lineRule="auto"/>
              <w:jc w:val="center"/>
              <w:rPr>
                <w:rFonts w:hint="eastAsia" w:ascii="宋体" w:hAnsi="宋体" w:cs="宋体"/>
                <w:sz w:val="24"/>
              </w:rPr>
            </w:pPr>
          </w:p>
        </w:tc>
        <w:tc>
          <w:tcPr>
            <w:tcW w:w="724" w:type="dxa"/>
            <w:noWrap w:val="0"/>
            <w:vAlign w:val="center"/>
          </w:tcPr>
          <w:p w14:paraId="0DE7F75C">
            <w:pPr>
              <w:spacing w:line="360" w:lineRule="auto"/>
              <w:jc w:val="center"/>
              <w:rPr>
                <w:rFonts w:hint="eastAsia" w:ascii="宋体" w:hAnsi="宋体" w:cs="宋体"/>
                <w:sz w:val="24"/>
              </w:rPr>
            </w:pPr>
          </w:p>
        </w:tc>
        <w:tc>
          <w:tcPr>
            <w:tcW w:w="724" w:type="dxa"/>
            <w:noWrap w:val="0"/>
            <w:vAlign w:val="center"/>
          </w:tcPr>
          <w:p w14:paraId="455A779C">
            <w:pPr>
              <w:spacing w:line="360" w:lineRule="auto"/>
              <w:jc w:val="center"/>
              <w:rPr>
                <w:rFonts w:hint="eastAsia" w:ascii="宋体" w:hAnsi="宋体" w:cs="宋体"/>
                <w:sz w:val="24"/>
              </w:rPr>
            </w:pPr>
          </w:p>
        </w:tc>
        <w:tc>
          <w:tcPr>
            <w:tcW w:w="724" w:type="dxa"/>
            <w:noWrap w:val="0"/>
            <w:vAlign w:val="center"/>
          </w:tcPr>
          <w:p w14:paraId="25C4470F">
            <w:pPr>
              <w:spacing w:line="360" w:lineRule="auto"/>
              <w:jc w:val="center"/>
              <w:rPr>
                <w:rFonts w:hint="eastAsia" w:ascii="宋体" w:hAnsi="宋体" w:cs="宋体"/>
                <w:sz w:val="24"/>
              </w:rPr>
            </w:pPr>
          </w:p>
        </w:tc>
        <w:tc>
          <w:tcPr>
            <w:tcW w:w="724" w:type="dxa"/>
            <w:noWrap w:val="0"/>
            <w:vAlign w:val="center"/>
          </w:tcPr>
          <w:p w14:paraId="4601D271">
            <w:pPr>
              <w:spacing w:line="360" w:lineRule="auto"/>
              <w:jc w:val="center"/>
              <w:rPr>
                <w:rFonts w:hint="eastAsia" w:ascii="宋体" w:hAnsi="宋体" w:cs="宋体"/>
                <w:sz w:val="24"/>
              </w:rPr>
            </w:pPr>
          </w:p>
        </w:tc>
        <w:tc>
          <w:tcPr>
            <w:tcW w:w="724" w:type="dxa"/>
            <w:noWrap w:val="0"/>
            <w:vAlign w:val="center"/>
          </w:tcPr>
          <w:p w14:paraId="67F4A5E2">
            <w:pPr>
              <w:spacing w:line="360" w:lineRule="auto"/>
              <w:jc w:val="center"/>
              <w:rPr>
                <w:rFonts w:hint="eastAsia" w:ascii="宋体" w:hAnsi="宋体" w:cs="宋体"/>
                <w:sz w:val="24"/>
              </w:rPr>
            </w:pPr>
          </w:p>
        </w:tc>
        <w:tc>
          <w:tcPr>
            <w:tcW w:w="724" w:type="dxa"/>
            <w:noWrap w:val="0"/>
            <w:vAlign w:val="center"/>
          </w:tcPr>
          <w:p w14:paraId="188D952A">
            <w:pPr>
              <w:spacing w:line="360" w:lineRule="auto"/>
              <w:jc w:val="center"/>
              <w:rPr>
                <w:rFonts w:hint="eastAsia" w:ascii="宋体" w:hAnsi="宋体" w:cs="宋体"/>
                <w:sz w:val="24"/>
              </w:rPr>
            </w:pPr>
          </w:p>
        </w:tc>
        <w:tc>
          <w:tcPr>
            <w:tcW w:w="727" w:type="dxa"/>
            <w:noWrap w:val="0"/>
            <w:vAlign w:val="center"/>
          </w:tcPr>
          <w:p w14:paraId="7235A29B">
            <w:pPr>
              <w:spacing w:line="360" w:lineRule="auto"/>
              <w:jc w:val="center"/>
              <w:rPr>
                <w:rFonts w:hint="eastAsia" w:ascii="宋体" w:hAnsi="宋体" w:cs="宋体"/>
                <w:sz w:val="24"/>
              </w:rPr>
            </w:pPr>
          </w:p>
        </w:tc>
      </w:tr>
      <w:tr w14:paraId="7DA5F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5A598783">
            <w:pPr>
              <w:spacing w:line="360" w:lineRule="auto"/>
              <w:jc w:val="center"/>
              <w:rPr>
                <w:rFonts w:hint="eastAsia" w:ascii="宋体" w:hAnsi="宋体" w:cs="宋体"/>
                <w:sz w:val="24"/>
              </w:rPr>
            </w:pPr>
            <w:r>
              <w:rPr>
                <w:rFonts w:hint="eastAsia" w:ascii="宋体" w:hAnsi="宋体" w:cs="宋体"/>
                <w:sz w:val="24"/>
                <w:highlight w:val="white"/>
              </w:rPr>
              <w:t>4</w:t>
            </w:r>
          </w:p>
        </w:tc>
        <w:tc>
          <w:tcPr>
            <w:tcW w:w="2033" w:type="dxa"/>
            <w:noWrap w:val="0"/>
            <w:vAlign w:val="bottom"/>
          </w:tcPr>
          <w:p w14:paraId="78F37011">
            <w:pPr>
              <w:spacing w:line="360" w:lineRule="auto"/>
              <w:jc w:val="center"/>
              <w:rPr>
                <w:rFonts w:hint="eastAsia" w:ascii="宋体" w:hAnsi="宋体" w:cs="宋体"/>
                <w:sz w:val="24"/>
              </w:rPr>
            </w:pPr>
            <w:r>
              <w:rPr>
                <w:rFonts w:hint="eastAsia" w:ascii="宋体" w:hAnsi="宋体" w:cs="宋体"/>
                <w:sz w:val="24"/>
                <w:highlight w:val="white"/>
              </w:rPr>
              <w:t>质量标准</w:t>
            </w:r>
          </w:p>
        </w:tc>
        <w:tc>
          <w:tcPr>
            <w:tcW w:w="722" w:type="dxa"/>
            <w:noWrap w:val="0"/>
            <w:vAlign w:val="center"/>
          </w:tcPr>
          <w:p w14:paraId="572C3F0A">
            <w:pPr>
              <w:spacing w:line="360" w:lineRule="auto"/>
              <w:jc w:val="center"/>
              <w:rPr>
                <w:rFonts w:hint="eastAsia" w:ascii="宋体" w:hAnsi="宋体" w:cs="宋体"/>
                <w:sz w:val="24"/>
              </w:rPr>
            </w:pPr>
          </w:p>
        </w:tc>
        <w:tc>
          <w:tcPr>
            <w:tcW w:w="724" w:type="dxa"/>
            <w:noWrap w:val="0"/>
            <w:vAlign w:val="center"/>
          </w:tcPr>
          <w:p w14:paraId="7EA266E3">
            <w:pPr>
              <w:spacing w:line="360" w:lineRule="auto"/>
              <w:jc w:val="center"/>
              <w:rPr>
                <w:rFonts w:hint="eastAsia" w:ascii="宋体" w:hAnsi="宋体" w:cs="宋体"/>
                <w:sz w:val="24"/>
              </w:rPr>
            </w:pPr>
          </w:p>
        </w:tc>
        <w:tc>
          <w:tcPr>
            <w:tcW w:w="724" w:type="dxa"/>
            <w:noWrap w:val="0"/>
            <w:vAlign w:val="center"/>
          </w:tcPr>
          <w:p w14:paraId="5EE2D022">
            <w:pPr>
              <w:spacing w:line="360" w:lineRule="auto"/>
              <w:jc w:val="center"/>
              <w:rPr>
                <w:rFonts w:hint="eastAsia" w:ascii="宋体" w:hAnsi="宋体" w:cs="宋体"/>
                <w:sz w:val="24"/>
              </w:rPr>
            </w:pPr>
          </w:p>
        </w:tc>
        <w:tc>
          <w:tcPr>
            <w:tcW w:w="724" w:type="dxa"/>
            <w:noWrap w:val="0"/>
            <w:vAlign w:val="center"/>
          </w:tcPr>
          <w:p w14:paraId="41F8600D">
            <w:pPr>
              <w:spacing w:line="360" w:lineRule="auto"/>
              <w:jc w:val="center"/>
              <w:rPr>
                <w:rFonts w:hint="eastAsia" w:ascii="宋体" w:hAnsi="宋体" w:cs="宋体"/>
                <w:sz w:val="24"/>
              </w:rPr>
            </w:pPr>
          </w:p>
        </w:tc>
        <w:tc>
          <w:tcPr>
            <w:tcW w:w="724" w:type="dxa"/>
            <w:noWrap w:val="0"/>
            <w:vAlign w:val="center"/>
          </w:tcPr>
          <w:p w14:paraId="006B5362">
            <w:pPr>
              <w:spacing w:line="360" w:lineRule="auto"/>
              <w:jc w:val="center"/>
              <w:rPr>
                <w:rFonts w:hint="eastAsia" w:ascii="宋体" w:hAnsi="宋体" w:cs="宋体"/>
                <w:sz w:val="24"/>
              </w:rPr>
            </w:pPr>
          </w:p>
        </w:tc>
        <w:tc>
          <w:tcPr>
            <w:tcW w:w="724" w:type="dxa"/>
            <w:noWrap w:val="0"/>
            <w:vAlign w:val="center"/>
          </w:tcPr>
          <w:p w14:paraId="7655DB2A">
            <w:pPr>
              <w:spacing w:line="360" w:lineRule="auto"/>
              <w:jc w:val="center"/>
              <w:rPr>
                <w:rFonts w:hint="eastAsia" w:ascii="宋体" w:hAnsi="宋体" w:cs="宋体"/>
                <w:sz w:val="24"/>
              </w:rPr>
            </w:pPr>
          </w:p>
        </w:tc>
        <w:tc>
          <w:tcPr>
            <w:tcW w:w="724" w:type="dxa"/>
            <w:noWrap w:val="0"/>
            <w:vAlign w:val="center"/>
          </w:tcPr>
          <w:p w14:paraId="58E23179">
            <w:pPr>
              <w:spacing w:line="360" w:lineRule="auto"/>
              <w:jc w:val="center"/>
              <w:rPr>
                <w:rFonts w:hint="eastAsia" w:ascii="宋体" w:hAnsi="宋体" w:cs="宋体"/>
                <w:sz w:val="24"/>
              </w:rPr>
            </w:pPr>
          </w:p>
        </w:tc>
        <w:tc>
          <w:tcPr>
            <w:tcW w:w="724" w:type="dxa"/>
            <w:noWrap w:val="0"/>
            <w:vAlign w:val="center"/>
          </w:tcPr>
          <w:p w14:paraId="037B31C2">
            <w:pPr>
              <w:spacing w:line="360" w:lineRule="auto"/>
              <w:jc w:val="center"/>
              <w:rPr>
                <w:rFonts w:hint="eastAsia" w:ascii="宋体" w:hAnsi="宋体" w:cs="宋体"/>
                <w:sz w:val="24"/>
              </w:rPr>
            </w:pPr>
          </w:p>
        </w:tc>
        <w:tc>
          <w:tcPr>
            <w:tcW w:w="727" w:type="dxa"/>
            <w:noWrap w:val="0"/>
            <w:vAlign w:val="center"/>
          </w:tcPr>
          <w:p w14:paraId="3E8CF005">
            <w:pPr>
              <w:spacing w:line="360" w:lineRule="auto"/>
              <w:jc w:val="center"/>
              <w:rPr>
                <w:rFonts w:hint="eastAsia" w:ascii="宋体" w:hAnsi="宋体" w:cs="宋体"/>
                <w:sz w:val="24"/>
              </w:rPr>
            </w:pPr>
          </w:p>
        </w:tc>
      </w:tr>
      <w:tr w14:paraId="56D9B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55D39EB1">
            <w:pPr>
              <w:spacing w:line="360" w:lineRule="auto"/>
              <w:jc w:val="center"/>
              <w:rPr>
                <w:rFonts w:hint="eastAsia" w:ascii="宋体" w:hAnsi="宋体" w:cs="宋体"/>
                <w:sz w:val="24"/>
              </w:rPr>
            </w:pPr>
            <w:r>
              <w:rPr>
                <w:rFonts w:hint="eastAsia" w:ascii="宋体" w:hAnsi="宋体" w:cs="宋体"/>
                <w:sz w:val="24"/>
                <w:highlight w:val="white"/>
              </w:rPr>
              <w:t>5</w:t>
            </w:r>
          </w:p>
        </w:tc>
        <w:tc>
          <w:tcPr>
            <w:tcW w:w="2033" w:type="dxa"/>
            <w:noWrap w:val="0"/>
            <w:vAlign w:val="bottom"/>
          </w:tcPr>
          <w:p w14:paraId="22696E2D">
            <w:pPr>
              <w:spacing w:line="360" w:lineRule="auto"/>
              <w:jc w:val="center"/>
              <w:rPr>
                <w:rFonts w:hint="eastAsia" w:ascii="宋体" w:hAnsi="宋体" w:cs="宋体"/>
                <w:sz w:val="24"/>
              </w:rPr>
            </w:pPr>
            <w:r>
              <w:rPr>
                <w:rFonts w:hint="eastAsia" w:ascii="宋体" w:hAnsi="宋体" w:cs="宋体"/>
                <w:sz w:val="24"/>
                <w:highlight w:val="white"/>
              </w:rPr>
              <w:t>投标有效期</w:t>
            </w:r>
          </w:p>
        </w:tc>
        <w:tc>
          <w:tcPr>
            <w:tcW w:w="722" w:type="dxa"/>
            <w:noWrap w:val="0"/>
            <w:vAlign w:val="center"/>
          </w:tcPr>
          <w:p w14:paraId="2B0EC775">
            <w:pPr>
              <w:spacing w:line="360" w:lineRule="auto"/>
              <w:jc w:val="center"/>
              <w:rPr>
                <w:rFonts w:hint="eastAsia" w:ascii="宋体" w:hAnsi="宋体" w:cs="宋体"/>
                <w:sz w:val="24"/>
              </w:rPr>
            </w:pPr>
          </w:p>
        </w:tc>
        <w:tc>
          <w:tcPr>
            <w:tcW w:w="724" w:type="dxa"/>
            <w:noWrap w:val="0"/>
            <w:vAlign w:val="center"/>
          </w:tcPr>
          <w:p w14:paraId="76CBDAAF">
            <w:pPr>
              <w:spacing w:line="360" w:lineRule="auto"/>
              <w:jc w:val="center"/>
              <w:rPr>
                <w:rFonts w:hint="eastAsia" w:ascii="宋体" w:hAnsi="宋体" w:cs="宋体"/>
                <w:sz w:val="24"/>
              </w:rPr>
            </w:pPr>
          </w:p>
        </w:tc>
        <w:tc>
          <w:tcPr>
            <w:tcW w:w="724" w:type="dxa"/>
            <w:noWrap w:val="0"/>
            <w:vAlign w:val="center"/>
          </w:tcPr>
          <w:p w14:paraId="60A69E8A">
            <w:pPr>
              <w:spacing w:line="360" w:lineRule="auto"/>
              <w:jc w:val="center"/>
              <w:rPr>
                <w:rFonts w:hint="eastAsia" w:ascii="宋体" w:hAnsi="宋体" w:cs="宋体"/>
                <w:sz w:val="24"/>
              </w:rPr>
            </w:pPr>
          </w:p>
        </w:tc>
        <w:tc>
          <w:tcPr>
            <w:tcW w:w="724" w:type="dxa"/>
            <w:noWrap w:val="0"/>
            <w:vAlign w:val="center"/>
          </w:tcPr>
          <w:p w14:paraId="66F22FFC">
            <w:pPr>
              <w:spacing w:line="360" w:lineRule="auto"/>
              <w:jc w:val="center"/>
              <w:rPr>
                <w:rFonts w:hint="eastAsia" w:ascii="宋体" w:hAnsi="宋体" w:cs="宋体"/>
                <w:sz w:val="24"/>
              </w:rPr>
            </w:pPr>
          </w:p>
        </w:tc>
        <w:tc>
          <w:tcPr>
            <w:tcW w:w="724" w:type="dxa"/>
            <w:noWrap w:val="0"/>
            <w:vAlign w:val="center"/>
          </w:tcPr>
          <w:p w14:paraId="55B9DD2E">
            <w:pPr>
              <w:spacing w:line="360" w:lineRule="auto"/>
              <w:jc w:val="center"/>
              <w:rPr>
                <w:rFonts w:hint="eastAsia" w:ascii="宋体" w:hAnsi="宋体" w:cs="宋体"/>
                <w:sz w:val="24"/>
              </w:rPr>
            </w:pPr>
          </w:p>
        </w:tc>
        <w:tc>
          <w:tcPr>
            <w:tcW w:w="724" w:type="dxa"/>
            <w:noWrap w:val="0"/>
            <w:vAlign w:val="center"/>
          </w:tcPr>
          <w:p w14:paraId="2BC23180">
            <w:pPr>
              <w:spacing w:line="360" w:lineRule="auto"/>
              <w:jc w:val="center"/>
              <w:rPr>
                <w:rFonts w:hint="eastAsia" w:ascii="宋体" w:hAnsi="宋体" w:cs="宋体"/>
                <w:sz w:val="24"/>
              </w:rPr>
            </w:pPr>
          </w:p>
        </w:tc>
        <w:tc>
          <w:tcPr>
            <w:tcW w:w="724" w:type="dxa"/>
            <w:noWrap w:val="0"/>
            <w:vAlign w:val="center"/>
          </w:tcPr>
          <w:p w14:paraId="65AB3586">
            <w:pPr>
              <w:spacing w:line="360" w:lineRule="auto"/>
              <w:jc w:val="center"/>
              <w:rPr>
                <w:rFonts w:hint="eastAsia" w:ascii="宋体" w:hAnsi="宋体" w:cs="宋体"/>
                <w:sz w:val="24"/>
              </w:rPr>
            </w:pPr>
          </w:p>
        </w:tc>
        <w:tc>
          <w:tcPr>
            <w:tcW w:w="724" w:type="dxa"/>
            <w:noWrap w:val="0"/>
            <w:vAlign w:val="center"/>
          </w:tcPr>
          <w:p w14:paraId="38D74F94">
            <w:pPr>
              <w:spacing w:line="360" w:lineRule="auto"/>
              <w:jc w:val="center"/>
              <w:rPr>
                <w:rFonts w:hint="eastAsia" w:ascii="宋体" w:hAnsi="宋体" w:cs="宋体"/>
                <w:sz w:val="24"/>
              </w:rPr>
            </w:pPr>
          </w:p>
        </w:tc>
        <w:tc>
          <w:tcPr>
            <w:tcW w:w="727" w:type="dxa"/>
            <w:noWrap w:val="0"/>
            <w:vAlign w:val="center"/>
          </w:tcPr>
          <w:p w14:paraId="4668F5A9">
            <w:pPr>
              <w:spacing w:line="360" w:lineRule="auto"/>
              <w:jc w:val="center"/>
              <w:rPr>
                <w:rFonts w:hint="eastAsia" w:ascii="宋体" w:hAnsi="宋体" w:cs="宋体"/>
                <w:sz w:val="24"/>
              </w:rPr>
            </w:pPr>
          </w:p>
        </w:tc>
      </w:tr>
      <w:tr w14:paraId="16E90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021C4016">
            <w:pPr>
              <w:spacing w:line="360" w:lineRule="auto"/>
              <w:jc w:val="center"/>
              <w:rPr>
                <w:rFonts w:hint="eastAsia" w:ascii="宋体" w:hAnsi="宋体" w:cs="宋体"/>
                <w:sz w:val="24"/>
              </w:rPr>
            </w:pPr>
            <w:r>
              <w:rPr>
                <w:rFonts w:hint="eastAsia" w:ascii="宋体" w:hAnsi="宋体" w:cs="宋体"/>
                <w:sz w:val="24"/>
                <w:highlight w:val="white"/>
              </w:rPr>
              <w:t>6</w:t>
            </w:r>
          </w:p>
        </w:tc>
        <w:tc>
          <w:tcPr>
            <w:tcW w:w="2033" w:type="dxa"/>
            <w:noWrap w:val="0"/>
            <w:vAlign w:val="bottom"/>
          </w:tcPr>
          <w:p w14:paraId="703DEB4F">
            <w:pPr>
              <w:spacing w:line="360" w:lineRule="auto"/>
              <w:jc w:val="center"/>
              <w:rPr>
                <w:rFonts w:hint="eastAsia" w:ascii="宋体" w:hAnsi="宋体" w:cs="宋体"/>
                <w:sz w:val="24"/>
              </w:rPr>
            </w:pPr>
            <w:r>
              <w:rPr>
                <w:rFonts w:hint="eastAsia" w:ascii="宋体" w:hAnsi="宋体" w:cs="宋体"/>
                <w:sz w:val="24"/>
                <w:highlight w:val="white"/>
              </w:rPr>
              <w:t>投标保证金</w:t>
            </w:r>
          </w:p>
        </w:tc>
        <w:tc>
          <w:tcPr>
            <w:tcW w:w="722" w:type="dxa"/>
            <w:noWrap w:val="0"/>
            <w:vAlign w:val="center"/>
          </w:tcPr>
          <w:p w14:paraId="4D49C3C6">
            <w:pPr>
              <w:spacing w:line="360" w:lineRule="auto"/>
              <w:jc w:val="center"/>
              <w:rPr>
                <w:rFonts w:hint="eastAsia" w:ascii="宋体" w:hAnsi="宋体" w:cs="宋体"/>
                <w:sz w:val="24"/>
              </w:rPr>
            </w:pPr>
          </w:p>
        </w:tc>
        <w:tc>
          <w:tcPr>
            <w:tcW w:w="724" w:type="dxa"/>
            <w:noWrap w:val="0"/>
            <w:vAlign w:val="center"/>
          </w:tcPr>
          <w:p w14:paraId="48CB5C5D">
            <w:pPr>
              <w:spacing w:line="360" w:lineRule="auto"/>
              <w:jc w:val="center"/>
              <w:rPr>
                <w:rFonts w:hint="eastAsia" w:ascii="宋体" w:hAnsi="宋体" w:cs="宋体"/>
                <w:sz w:val="24"/>
              </w:rPr>
            </w:pPr>
          </w:p>
        </w:tc>
        <w:tc>
          <w:tcPr>
            <w:tcW w:w="724" w:type="dxa"/>
            <w:noWrap w:val="0"/>
            <w:vAlign w:val="center"/>
          </w:tcPr>
          <w:p w14:paraId="57FD30E7">
            <w:pPr>
              <w:spacing w:line="360" w:lineRule="auto"/>
              <w:jc w:val="center"/>
              <w:rPr>
                <w:rFonts w:hint="eastAsia" w:ascii="宋体" w:hAnsi="宋体" w:cs="宋体"/>
                <w:sz w:val="24"/>
              </w:rPr>
            </w:pPr>
          </w:p>
        </w:tc>
        <w:tc>
          <w:tcPr>
            <w:tcW w:w="724" w:type="dxa"/>
            <w:noWrap w:val="0"/>
            <w:vAlign w:val="center"/>
          </w:tcPr>
          <w:p w14:paraId="32EFDED2">
            <w:pPr>
              <w:spacing w:line="360" w:lineRule="auto"/>
              <w:jc w:val="center"/>
              <w:rPr>
                <w:rFonts w:hint="eastAsia" w:ascii="宋体" w:hAnsi="宋体" w:cs="宋体"/>
                <w:sz w:val="24"/>
              </w:rPr>
            </w:pPr>
          </w:p>
        </w:tc>
        <w:tc>
          <w:tcPr>
            <w:tcW w:w="724" w:type="dxa"/>
            <w:noWrap w:val="0"/>
            <w:vAlign w:val="center"/>
          </w:tcPr>
          <w:p w14:paraId="3F4F60FA">
            <w:pPr>
              <w:spacing w:line="360" w:lineRule="auto"/>
              <w:jc w:val="center"/>
              <w:rPr>
                <w:rFonts w:hint="eastAsia" w:ascii="宋体" w:hAnsi="宋体" w:cs="宋体"/>
                <w:sz w:val="24"/>
              </w:rPr>
            </w:pPr>
          </w:p>
        </w:tc>
        <w:tc>
          <w:tcPr>
            <w:tcW w:w="724" w:type="dxa"/>
            <w:noWrap w:val="0"/>
            <w:vAlign w:val="center"/>
          </w:tcPr>
          <w:p w14:paraId="31C7014C">
            <w:pPr>
              <w:spacing w:line="360" w:lineRule="auto"/>
              <w:jc w:val="center"/>
              <w:rPr>
                <w:rFonts w:hint="eastAsia" w:ascii="宋体" w:hAnsi="宋体" w:cs="宋体"/>
                <w:sz w:val="24"/>
              </w:rPr>
            </w:pPr>
          </w:p>
        </w:tc>
        <w:tc>
          <w:tcPr>
            <w:tcW w:w="724" w:type="dxa"/>
            <w:noWrap w:val="0"/>
            <w:vAlign w:val="center"/>
          </w:tcPr>
          <w:p w14:paraId="03C28617">
            <w:pPr>
              <w:spacing w:line="360" w:lineRule="auto"/>
              <w:jc w:val="center"/>
              <w:rPr>
                <w:rFonts w:hint="eastAsia" w:ascii="宋体" w:hAnsi="宋体" w:cs="宋体"/>
                <w:sz w:val="24"/>
              </w:rPr>
            </w:pPr>
          </w:p>
        </w:tc>
        <w:tc>
          <w:tcPr>
            <w:tcW w:w="724" w:type="dxa"/>
            <w:noWrap w:val="0"/>
            <w:vAlign w:val="center"/>
          </w:tcPr>
          <w:p w14:paraId="2E041624">
            <w:pPr>
              <w:spacing w:line="360" w:lineRule="auto"/>
              <w:jc w:val="center"/>
              <w:rPr>
                <w:rFonts w:hint="eastAsia" w:ascii="宋体" w:hAnsi="宋体" w:cs="宋体"/>
                <w:sz w:val="24"/>
              </w:rPr>
            </w:pPr>
          </w:p>
        </w:tc>
        <w:tc>
          <w:tcPr>
            <w:tcW w:w="727" w:type="dxa"/>
            <w:noWrap w:val="0"/>
            <w:vAlign w:val="center"/>
          </w:tcPr>
          <w:p w14:paraId="3E10E4C5">
            <w:pPr>
              <w:spacing w:line="360" w:lineRule="auto"/>
              <w:jc w:val="center"/>
              <w:rPr>
                <w:rFonts w:hint="eastAsia" w:ascii="宋体" w:hAnsi="宋体" w:cs="宋体"/>
                <w:sz w:val="24"/>
              </w:rPr>
            </w:pPr>
          </w:p>
        </w:tc>
      </w:tr>
      <w:tr w14:paraId="2A910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68203146">
            <w:pPr>
              <w:spacing w:line="360" w:lineRule="auto"/>
              <w:jc w:val="center"/>
              <w:rPr>
                <w:rFonts w:hint="eastAsia" w:ascii="宋体" w:hAnsi="宋体" w:cs="宋体"/>
                <w:sz w:val="24"/>
              </w:rPr>
            </w:pPr>
            <w:r>
              <w:rPr>
                <w:rFonts w:hint="eastAsia" w:ascii="宋体" w:hAnsi="宋体" w:cs="宋体"/>
                <w:sz w:val="24"/>
                <w:highlight w:val="white"/>
              </w:rPr>
              <w:t>7</w:t>
            </w:r>
          </w:p>
        </w:tc>
        <w:tc>
          <w:tcPr>
            <w:tcW w:w="2033" w:type="dxa"/>
            <w:noWrap w:val="0"/>
            <w:vAlign w:val="bottom"/>
          </w:tcPr>
          <w:p w14:paraId="4D4F3C32">
            <w:pPr>
              <w:spacing w:line="360" w:lineRule="auto"/>
              <w:jc w:val="center"/>
              <w:rPr>
                <w:rFonts w:hint="eastAsia" w:ascii="宋体" w:hAnsi="宋体" w:cs="宋体"/>
                <w:sz w:val="24"/>
              </w:rPr>
            </w:pPr>
            <w:r>
              <w:rPr>
                <w:rFonts w:hint="eastAsia" w:ascii="宋体" w:hAnsi="宋体" w:cs="宋体"/>
                <w:sz w:val="24"/>
                <w:highlight w:val="white"/>
              </w:rPr>
              <w:t>权利义务</w:t>
            </w:r>
          </w:p>
        </w:tc>
        <w:tc>
          <w:tcPr>
            <w:tcW w:w="722" w:type="dxa"/>
            <w:noWrap w:val="0"/>
            <w:vAlign w:val="center"/>
          </w:tcPr>
          <w:p w14:paraId="6A66F8BA">
            <w:pPr>
              <w:spacing w:line="360" w:lineRule="auto"/>
              <w:jc w:val="center"/>
              <w:rPr>
                <w:rFonts w:hint="eastAsia" w:ascii="宋体" w:hAnsi="宋体" w:cs="宋体"/>
                <w:sz w:val="24"/>
              </w:rPr>
            </w:pPr>
          </w:p>
        </w:tc>
        <w:tc>
          <w:tcPr>
            <w:tcW w:w="724" w:type="dxa"/>
            <w:noWrap w:val="0"/>
            <w:vAlign w:val="center"/>
          </w:tcPr>
          <w:p w14:paraId="233B28CF">
            <w:pPr>
              <w:spacing w:line="360" w:lineRule="auto"/>
              <w:jc w:val="center"/>
              <w:rPr>
                <w:rFonts w:hint="eastAsia" w:ascii="宋体" w:hAnsi="宋体" w:cs="宋体"/>
                <w:sz w:val="24"/>
              </w:rPr>
            </w:pPr>
          </w:p>
        </w:tc>
        <w:tc>
          <w:tcPr>
            <w:tcW w:w="724" w:type="dxa"/>
            <w:noWrap w:val="0"/>
            <w:vAlign w:val="center"/>
          </w:tcPr>
          <w:p w14:paraId="52AAB9CB">
            <w:pPr>
              <w:spacing w:line="360" w:lineRule="auto"/>
              <w:jc w:val="center"/>
              <w:rPr>
                <w:rFonts w:hint="eastAsia" w:ascii="宋体" w:hAnsi="宋体" w:cs="宋体"/>
                <w:sz w:val="24"/>
              </w:rPr>
            </w:pPr>
          </w:p>
        </w:tc>
        <w:tc>
          <w:tcPr>
            <w:tcW w:w="724" w:type="dxa"/>
            <w:noWrap w:val="0"/>
            <w:vAlign w:val="center"/>
          </w:tcPr>
          <w:p w14:paraId="7A011539">
            <w:pPr>
              <w:spacing w:line="360" w:lineRule="auto"/>
              <w:jc w:val="center"/>
              <w:rPr>
                <w:rFonts w:hint="eastAsia" w:ascii="宋体" w:hAnsi="宋体" w:cs="宋体"/>
                <w:sz w:val="24"/>
              </w:rPr>
            </w:pPr>
          </w:p>
        </w:tc>
        <w:tc>
          <w:tcPr>
            <w:tcW w:w="724" w:type="dxa"/>
            <w:noWrap w:val="0"/>
            <w:vAlign w:val="center"/>
          </w:tcPr>
          <w:p w14:paraId="739DD402">
            <w:pPr>
              <w:spacing w:line="360" w:lineRule="auto"/>
              <w:jc w:val="center"/>
              <w:rPr>
                <w:rFonts w:hint="eastAsia" w:ascii="宋体" w:hAnsi="宋体" w:cs="宋体"/>
                <w:sz w:val="24"/>
              </w:rPr>
            </w:pPr>
          </w:p>
        </w:tc>
        <w:tc>
          <w:tcPr>
            <w:tcW w:w="724" w:type="dxa"/>
            <w:noWrap w:val="0"/>
            <w:vAlign w:val="center"/>
          </w:tcPr>
          <w:p w14:paraId="11C20574">
            <w:pPr>
              <w:spacing w:line="360" w:lineRule="auto"/>
              <w:jc w:val="center"/>
              <w:rPr>
                <w:rFonts w:hint="eastAsia" w:ascii="宋体" w:hAnsi="宋体" w:cs="宋体"/>
                <w:sz w:val="24"/>
              </w:rPr>
            </w:pPr>
          </w:p>
        </w:tc>
        <w:tc>
          <w:tcPr>
            <w:tcW w:w="724" w:type="dxa"/>
            <w:noWrap w:val="0"/>
            <w:vAlign w:val="center"/>
          </w:tcPr>
          <w:p w14:paraId="6932C28D">
            <w:pPr>
              <w:spacing w:line="360" w:lineRule="auto"/>
              <w:jc w:val="center"/>
              <w:rPr>
                <w:rFonts w:hint="eastAsia" w:ascii="宋体" w:hAnsi="宋体" w:cs="宋体"/>
                <w:sz w:val="24"/>
              </w:rPr>
            </w:pPr>
          </w:p>
        </w:tc>
        <w:tc>
          <w:tcPr>
            <w:tcW w:w="724" w:type="dxa"/>
            <w:noWrap w:val="0"/>
            <w:vAlign w:val="center"/>
          </w:tcPr>
          <w:p w14:paraId="5AAD257C">
            <w:pPr>
              <w:spacing w:line="360" w:lineRule="auto"/>
              <w:jc w:val="center"/>
              <w:rPr>
                <w:rFonts w:hint="eastAsia" w:ascii="宋体" w:hAnsi="宋体" w:cs="宋体"/>
                <w:sz w:val="24"/>
              </w:rPr>
            </w:pPr>
          </w:p>
        </w:tc>
        <w:tc>
          <w:tcPr>
            <w:tcW w:w="727" w:type="dxa"/>
            <w:noWrap w:val="0"/>
            <w:vAlign w:val="center"/>
          </w:tcPr>
          <w:p w14:paraId="17747576">
            <w:pPr>
              <w:spacing w:line="360" w:lineRule="auto"/>
              <w:jc w:val="center"/>
              <w:rPr>
                <w:rFonts w:hint="eastAsia" w:ascii="宋体" w:hAnsi="宋体" w:cs="宋体"/>
                <w:sz w:val="24"/>
              </w:rPr>
            </w:pPr>
          </w:p>
        </w:tc>
      </w:tr>
      <w:tr w14:paraId="74BEBA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52801ADB">
            <w:pPr>
              <w:spacing w:line="360" w:lineRule="auto"/>
              <w:jc w:val="center"/>
              <w:rPr>
                <w:rFonts w:hint="eastAsia" w:ascii="宋体" w:hAnsi="宋体" w:cs="宋体"/>
                <w:sz w:val="24"/>
              </w:rPr>
            </w:pPr>
            <w:r>
              <w:rPr>
                <w:rFonts w:hint="eastAsia" w:ascii="宋体" w:hAnsi="宋体" w:cs="宋体"/>
                <w:sz w:val="24"/>
                <w:highlight w:val="white"/>
              </w:rPr>
              <w:t>8</w:t>
            </w:r>
          </w:p>
        </w:tc>
        <w:tc>
          <w:tcPr>
            <w:tcW w:w="2033" w:type="dxa"/>
            <w:noWrap w:val="0"/>
            <w:vAlign w:val="bottom"/>
          </w:tcPr>
          <w:p w14:paraId="1EC0980E">
            <w:pPr>
              <w:spacing w:line="360" w:lineRule="auto"/>
              <w:jc w:val="center"/>
              <w:rPr>
                <w:rFonts w:hint="eastAsia" w:ascii="宋体" w:hAnsi="宋体" w:cs="宋体"/>
                <w:sz w:val="24"/>
              </w:rPr>
            </w:pPr>
            <w:r>
              <w:rPr>
                <w:rFonts w:hint="eastAsia" w:ascii="宋体" w:hAnsi="宋体" w:cs="宋体"/>
                <w:sz w:val="24"/>
                <w:highlight w:val="white"/>
              </w:rPr>
              <w:t>承包人建议</w:t>
            </w:r>
          </w:p>
        </w:tc>
        <w:tc>
          <w:tcPr>
            <w:tcW w:w="722" w:type="dxa"/>
            <w:noWrap w:val="0"/>
            <w:vAlign w:val="center"/>
          </w:tcPr>
          <w:p w14:paraId="3D42C58F">
            <w:pPr>
              <w:spacing w:line="360" w:lineRule="auto"/>
              <w:jc w:val="center"/>
              <w:rPr>
                <w:rFonts w:hint="eastAsia" w:ascii="宋体" w:hAnsi="宋体" w:cs="宋体"/>
                <w:sz w:val="24"/>
              </w:rPr>
            </w:pPr>
          </w:p>
        </w:tc>
        <w:tc>
          <w:tcPr>
            <w:tcW w:w="724" w:type="dxa"/>
            <w:noWrap w:val="0"/>
            <w:vAlign w:val="center"/>
          </w:tcPr>
          <w:p w14:paraId="2FF36100">
            <w:pPr>
              <w:spacing w:line="360" w:lineRule="auto"/>
              <w:jc w:val="center"/>
              <w:rPr>
                <w:rFonts w:hint="eastAsia" w:ascii="宋体" w:hAnsi="宋体" w:cs="宋体"/>
                <w:sz w:val="24"/>
              </w:rPr>
            </w:pPr>
          </w:p>
        </w:tc>
        <w:tc>
          <w:tcPr>
            <w:tcW w:w="724" w:type="dxa"/>
            <w:noWrap w:val="0"/>
            <w:vAlign w:val="center"/>
          </w:tcPr>
          <w:p w14:paraId="76483AC3">
            <w:pPr>
              <w:spacing w:line="360" w:lineRule="auto"/>
              <w:jc w:val="center"/>
              <w:rPr>
                <w:rFonts w:hint="eastAsia" w:ascii="宋体" w:hAnsi="宋体" w:cs="宋体"/>
                <w:sz w:val="24"/>
              </w:rPr>
            </w:pPr>
          </w:p>
        </w:tc>
        <w:tc>
          <w:tcPr>
            <w:tcW w:w="724" w:type="dxa"/>
            <w:noWrap w:val="0"/>
            <w:vAlign w:val="center"/>
          </w:tcPr>
          <w:p w14:paraId="19FCE212">
            <w:pPr>
              <w:spacing w:line="360" w:lineRule="auto"/>
              <w:jc w:val="center"/>
              <w:rPr>
                <w:rFonts w:hint="eastAsia" w:ascii="宋体" w:hAnsi="宋体" w:cs="宋体"/>
                <w:sz w:val="24"/>
              </w:rPr>
            </w:pPr>
          </w:p>
        </w:tc>
        <w:tc>
          <w:tcPr>
            <w:tcW w:w="724" w:type="dxa"/>
            <w:noWrap w:val="0"/>
            <w:vAlign w:val="center"/>
          </w:tcPr>
          <w:p w14:paraId="1F4D8C68">
            <w:pPr>
              <w:spacing w:line="360" w:lineRule="auto"/>
              <w:jc w:val="center"/>
              <w:rPr>
                <w:rFonts w:hint="eastAsia" w:ascii="宋体" w:hAnsi="宋体" w:cs="宋体"/>
                <w:sz w:val="24"/>
              </w:rPr>
            </w:pPr>
          </w:p>
        </w:tc>
        <w:tc>
          <w:tcPr>
            <w:tcW w:w="724" w:type="dxa"/>
            <w:noWrap w:val="0"/>
            <w:vAlign w:val="center"/>
          </w:tcPr>
          <w:p w14:paraId="5AFB02E9">
            <w:pPr>
              <w:spacing w:line="360" w:lineRule="auto"/>
              <w:jc w:val="center"/>
              <w:rPr>
                <w:rFonts w:hint="eastAsia" w:ascii="宋体" w:hAnsi="宋体" w:cs="宋体"/>
                <w:sz w:val="24"/>
              </w:rPr>
            </w:pPr>
          </w:p>
        </w:tc>
        <w:tc>
          <w:tcPr>
            <w:tcW w:w="724" w:type="dxa"/>
            <w:noWrap w:val="0"/>
            <w:vAlign w:val="center"/>
          </w:tcPr>
          <w:p w14:paraId="79BC34A6">
            <w:pPr>
              <w:spacing w:line="360" w:lineRule="auto"/>
              <w:jc w:val="center"/>
              <w:rPr>
                <w:rFonts w:hint="eastAsia" w:ascii="宋体" w:hAnsi="宋体" w:cs="宋体"/>
                <w:sz w:val="24"/>
              </w:rPr>
            </w:pPr>
          </w:p>
        </w:tc>
        <w:tc>
          <w:tcPr>
            <w:tcW w:w="724" w:type="dxa"/>
            <w:noWrap w:val="0"/>
            <w:vAlign w:val="center"/>
          </w:tcPr>
          <w:p w14:paraId="0D0523B7">
            <w:pPr>
              <w:spacing w:line="360" w:lineRule="auto"/>
              <w:jc w:val="center"/>
              <w:rPr>
                <w:rFonts w:hint="eastAsia" w:ascii="宋体" w:hAnsi="宋体" w:cs="宋体"/>
                <w:sz w:val="24"/>
              </w:rPr>
            </w:pPr>
          </w:p>
        </w:tc>
        <w:tc>
          <w:tcPr>
            <w:tcW w:w="727" w:type="dxa"/>
            <w:noWrap w:val="0"/>
            <w:vAlign w:val="center"/>
          </w:tcPr>
          <w:p w14:paraId="7ABA98B2">
            <w:pPr>
              <w:spacing w:line="360" w:lineRule="auto"/>
              <w:jc w:val="center"/>
              <w:rPr>
                <w:rFonts w:hint="eastAsia" w:ascii="宋体" w:hAnsi="宋体" w:cs="宋体"/>
                <w:sz w:val="24"/>
              </w:rPr>
            </w:pPr>
          </w:p>
        </w:tc>
      </w:tr>
      <w:tr w14:paraId="606FF7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617" w:type="dxa"/>
            <w:noWrap w:val="0"/>
            <w:vAlign w:val="center"/>
          </w:tcPr>
          <w:p w14:paraId="2E883EC6">
            <w:pPr>
              <w:spacing w:line="360" w:lineRule="auto"/>
              <w:jc w:val="center"/>
              <w:rPr>
                <w:rFonts w:hint="eastAsia" w:ascii="宋体" w:hAnsi="宋体" w:cs="宋体"/>
                <w:sz w:val="24"/>
              </w:rPr>
            </w:pPr>
            <w:r>
              <w:rPr>
                <w:rFonts w:hint="eastAsia" w:ascii="宋体" w:hAnsi="宋体" w:cs="宋体"/>
                <w:sz w:val="24"/>
                <w:highlight w:val="white"/>
              </w:rPr>
              <w:t>9</w:t>
            </w:r>
          </w:p>
        </w:tc>
        <w:tc>
          <w:tcPr>
            <w:tcW w:w="2033" w:type="dxa"/>
            <w:noWrap w:val="0"/>
            <w:vAlign w:val="center"/>
          </w:tcPr>
          <w:p w14:paraId="73BF8304">
            <w:pPr>
              <w:spacing w:line="360" w:lineRule="auto"/>
              <w:jc w:val="center"/>
              <w:rPr>
                <w:rFonts w:hint="eastAsia" w:ascii="宋体" w:hAnsi="宋体" w:cs="宋体"/>
                <w:sz w:val="24"/>
              </w:rPr>
            </w:pPr>
            <w:r>
              <w:rPr>
                <w:rFonts w:hint="eastAsia" w:ascii="宋体" w:hAnsi="宋体" w:cs="宋体"/>
                <w:sz w:val="24"/>
                <w:highlight w:val="white"/>
              </w:rPr>
              <w:t>……</w:t>
            </w:r>
          </w:p>
        </w:tc>
        <w:tc>
          <w:tcPr>
            <w:tcW w:w="722" w:type="dxa"/>
            <w:noWrap w:val="0"/>
            <w:vAlign w:val="center"/>
          </w:tcPr>
          <w:p w14:paraId="1C9A1749">
            <w:pPr>
              <w:spacing w:line="360" w:lineRule="auto"/>
              <w:jc w:val="center"/>
              <w:rPr>
                <w:rFonts w:hint="eastAsia" w:ascii="宋体" w:hAnsi="宋体" w:cs="宋体"/>
                <w:sz w:val="24"/>
              </w:rPr>
            </w:pPr>
          </w:p>
        </w:tc>
        <w:tc>
          <w:tcPr>
            <w:tcW w:w="724" w:type="dxa"/>
            <w:noWrap w:val="0"/>
            <w:vAlign w:val="center"/>
          </w:tcPr>
          <w:p w14:paraId="369B1967">
            <w:pPr>
              <w:spacing w:line="360" w:lineRule="auto"/>
              <w:jc w:val="center"/>
              <w:rPr>
                <w:rFonts w:hint="eastAsia" w:ascii="宋体" w:hAnsi="宋体" w:cs="宋体"/>
                <w:sz w:val="24"/>
              </w:rPr>
            </w:pPr>
          </w:p>
        </w:tc>
        <w:tc>
          <w:tcPr>
            <w:tcW w:w="724" w:type="dxa"/>
            <w:noWrap w:val="0"/>
            <w:vAlign w:val="center"/>
          </w:tcPr>
          <w:p w14:paraId="016F314A">
            <w:pPr>
              <w:spacing w:line="360" w:lineRule="auto"/>
              <w:jc w:val="center"/>
              <w:rPr>
                <w:rFonts w:hint="eastAsia" w:ascii="宋体" w:hAnsi="宋体" w:cs="宋体"/>
                <w:sz w:val="24"/>
              </w:rPr>
            </w:pPr>
          </w:p>
        </w:tc>
        <w:tc>
          <w:tcPr>
            <w:tcW w:w="724" w:type="dxa"/>
            <w:noWrap w:val="0"/>
            <w:vAlign w:val="center"/>
          </w:tcPr>
          <w:p w14:paraId="165F74CF">
            <w:pPr>
              <w:spacing w:line="360" w:lineRule="auto"/>
              <w:jc w:val="center"/>
              <w:rPr>
                <w:rFonts w:hint="eastAsia" w:ascii="宋体" w:hAnsi="宋体" w:cs="宋体"/>
                <w:sz w:val="24"/>
              </w:rPr>
            </w:pPr>
          </w:p>
        </w:tc>
        <w:tc>
          <w:tcPr>
            <w:tcW w:w="724" w:type="dxa"/>
            <w:noWrap w:val="0"/>
            <w:vAlign w:val="center"/>
          </w:tcPr>
          <w:p w14:paraId="7F7CB6C5">
            <w:pPr>
              <w:spacing w:line="360" w:lineRule="auto"/>
              <w:jc w:val="center"/>
              <w:rPr>
                <w:rFonts w:hint="eastAsia" w:ascii="宋体" w:hAnsi="宋体" w:cs="宋体"/>
                <w:sz w:val="24"/>
              </w:rPr>
            </w:pPr>
          </w:p>
        </w:tc>
        <w:tc>
          <w:tcPr>
            <w:tcW w:w="724" w:type="dxa"/>
            <w:noWrap w:val="0"/>
            <w:vAlign w:val="center"/>
          </w:tcPr>
          <w:p w14:paraId="05C565A2">
            <w:pPr>
              <w:spacing w:line="360" w:lineRule="auto"/>
              <w:jc w:val="center"/>
              <w:rPr>
                <w:rFonts w:hint="eastAsia" w:ascii="宋体" w:hAnsi="宋体" w:cs="宋体"/>
                <w:sz w:val="24"/>
              </w:rPr>
            </w:pPr>
          </w:p>
        </w:tc>
        <w:tc>
          <w:tcPr>
            <w:tcW w:w="724" w:type="dxa"/>
            <w:noWrap w:val="0"/>
            <w:vAlign w:val="center"/>
          </w:tcPr>
          <w:p w14:paraId="5407A519">
            <w:pPr>
              <w:spacing w:line="360" w:lineRule="auto"/>
              <w:jc w:val="center"/>
              <w:rPr>
                <w:rFonts w:hint="eastAsia" w:ascii="宋体" w:hAnsi="宋体" w:cs="宋体"/>
                <w:sz w:val="24"/>
              </w:rPr>
            </w:pPr>
          </w:p>
        </w:tc>
        <w:tc>
          <w:tcPr>
            <w:tcW w:w="724" w:type="dxa"/>
            <w:noWrap w:val="0"/>
            <w:vAlign w:val="center"/>
          </w:tcPr>
          <w:p w14:paraId="0DF753B4">
            <w:pPr>
              <w:spacing w:line="360" w:lineRule="auto"/>
              <w:jc w:val="center"/>
              <w:rPr>
                <w:rFonts w:hint="eastAsia" w:ascii="宋体" w:hAnsi="宋体" w:cs="宋体"/>
                <w:sz w:val="24"/>
              </w:rPr>
            </w:pPr>
          </w:p>
        </w:tc>
        <w:tc>
          <w:tcPr>
            <w:tcW w:w="727" w:type="dxa"/>
            <w:noWrap w:val="0"/>
            <w:vAlign w:val="center"/>
          </w:tcPr>
          <w:p w14:paraId="63FCF313">
            <w:pPr>
              <w:spacing w:line="360" w:lineRule="auto"/>
              <w:jc w:val="center"/>
              <w:rPr>
                <w:rFonts w:hint="eastAsia" w:ascii="宋体" w:hAnsi="宋体" w:cs="宋体"/>
                <w:sz w:val="24"/>
              </w:rPr>
            </w:pPr>
          </w:p>
        </w:tc>
      </w:tr>
      <w:tr w14:paraId="663068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650" w:type="dxa"/>
            <w:gridSpan w:val="2"/>
            <w:noWrap w:val="0"/>
            <w:vAlign w:val="center"/>
          </w:tcPr>
          <w:p w14:paraId="6D06E7EF">
            <w:pPr>
              <w:spacing w:line="360" w:lineRule="auto"/>
              <w:jc w:val="center"/>
              <w:rPr>
                <w:rFonts w:hint="eastAsia" w:ascii="宋体" w:hAnsi="宋体" w:cs="宋体"/>
                <w:sz w:val="24"/>
              </w:rPr>
            </w:pPr>
            <w:r>
              <w:rPr>
                <w:rFonts w:hint="eastAsia" w:ascii="宋体" w:hAnsi="宋体" w:cs="宋体"/>
                <w:sz w:val="24"/>
                <w:highlight w:val="white"/>
              </w:rPr>
              <w:t>评审结论：符合/不符合</w:t>
            </w:r>
          </w:p>
        </w:tc>
        <w:tc>
          <w:tcPr>
            <w:tcW w:w="722" w:type="dxa"/>
            <w:noWrap w:val="0"/>
            <w:vAlign w:val="center"/>
          </w:tcPr>
          <w:p w14:paraId="4D9068CD">
            <w:pPr>
              <w:spacing w:line="360" w:lineRule="auto"/>
              <w:jc w:val="center"/>
              <w:rPr>
                <w:rFonts w:hint="eastAsia" w:ascii="宋体" w:hAnsi="宋体" w:cs="宋体"/>
                <w:sz w:val="24"/>
              </w:rPr>
            </w:pPr>
          </w:p>
        </w:tc>
        <w:tc>
          <w:tcPr>
            <w:tcW w:w="724" w:type="dxa"/>
            <w:noWrap w:val="0"/>
            <w:vAlign w:val="center"/>
          </w:tcPr>
          <w:p w14:paraId="1EE5BB39">
            <w:pPr>
              <w:spacing w:line="360" w:lineRule="auto"/>
              <w:jc w:val="center"/>
              <w:rPr>
                <w:rFonts w:hint="eastAsia" w:ascii="宋体" w:hAnsi="宋体" w:cs="宋体"/>
                <w:sz w:val="24"/>
              </w:rPr>
            </w:pPr>
          </w:p>
        </w:tc>
        <w:tc>
          <w:tcPr>
            <w:tcW w:w="724" w:type="dxa"/>
            <w:noWrap w:val="0"/>
            <w:vAlign w:val="center"/>
          </w:tcPr>
          <w:p w14:paraId="4C58AA82">
            <w:pPr>
              <w:spacing w:line="360" w:lineRule="auto"/>
              <w:jc w:val="center"/>
              <w:rPr>
                <w:rFonts w:hint="eastAsia" w:ascii="宋体" w:hAnsi="宋体" w:cs="宋体"/>
                <w:sz w:val="24"/>
              </w:rPr>
            </w:pPr>
          </w:p>
        </w:tc>
        <w:tc>
          <w:tcPr>
            <w:tcW w:w="724" w:type="dxa"/>
            <w:noWrap w:val="0"/>
            <w:vAlign w:val="center"/>
          </w:tcPr>
          <w:p w14:paraId="0CE3D6DF">
            <w:pPr>
              <w:spacing w:line="360" w:lineRule="auto"/>
              <w:jc w:val="center"/>
              <w:rPr>
                <w:rFonts w:hint="eastAsia" w:ascii="宋体" w:hAnsi="宋体" w:cs="宋体"/>
                <w:sz w:val="24"/>
              </w:rPr>
            </w:pPr>
          </w:p>
        </w:tc>
        <w:tc>
          <w:tcPr>
            <w:tcW w:w="724" w:type="dxa"/>
            <w:noWrap w:val="0"/>
            <w:vAlign w:val="center"/>
          </w:tcPr>
          <w:p w14:paraId="4A6F719C">
            <w:pPr>
              <w:spacing w:line="360" w:lineRule="auto"/>
              <w:jc w:val="center"/>
              <w:rPr>
                <w:rFonts w:hint="eastAsia" w:ascii="宋体" w:hAnsi="宋体" w:cs="宋体"/>
                <w:sz w:val="24"/>
              </w:rPr>
            </w:pPr>
          </w:p>
        </w:tc>
        <w:tc>
          <w:tcPr>
            <w:tcW w:w="724" w:type="dxa"/>
            <w:noWrap w:val="0"/>
            <w:vAlign w:val="center"/>
          </w:tcPr>
          <w:p w14:paraId="4B161CD8">
            <w:pPr>
              <w:spacing w:line="360" w:lineRule="auto"/>
              <w:jc w:val="center"/>
              <w:rPr>
                <w:rFonts w:hint="eastAsia" w:ascii="宋体" w:hAnsi="宋体" w:cs="宋体"/>
                <w:sz w:val="24"/>
              </w:rPr>
            </w:pPr>
          </w:p>
        </w:tc>
        <w:tc>
          <w:tcPr>
            <w:tcW w:w="724" w:type="dxa"/>
            <w:noWrap w:val="0"/>
            <w:vAlign w:val="center"/>
          </w:tcPr>
          <w:p w14:paraId="7E8A2E77">
            <w:pPr>
              <w:spacing w:line="360" w:lineRule="auto"/>
              <w:jc w:val="center"/>
              <w:rPr>
                <w:rFonts w:hint="eastAsia" w:ascii="宋体" w:hAnsi="宋体" w:cs="宋体"/>
                <w:sz w:val="24"/>
              </w:rPr>
            </w:pPr>
          </w:p>
        </w:tc>
        <w:tc>
          <w:tcPr>
            <w:tcW w:w="724" w:type="dxa"/>
            <w:noWrap w:val="0"/>
            <w:vAlign w:val="center"/>
          </w:tcPr>
          <w:p w14:paraId="3D8B4A94">
            <w:pPr>
              <w:spacing w:line="360" w:lineRule="auto"/>
              <w:jc w:val="center"/>
              <w:rPr>
                <w:rFonts w:hint="eastAsia" w:ascii="宋体" w:hAnsi="宋体" w:cs="宋体"/>
                <w:sz w:val="24"/>
              </w:rPr>
            </w:pPr>
          </w:p>
        </w:tc>
        <w:tc>
          <w:tcPr>
            <w:tcW w:w="727" w:type="dxa"/>
            <w:noWrap w:val="0"/>
            <w:vAlign w:val="center"/>
          </w:tcPr>
          <w:p w14:paraId="05BE4302">
            <w:pPr>
              <w:spacing w:line="360" w:lineRule="auto"/>
              <w:jc w:val="center"/>
              <w:rPr>
                <w:rFonts w:hint="eastAsia" w:ascii="宋体" w:hAnsi="宋体" w:cs="宋体"/>
                <w:sz w:val="24"/>
              </w:rPr>
            </w:pPr>
          </w:p>
        </w:tc>
      </w:tr>
    </w:tbl>
    <w:p w14:paraId="78A044C3">
      <w:pPr>
        <w:spacing w:line="360" w:lineRule="auto"/>
        <w:rPr>
          <w:rFonts w:hint="eastAsia" w:ascii="宋体" w:hAnsi="宋体" w:cs="宋体"/>
          <w:sz w:val="24"/>
        </w:rPr>
      </w:pPr>
      <w:r>
        <w:rPr>
          <w:rFonts w:hint="eastAsia" w:ascii="宋体" w:hAnsi="宋体" w:cs="宋体"/>
          <w:sz w:val="24"/>
          <w:highlight w:val="white"/>
        </w:rPr>
        <w:t>评标委员会全体成员签名：</w:t>
      </w:r>
    </w:p>
    <w:p w14:paraId="3C98C3BD">
      <w:pPr>
        <w:spacing w:line="360" w:lineRule="auto"/>
        <w:rPr>
          <w:rFonts w:hint="eastAsia" w:ascii="宋体" w:hAnsi="宋体" w:cs="宋体"/>
          <w:sz w:val="24"/>
        </w:rPr>
      </w:pPr>
    </w:p>
    <w:p w14:paraId="2B28082D">
      <w:pPr>
        <w:pStyle w:val="3"/>
        <w:rPr>
          <w:rFonts w:ascii="宋体" w:hAnsi="宋体" w:eastAsia="宋体"/>
          <w:sz w:val="24"/>
          <w:szCs w:val="24"/>
        </w:rPr>
      </w:pPr>
      <w:r>
        <w:rPr>
          <w:rFonts w:hint="eastAsia" w:ascii="宋体" w:hAnsi="宋体" w:eastAsia="宋体"/>
          <w:sz w:val="24"/>
          <w:szCs w:val="24"/>
          <w:highlight w:val="white"/>
        </w:rPr>
        <w:br w:type="page"/>
      </w:r>
      <w:bookmarkStart w:id="217" w:name="_Toc256000088"/>
      <w:r>
        <w:rPr>
          <w:rFonts w:hint="eastAsia" w:ascii="宋体" w:hAnsi="宋体" w:eastAsia="宋体"/>
          <w:sz w:val="24"/>
          <w:szCs w:val="24"/>
          <w:highlight w:val="white"/>
        </w:rPr>
        <w:t>附表5：低于</w:t>
      </w:r>
      <w:r>
        <w:rPr>
          <w:rFonts w:ascii="宋体" w:hAnsi="宋体" w:eastAsia="宋体"/>
          <w:sz w:val="24"/>
          <w:szCs w:val="24"/>
          <w:highlight w:val="white"/>
        </w:rPr>
        <w:t>成本评审</w:t>
      </w:r>
      <w:r>
        <w:rPr>
          <w:rFonts w:hint="eastAsia" w:ascii="宋体" w:hAnsi="宋体" w:eastAsia="宋体"/>
          <w:sz w:val="24"/>
          <w:szCs w:val="24"/>
          <w:highlight w:val="white"/>
        </w:rPr>
        <w:t>记录表</w:t>
      </w:r>
      <w:bookmarkEnd w:id="217"/>
    </w:p>
    <w:p w14:paraId="41A24BC7">
      <w:pPr>
        <w:spacing w:line="360" w:lineRule="auto"/>
        <w:jc w:val="center"/>
        <w:rPr>
          <w:rFonts w:ascii="宋体" w:hAnsi="宋体" w:cs="宋体"/>
          <w:b/>
          <w:sz w:val="24"/>
        </w:rPr>
      </w:pPr>
      <w:r>
        <w:rPr>
          <w:rFonts w:hint="eastAsia" w:ascii="宋体" w:hAnsi="宋体" w:cs="宋体"/>
          <w:b/>
          <w:sz w:val="24"/>
          <w:highlight w:val="white"/>
        </w:rPr>
        <w:t>低于成本评审记录表</w:t>
      </w:r>
    </w:p>
    <w:p w14:paraId="2EE409C0">
      <w:pPr>
        <w:spacing w:line="360" w:lineRule="auto"/>
        <w:jc w:val="center"/>
        <w:rPr>
          <w:rFonts w:ascii="宋体" w:hAnsi="宋体" w:cs="宋体"/>
          <w:b/>
          <w:sz w:val="24"/>
        </w:rPr>
      </w:pPr>
    </w:p>
    <w:p w14:paraId="44F7A586">
      <w:pPr>
        <w:spacing w:line="360" w:lineRule="auto"/>
        <w:rPr>
          <w:rFonts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835"/>
        <w:gridCol w:w="709"/>
        <w:gridCol w:w="552"/>
        <w:gridCol w:w="724"/>
        <w:gridCol w:w="724"/>
        <w:gridCol w:w="724"/>
        <w:gridCol w:w="724"/>
        <w:gridCol w:w="724"/>
        <w:gridCol w:w="724"/>
        <w:gridCol w:w="727"/>
      </w:tblGrid>
      <w:tr w14:paraId="231CF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3" w:hRule="atLeast"/>
        </w:trPr>
        <w:tc>
          <w:tcPr>
            <w:tcW w:w="2835" w:type="dxa"/>
            <w:vMerge w:val="restart"/>
            <w:noWrap w:val="0"/>
            <w:vAlign w:val="center"/>
          </w:tcPr>
          <w:p w14:paraId="53BEDF18">
            <w:pPr>
              <w:spacing w:line="360" w:lineRule="auto"/>
              <w:jc w:val="center"/>
              <w:rPr>
                <w:rFonts w:ascii="宋体" w:hAnsi="宋体" w:cs="宋体"/>
                <w:sz w:val="24"/>
              </w:rPr>
            </w:pPr>
            <w:r>
              <w:rPr>
                <w:rFonts w:hint="eastAsia" w:ascii="宋体" w:hAnsi="宋体" w:cs="宋体"/>
                <w:sz w:val="24"/>
                <w:highlight w:val="white"/>
              </w:rPr>
              <w:t>评审因素</w:t>
            </w:r>
          </w:p>
        </w:tc>
        <w:tc>
          <w:tcPr>
            <w:tcW w:w="6332" w:type="dxa"/>
            <w:gridSpan w:val="9"/>
            <w:noWrap w:val="0"/>
            <w:vAlign w:val="center"/>
          </w:tcPr>
          <w:p w14:paraId="2D6481B4">
            <w:pPr>
              <w:spacing w:line="360" w:lineRule="auto"/>
              <w:jc w:val="center"/>
              <w:rPr>
                <w:rFonts w:ascii="宋体" w:hAnsi="宋体" w:cs="宋体"/>
                <w:sz w:val="24"/>
              </w:rPr>
            </w:pPr>
            <w:r>
              <w:rPr>
                <w:rFonts w:hint="eastAsia" w:ascii="宋体" w:hAnsi="宋体" w:cs="宋体"/>
                <w:sz w:val="24"/>
                <w:highlight w:val="white"/>
              </w:rPr>
              <w:t>投标人名称及评审意见</w:t>
            </w:r>
          </w:p>
        </w:tc>
      </w:tr>
      <w:tr w14:paraId="1ED9D8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98" w:hRule="atLeast"/>
        </w:trPr>
        <w:tc>
          <w:tcPr>
            <w:tcW w:w="2835" w:type="dxa"/>
            <w:vMerge w:val="continue"/>
            <w:noWrap w:val="0"/>
            <w:vAlign w:val="center"/>
          </w:tcPr>
          <w:p w14:paraId="018F8509">
            <w:pPr>
              <w:spacing w:line="360" w:lineRule="auto"/>
              <w:rPr>
                <w:rFonts w:ascii="宋体" w:hAnsi="宋体" w:cs="宋体"/>
                <w:sz w:val="24"/>
              </w:rPr>
            </w:pPr>
          </w:p>
        </w:tc>
        <w:tc>
          <w:tcPr>
            <w:tcW w:w="709" w:type="dxa"/>
            <w:noWrap w:val="0"/>
            <w:vAlign w:val="center"/>
          </w:tcPr>
          <w:p w14:paraId="04C95B38">
            <w:pPr>
              <w:spacing w:line="360" w:lineRule="auto"/>
              <w:jc w:val="center"/>
              <w:rPr>
                <w:rFonts w:ascii="宋体" w:hAnsi="宋体" w:cs="宋体"/>
                <w:sz w:val="24"/>
              </w:rPr>
            </w:pPr>
          </w:p>
        </w:tc>
        <w:tc>
          <w:tcPr>
            <w:tcW w:w="552" w:type="dxa"/>
            <w:noWrap w:val="0"/>
            <w:vAlign w:val="center"/>
          </w:tcPr>
          <w:p w14:paraId="0E32F9DC">
            <w:pPr>
              <w:spacing w:line="360" w:lineRule="auto"/>
              <w:jc w:val="center"/>
              <w:rPr>
                <w:rFonts w:ascii="宋体" w:hAnsi="宋体" w:cs="宋体"/>
                <w:sz w:val="24"/>
              </w:rPr>
            </w:pPr>
          </w:p>
        </w:tc>
        <w:tc>
          <w:tcPr>
            <w:tcW w:w="724" w:type="dxa"/>
            <w:noWrap w:val="0"/>
            <w:vAlign w:val="center"/>
          </w:tcPr>
          <w:p w14:paraId="0C281908">
            <w:pPr>
              <w:spacing w:line="360" w:lineRule="auto"/>
              <w:jc w:val="center"/>
              <w:rPr>
                <w:rFonts w:ascii="宋体" w:hAnsi="宋体" w:cs="宋体"/>
                <w:sz w:val="24"/>
              </w:rPr>
            </w:pPr>
          </w:p>
        </w:tc>
        <w:tc>
          <w:tcPr>
            <w:tcW w:w="724" w:type="dxa"/>
            <w:noWrap w:val="0"/>
            <w:vAlign w:val="center"/>
          </w:tcPr>
          <w:p w14:paraId="1BC9828A">
            <w:pPr>
              <w:spacing w:line="360" w:lineRule="auto"/>
              <w:jc w:val="center"/>
              <w:rPr>
                <w:rFonts w:ascii="宋体" w:hAnsi="宋体" w:cs="宋体"/>
                <w:sz w:val="24"/>
              </w:rPr>
            </w:pPr>
          </w:p>
        </w:tc>
        <w:tc>
          <w:tcPr>
            <w:tcW w:w="724" w:type="dxa"/>
            <w:noWrap w:val="0"/>
            <w:vAlign w:val="center"/>
          </w:tcPr>
          <w:p w14:paraId="3F989238">
            <w:pPr>
              <w:spacing w:line="360" w:lineRule="auto"/>
              <w:jc w:val="center"/>
              <w:rPr>
                <w:rFonts w:ascii="宋体" w:hAnsi="宋体" w:cs="宋体"/>
                <w:sz w:val="24"/>
              </w:rPr>
            </w:pPr>
          </w:p>
        </w:tc>
        <w:tc>
          <w:tcPr>
            <w:tcW w:w="724" w:type="dxa"/>
            <w:noWrap w:val="0"/>
            <w:vAlign w:val="center"/>
          </w:tcPr>
          <w:p w14:paraId="3FEC8878">
            <w:pPr>
              <w:spacing w:line="360" w:lineRule="auto"/>
              <w:jc w:val="center"/>
              <w:rPr>
                <w:rFonts w:ascii="宋体" w:hAnsi="宋体" w:cs="宋体"/>
                <w:sz w:val="24"/>
              </w:rPr>
            </w:pPr>
          </w:p>
        </w:tc>
        <w:tc>
          <w:tcPr>
            <w:tcW w:w="724" w:type="dxa"/>
            <w:noWrap w:val="0"/>
            <w:vAlign w:val="center"/>
          </w:tcPr>
          <w:p w14:paraId="53770996">
            <w:pPr>
              <w:spacing w:line="360" w:lineRule="auto"/>
              <w:jc w:val="center"/>
              <w:rPr>
                <w:rFonts w:ascii="宋体" w:hAnsi="宋体" w:cs="宋体"/>
                <w:sz w:val="24"/>
              </w:rPr>
            </w:pPr>
          </w:p>
        </w:tc>
        <w:tc>
          <w:tcPr>
            <w:tcW w:w="724" w:type="dxa"/>
            <w:noWrap w:val="0"/>
            <w:vAlign w:val="center"/>
          </w:tcPr>
          <w:p w14:paraId="48C32948">
            <w:pPr>
              <w:spacing w:line="360" w:lineRule="auto"/>
              <w:jc w:val="center"/>
              <w:rPr>
                <w:rFonts w:ascii="宋体" w:hAnsi="宋体" w:cs="宋体"/>
                <w:sz w:val="24"/>
              </w:rPr>
            </w:pPr>
          </w:p>
        </w:tc>
        <w:tc>
          <w:tcPr>
            <w:tcW w:w="727" w:type="dxa"/>
            <w:noWrap w:val="0"/>
            <w:vAlign w:val="center"/>
          </w:tcPr>
          <w:p w14:paraId="6F0F76CF">
            <w:pPr>
              <w:spacing w:line="360" w:lineRule="auto"/>
              <w:jc w:val="center"/>
              <w:rPr>
                <w:rFonts w:ascii="宋体" w:hAnsi="宋体" w:cs="宋体"/>
                <w:sz w:val="24"/>
              </w:rPr>
            </w:pPr>
          </w:p>
        </w:tc>
      </w:tr>
      <w:tr w14:paraId="0D9AC3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0" w:hRule="atLeast"/>
        </w:trPr>
        <w:tc>
          <w:tcPr>
            <w:tcW w:w="2835" w:type="dxa"/>
            <w:noWrap w:val="0"/>
            <w:vAlign w:val="center"/>
          </w:tcPr>
          <w:p w14:paraId="4065892D">
            <w:pPr>
              <w:spacing w:line="360" w:lineRule="auto"/>
              <w:jc w:val="center"/>
              <w:rPr>
                <w:rFonts w:ascii="宋体" w:hAnsi="宋体" w:cs="宋体"/>
                <w:sz w:val="24"/>
              </w:rPr>
            </w:pPr>
            <w:r>
              <w:rPr>
                <w:rFonts w:hint="eastAsia" w:ascii="宋体" w:hAnsi="宋体" w:cs="宋体"/>
                <w:sz w:val="24"/>
                <w:highlight w:val="white"/>
              </w:rPr>
              <w:t>低于成本</w:t>
            </w:r>
          </w:p>
        </w:tc>
        <w:tc>
          <w:tcPr>
            <w:tcW w:w="709" w:type="dxa"/>
            <w:noWrap w:val="0"/>
            <w:vAlign w:val="center"/>
          </w:tcPr>
          <w:p w14:paraId="511D039C">
            <w:pPr>
              <w:spacing w:line="360" w:lineRule="auto"/>
              <w:jc w:val="center"/>
              <w:rPr>
                <w:rFonts w:ascii="宋体" w:hAnsi="宋体" w:cs="宋体"/>
                <w:sz w:val="24"/>
              </w:rPr>
            </w:pPr>
          </w:p>
        </w:tc>
        <w:tc>
          <w:tcPr>
            <w:tcW w:w="552" w:type="dxa"/>
            <w:noWrap w:val="0"/>
            <w:vAlign w:val="center"/>
          </w:tcPr>
          <w:p w14:paraId="2A6002BF">
            <w:pPr>
              <w:spacing w:line="360" w:lineRule="auto"/>
              <w:jc w:val="center"/>
              <w:rPr>
                <w:rFonts w:ascii="宋体" w:hAnsi="宋体" w:cs="宋体"/>
                <w:sz w:val="24"/>
              </w:rPr>
            </w:pPr>
          </w:p>
        </w:tc>
        <w:tc>
          <w:tcPr>
            <w:tcW w:w="724" w:type="dxa"/>
            <w:noWrap w:val="0"/>
            <w:vAlign w:val="center"/>
          </w:tcPr>
          <w:p w14:paraId="1D52F042">
            <w:pPr>
              <w:spacing w:line="360" w:lineRule="auto"/>
              <w:jc w:val="center"/>
              <w:rPr>
                <w:rFonts w:ascii="宋体" w:hAnsi="宋体" w:cs="宋体"/>
                <w:sz w:val="24"/>
              </w:rPr>
            </w:pPr>
          </w:p>
        </w:tc>
        <w:tc>
          <w:tcPr>
            <w:tcW w:w="724" w:type="dxa"/>
            <w:noWrap w:val="0"/>
            <w:vAlign w:val="center"/>
          </w:tcPr>
          <w:p w14:paraId="4BA6EDCE">
            <w:pPr>
              <w:spacing w:line="360" w:lineRule="auto"/>
              <w:jc w:val="center"/>
              <w:rPr>
                <w:rFonts w:ascii="宋体" w:hAnsi="宋体" w:cs="宋体"/>
                <w:sz w:val="24"/>
              </w:rPr>
            </w:pPr>
          </w:p>
        </w:tc>
        <w:tc>
          <w:tcPr>
            <w:tcW w:w="724" w:type="dxa"/>
            <w:noWrap w:val="0"/>
            <w:vAlign w:val="center"/>
          </w:tcPr>
          <w:p w14:paraId="5F2AE4CA">
            <w:pPr>
              <w:spacing w:line="360" w:lineRule="auto"/>
              <w:jc w:val="center"/>
              <w:rPr>
                <w:rFonts w:ascii="宋体" w:hAnsi="宋体" w:cs="宋体"/>
                <w:sz w:val="24"/>
              </w:rPr>
            </w:pPr>
          </w:p>
        </w:tc>
        <w:tc>
          <w:tcPr>
            <w:tcW w:w="724" w:type="dxa"/>
            <w:noWrap w:val="0"/>
            <w:vAlign w:val="center"/>
          </w:tcPr>
          <w:p w14:paraId="0A310928">
            <w:pPr>
              <w:spacing w:line="360" w:lineRule="auto"/>
              <w:jc w:val="center"/>
              <w:rPr>
                <w:rFonts w:ascii="宋体" w:hAnsi="宋体" w:cs="宋体"/>
                <w:sz w:val="24"/>
              </w:rPr>
            </w:pPr>
          </w:p>
        </w:tc>
        <w:tc>
          <w:tcPr>
            <w:tcW w:w="724" w:type="dxa"/>
            <w:noWrap w:val="0"/>
            <w:vAlign w:val="center"/>
          </w:tcPr>
          <w:p w14:paraId="28A250C3">
            <w:pPr>
              <w:spacing w:line="360" w:lineRule="auto"/>
              <w:jc w:val="center"/>
              <w:rPr>
                <w:rFonts w:ascii="宋体" w:hAnsi="宋体" w:cs="宋体"/>
                <w:sz w:val="24"/>
              </w:rPr>
            </w:pPr>
          </w:p>
        </w:tc>
        <w:tc>
          <w:tcPr>
            <w:tcW w:w="724" w:type="dxa"/>
            <w:noWrap w:val="0"/>
            <w:vAlign w:val="center"/>
          </w:tcPr>
          <w:p w14:paraId="18F511C1">
            <w:pPr>
              <w:spacing w:line="360" w:lineRule="auto"/>
              <w:jc w:val="center"/>
              <w:rPr>
                <w:rFonts w:ascii="宋体" w:hAnsi="宋体" w:cs="宋体"/>
                <w:sz w:val="24"/>
              </w:rPr>
            </w:pPr>
          </w:p>
        </w:tc>
        <w:tc>
          <w:tcPr>
            <w:tcW w:w="727" w:type="dxa"/>
            <w:noWrap w:val="0"/>
            <w:vAlign w:val="center"/>
          </w:tcPr>
          <w:p w14:paraId="6D8612F8">
            <w:pPr>
              <w:spacing w:line="360" w:lineRule="auto"/>
              <w:jc w:val="center"/>
              <w:rPr>
                <w:rFonts w:ascii="宋体" w:hAnsi="宋体" w:cs="宋体"/>
                <w:sz w:val="24"/>
              </w:rPr>
            </w:pPr>
          </w:p>
        </w:tc>
      </w:tr>
      <w:tr w14:paraId="6427F5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85" w:hRule="atLeast"/>
        </w:trPr>
        <w:tc>
          <w:tcPr>
            <w:tcW w:w="2835" w:type="dxa"/>
            <w:noWrap w:val="0"/>
            <w:vAlign w:val="center"/>
          </w:tcPr>
          <w:p w14:paraId="75BD8ACF">
            <w:pPr>
              <w:spacing w:line="360" w:lineRule="auto"/>
              <w:jc w:val="center"/>
              <w:rPr>
                <w:rFonts w:ascii="宋体" w:hAnsi="宋体" w:cs="宋体"/>
                <w:sz w:val="24"/>
              </w:rPr>
            </w:pPr>
            <w:r>
              <w:rPr>
                <w:rFonts w:hint="eastAsia" w:ascii="宋体" w:hAnsi="宋体" w:cs="宋体"/>
                <w:sz w:val="24"/>
                <w:highlight w:val="white"/>
              </w:rPr>
              <w:t>评审结论：符合/不符合</w:t>
            </w:r>
          </w:p>
        </w:tc>
        <w:tc>
          <w:tcPr>
            <w:tcW w:w="709" w:type="dxa"/>
            <w:noWrap w:val="0"/>
            <w:vAlign w:val="center"/>
          </w:tcPr>
          <w:p w14:paraId="41CB6466">
            <w:pPr>
              <w:spacing w:line="360" w:lineRule="auto"/>
              <w:jc w:val="center"/>
              <w:rPr>
                <w:rFonts w:ascii="宋体" w:hAnsi="宋体" w:cs="宋体"/>
                <w:sz w:val="24"/>
              </w:rPr>
            </w:pPr>
          </w:p>
        </w:tc>
        <w:tc>
          <w:tcPr>
            <w:tcW w:w="552" w:type="dxa"/>
            <w:noWrap w:val="0"/>
            <w:vAlign w:val="center"/>
          </w:tcPr>
          <w:p w14:paraId="047573B3">
            <w:pPr>
              <w:spacing w:line="360" w:lineRule="auto"/>
              <w:jc w:val="center"/>
              <w:rPr>
                <w:rFonts w:ascii="宋体" w:hAnsi="宋体" w:cs="宋体"/>
                <w:sz w:val="24"/>
              </w:rPr>
            </w:pPr>
          </w:p>
        </w:tc>
        <w:tc>
          <w:tcPr>
            <w:tcW w:w="724" w:type="dxa"/>
            <w:noWrap w:val="0"/>
            <w:vAlign w:val="center"/>
          </w:tcPr>
          <w:p w14:paraId="7438C148">
            <w:pPr>
              <w:spacing w:line="360" w:lineRule="auto"/>
              <w:jc w:val="center"/>
              <w:rPr>
                <w:rFonts w:ascii="宋体" w:hAnsi="宋体" w:cs="宋体"/>
                <w:sz w:val="24"/>
              </w:rPr>
            </w:pPr>
          </w:p>
        </w:tc>
        <w:tc>
          <w:tcPr>
            <w:tcW w:w="724" w:type="dxa"/>
            <w:noWrap w:val="0"/>
            <w:vAlign w:val="center"/>
          </w:tcPr>
          <w:p w14:paraId="521E4A13">
            <w:pPr>
              <w:spacing w:line="360" w:lineRule="auto"/>
              <w:jc w:val="center"/>
              <w:rPr>
                <w:rFonts w:ascii="宋体" w:hAnsi="宋体" w:cs="宋体"/>
                <w:sz w:val="24"/>
              </w:rPr>
            </w:pPr>
          </w:p>
        </w:tc>
        <w:tc>
          <w:tcPr>
            <w:tcW w:w="724" w:type="dxa"/>
            <w:noWrap w:val="0"/>
            <w:vAlign w:val="center"/>
          </w:tcPr>
          <w:p w14:paraId="135C3DA8">
            <w:pPr>
              <w:spacing w:line="360" w:lineRule="auto"/>
              <w:jc w:val="center"/>
              <w:rPr>
                <w:rFonts w:ascii="宋体" w:hAnsi="宋体" w:cs="宋体"/>
                <w:sz w:val="24"/>
              </w:rPr>
            </w:pPr>
          </w:p>
        </w:tc>
        <w:tc>
          <w:tcPr>
            <w:tcW w:w="724" w:type="dxa"/>
            <w:noWrap w:val="0"/>
            <w:vAlign w:val="center"/>
          </w:tcPr>
          <w:p w14:paraId="2EBBC2B4">
            <w:pPr>
              <w:spacing w:line="360" w:lineRule="auto"/>
              <w:jc w:val="center"/>
              <w:rPr>
                <w:rFonts w:ascii="宋体" w:hAnsi="宋体" w:cs="宋体"/>
                <w:sz w:val="24"/>
              </w:rPr>
            </w:pPr>
          </w:p>
        </w:tc>
        <w:tc>
          <w:tcPr>
            <w:tcW w:w="724" w:type="dxa"/>
            <w:noWrap w:val="0"/>
            <w:vAlign w:val="center"/>
          </w:tcPr>
          <w:p w14:paraId="58EB2D8F">
            <w:pPr>
              <w:spacing w:line="360" w:lineRule="auto"/>
              <w:jc w:val="center"/>
              <w:rPr>
                <w:rFonts w:ascii="宋体" w:hAnsi="宋体" w:cs="宋体"/>
                <w:sz w:val="24"/>
              </w:rPr>
            </w:pPr>
          </w:p>
        </w:tc>
        <w:tc>
          <w:tcPr>
            <w:tcW w:w="724" w:type="dxa"/>
            <w:noWrap w:val="0"/>
            <w:vAlign w:val="center"/>
          </w:tcPr>
          <w:p w14:paraId="2C9B5901">
            <w:pPr>
              <w:spacing w:line="360" w:lineRule="auto"/>
              <w:jc w:val="center"/>
              <w:rPr>
                <w:rFonts w:ascii="宋体" w:hAnsi="宋体" w:cs="宋体"/>
                <w:sz w:val="24"/>
              </w:rPr>
            </w:pPr>
          </w:p>
        </w:tc>
        <w:tc>
          <w:tcPr>
            <w:tcW w:w="727" w:type="dxa"/>
            <w:noWrap w:val="0"/>
            <w:vAlign w:val="center"/>
          </w:tcPr>
          <w:p w14:paraId="2EB49370">
            <w:pPr>
              <w:spacing w:line="360" w:lineRule="auto"/>
              <w:jc w:val="center"/>
              <w:rPr>
                <w:rFonts w:ascii="宋体" w:hAnsi="宋体" w:cs="宋体"/>
                <w:sz w:val="24"/>
              </w:rPr>
            </w:pPr>
          </w:p>
        </w:tc>
      </w:tr>
    </w:tbl>
    <w:p w14:paraId="41878721">
      <w:pPr>
        <w:pStyle w:val="3"/>
        <w:rPr>
          <w:rFonts w:hint="eastAsia" w:ascii="宋体" w:hAnsi="宋体" w:eastAsia="宋体"/>
          <w:sz w:val="24"/>
          <w:szCs w:val="24"/>
        </w:rPr>
      </w:pPr>
      <w:r>
        <w:rPr>
          <w:rFonts w:hint="eastAsia" w:ascii="宋体" w:hAnsi="宋体" w:eastAsia="宋体"/>
          <w:sz w:val="24"/>
          <w:szCs w:val="24"/>
          <w:highlight w:val="white"/>
        </w:rPr>
        <w:br w:type="page"/>
      </w:r>
      <w:bookmarkStart w:id="218" w:name="_Toc256000089"/>
      <w:r>
        <w:rPr>
          <w:rFonts w:hint="eastAsia" w:ascii="宋体" w:hAnsi="宋体" w:eastAsia="宋体"/>
          <w:sz w:val="24"/>
          <w:szCs w:val="24"/>
          <w:highlight w:val="white"/>
        </w:rPr>
        <w:t>附表6：承包人建议书评审记录表</w:t>
      </w:r>
      <w:bookmarkEnd w:id="218"/>
    </w:p>
    <w:p w14:paraId="2D8575FC">
      <w:pPr>
        <w:spacing w:line="360" w:lineRule="auto"/>
        <w:jc w:val="center"/>
        <w:rPr>
          <w:rFonts w:hint="eastAsia" w:ascii="宋体" w:hAnsi="宋体" w:cs="宋体"/>
          <w:b/>
          <w:sz w:val="24"/>
        </w:rPr>
      </w:pPr>
      <w:r>
        <w:rPr>
          <w:rFonts w:hint="eastAsia" w:ascii="宋体" w:hAnsi="宋体"/>
          <w:b/>
          <w:sz w:val="24"/>
          <w:highlight w:val="white"/>
        </w:rPr>
        <w:t>承包人建议书</w:t>
      </w:r>
      <w:r>
        <w:rPr>
          <w:rFonts w:hint="eastAsia" w:ascii="宋体" w:hAnsi="宋体" w:cs="宋体"/>
          <w:b/>
          <w:sz w:val="24"/>
          <w:highlight w:val="white"/>
        </w:rPr>
        <w:t>评审记录表</w:t>
      </w:r>
    </w:p>
    <w:p w14:paraId="68F5033B">
      <w:pPr>
        <w:spacing w:line="360" w:lineRule="auto"/>
        <w:jc w:val="center"/>
        <w:rPr>
          <w:rFonts w:hint="eastAsia" w:ascii="宋体" w:hAnsi="宋体" w:cs="宋体"/>
          <w:b/>
          <w:sz w:val="24"/>
        </w:rPr>
      </w:pPr>
    </w:p>
    <w:p w14:paraId="68D1919F">
      <w:pPr>
        <w:spacing w:line="360" w:lineRule="auto"/>
        <w:rPr>
          <w:rFonts w:hint="eastAsia" w:ascii="宋体" w:hAnsi="宋体" w:cs="宋体"/>
          <w:sz w:val="24"/>
        </w:rPr>
      </w:pPr>
      <w:r>
        <w:rPr>
          <w:rFonts w:hint="eastAsia" w:ascii="宋体" w:hAnsi="宋体" w:cs="宋体"/>
          <w:sz w:val="24"/>
          <w:highlight w:val="white"/>
        </w:rPr>
        <w:t>工程名称：______（项目名称）</w:t>
      </w:r>
      <w:r>
        <w:rPr>
          <w:rFonts w:hint="eastAsia" w:ascii="宋体" w:hAnsi="宋体"/>
          <w:sz w:val="24"/>
          <w:highlight w:val="white"/>
        </w:rPr>
        <w:t>设计施工总承包</w:t>
      </w:r>
      <w:r>
        <w:rPr>
          <w:rFonts w:hint="eastAsia" w:ascii="宋体" w:hAnsi="宋体" w:cs="宋体"/>
          <w:sz w:val="24"/>
          <w:highlight w:val="white"/>
        </w:rPr>
        <w:t>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4"/>
        <w:gridCol w:w="2279"/>
        <w:gridCol w:w="867"/>
        <w:gridCol w:w="691"/>
        <w:gridCol w:w="691"/>
        <w:gridCol w:w="691"/>
        <w:gridCol w:w="691"/>
        <w:gridCol w:w="691"/>
        <w:gridCol w:w="691"/>
        <w:gridCol w:w="691"/>
        <w:gridCol w:w="688"/>
      </w:tblGrid>
      <w:tr w14:paraId="1F571E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614" w:type="dxa"/>
            <w:vMerge w:val="restart"/>
            <w:noWrap w:val="0"/>
            <w:vAlign w:val="center"/>
          </w:tcPr>
          <w:p w14:paraId="5B517652">
            <w:pPr>
              <w:spacing w:line="360" w:lineRule="auto"/>
              <w:jc w:val="center"/>
              <w:rPr>
                <w:rFonts w:hint="eastAsia" w:ascii="宋体" w:hAnsi="宋体" w:cs="宋体"/>
                <w:sz w:val="24"/>
              </w:rPr>
            </w:pPr>
            <w:r>
              <w:rPr>
                <w:rFonts w:hint="eastAsia" w:ascii="宋体" w:hAnsi="宋体" w:cs="宋体"/>
                <w:sz w:val="24"/>
                <w:highlight w:val="white"/>
              </w:rPr>
              <w:t>序号</w:t>
            </w:r>
          </w:p>
        </w:tc>
        <w:tc>
          <w:tcPr>
            <w:tcW w:w="2279" w:type="dxa"/>
            <w:vMerge w:val="restart"/>
            <w:noWrap w:val="0"/>
            <w:vAlign w:val="center"/>
          </w:tcPr>
          <w:p w14:paraId="2A7D6097">
            <w:pPr>
              <w:spacing w:line="360" w:lineRule="auto"/>
              <w:jc w:val="center"/>
              <w:rPr>
                <w:rFonts w:ascii="宋体" w:hAnsi="宋体" w:cs="宋体"/>
                <w:sz w:val="24"/>
              </w:rPr>
            </w:pPr>
            <w:r>
              <w:rPr>
                <w:rFonts w:hint="eastAsia" w:ascii="宋体" w:hAnsi="宋体" w:cs="宋体"/>
                <w:sz w:val="24"/>
                <w:highlight w:val="white"/>
              </w:rPr>
              <w:t>评分因素</w:t>
            </w:r>
          </w:p>
        </w:tc>
        <w:tc>
          <w:tcPr>
            <w:tcW w:w="867" w:type="dxa"/>
            <w:vMerge w:val="restart"/>
            <w:noWrap w:val="0"/>
            <w:vAlign w:val="center"/>
          </w:tcPr>
          <w:p w14:paraId="0B99AB22">
            <w:pPr>
              <w:spacing w:line="360" w:lineRule="auto"/>
              <w:jc w:val="center"/>
              <w:rPr>
                <w:rFonts w:hint="eastAsia" w:ascii="宋体" w:hAnsi="宋体" w:cs="宋体"/>
                <w:sz w:val="24"/>
              </w:rPr>
            </w:pPr>
            <w:r>
              <w:rPr>
                <w:rFonts w:hint="eastAsia" w:ascii="宋体" w:hAnsi="宋体" w:cs="宋体"/>
                <w:sz w:val="24"/>
                <w:highlight w:val="white"/>
              </w:rPr>
              <w:t>分值</w:t>
            </w:r>
          </w:p>
        </w:tc>
        <w:tc>
          <w:tcPr>
            <w:tcW w:w="5525" w:type="dxa"/>
            <w:gridSpan w:val="8"/>
            <w:noWrap w:val="0"/>
            <w:vAlign w:val="center"/>
          </w:tcPr>
          <w:p w14:paraId="4E23803D">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25E7CA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4" w:type="dxa"/>
            <w:vMerge w:val="continue"/>
            <w:noWrap w:val="0"/>
            <w:vAlign w:val="center"/>
          </w:tcPr>
          <w:p w14:paraId="6FD665F1">
            <w:pPr>
              <w:spacing w:line="360" w:lineRule="auto"/>
              <w:rPr>
                <w:rFonts w:hint="eastAsia" w:ascii="宋体" w:hAnsi="宋体" w:cs="宋体"/>
                <w:sz w:val="24"/>
              </w:rPr>
            </w:pPr>
          </w:p>
        </w:tc>
        <w:tc>
          <w:tcPr>
            <w:tcW w:w="2279" w:type="dxa"/>
            <w:vMerge w:val="continue"/>
            <w:noWrap w:val="0"/>
            <w:vAlign w:val="center"/>
          </w:tcPr>
          <w:p w14:paraId="4B149BC2">
            <w:pPr>
              <w:spacing w:line="360" w:lineRule="auto"/>
              <w:rPr>
                <w:rFonts w:hint="eastAsia" w:ascii="宋体" w:hAnsi="宋体" w:cs="宋体"/>
                <w:sz w:val="24"/>
              </w:rPr>
            </w:pPr>
          </w:p>
        </w:tc>
        <w:tc>
          <w:tcPr>
            <w:tcW w:w="867" w:type="dxa"/>
            <w:vMerge w:val="continue"/>
            <w:noWrap w:val="0"/>
            <w:vAlign w:val="center"/>
          </w:tcPr>
          <w:p w14:paraId="0C1E18AD">
            <w:pPr>
              <w:spacing w:line="360" w:lineRule="auto"/>
              <w:rPr>
                <w:rFonts w:hint="eastAsia" w:ascii="宋体" w:hAnsi="宋体" w:cs="宋体"/>
                <w:sz w:val="24"/>
              </w:rPr>
            </w:pPr>
          </w:p>
        </w:tc>
        <w:tc>
          <w:tcPr>
            <w:tcW w:w="691" w:type="dxa"/>
            <w:noWrap w:val="0"/>
            <w:vAlign w:val="center"/>
          </w:tcPr>
          <w:p w14:paraId="580D1D83">
            <w:pPr>
              <w:spacing w:line="360" w:lineRule="auto"/>
              <w:jc w:val="center"/>
              <w:rPr>
                <w:rFonts w:hint="eastAsia" w:ascii="宋体" w:hAnsi="宋体" w:cs="宋体"/>
                <w:sz w:val="24"/>
              </w:rPr>
            </w:pPr>
          </w:p>
        </w:tc>
        <w:tc>
          <w:tcPr>
            <w:tcW w:w="691" w:type="dxa"/>
            <w:noWrap w:val="0"/>
            <w:vAlign w:val="center"/>
          </w:tcPr>
          <w:p w14:paraId="501FA7ED">
            <w:pPr>
              <w:spacing w:line="360" w:lineRule="auto"/>
              <w:jc w:val="center"/>
              <w:rPr>
                <w:rFonts w:hint="eastAsia" w:ascii="宋体" w:hAnsi="宋体" w:cs="宋体"/>
                <w:sz w:val="24"/>
              </w:rPr>
            </w:pPr>
          </w:p>
        </w:tc>
        <w:tc>
          <w:tcPr>
            <w:tcW w:w="691" w:type="dxa"/>
            <w:noWrap w:val="0"/>
            <w:vAlign w:val="center"/>
          </w:tcPr>
          <w:p w14:paraId="27CB1867">
            <w:pPr>
              <w:spacing w:line="360" w:lineRule="auto"/>
              <w:jc w:val="center"/>
              <w:rPr>
                <w:rFonts w:hint="eastAsia" w:ascii="宋体" w:hAnsi="宋体" w:cs="宋体"/>
                <w:sz w:val="24"/>
              </w:rPr>
            </w:pPr>
          </w:p>
        </w:tc>
        <w:tc>
          <w:tcPr>
            <w:tcW w:w="691" w:type="dxa"/>
            <w:noWrap w:val="0"/>
            <w:vAlign w:val="center"/>
          </w:tcPr>
          <w:p w14:paraId="4247605C">
            <w:pPr>
              <w:spacing w:line="360" w:lineRule="auto"/>
              <w:jc w:val="center"/>
              <w:rPr>
                <w:rFonts w:hint="eastAsia" w:ascii="宋体" w:hAnsi="宋体" w:cs="宋体"/>
                <w:sz w:val="24"/>
              </w:rPr>
            </w:pPr>
          </w:p>
        </w:tc>
        <w:tc>
          <w:tcPr>
            <w:tcW w:w="691" w:type="dxa"/>
            <w:noWrap w:val="0"/>
            <w:vAlign w:val="center"/>
          </w:tcPr>
          <w:p w14:paraId="31B8FFF2">
            <w:pPr>
              <w:spacing w:line="360" w:lineRule="auto"/>
              <w:jc w:val="center"/>
              <w:rPr>
                <w:rFonts w:hint="eastAsia" w:ascii="宋体" w:hAnsi="宋体" w:cs="宋体"/>
                <w:sz w:val="24"/>
              </w:rPr>
            </w:pPr>
          </w:p>
        </w:tc>
        <w:tc>
          <w:tcPr>
            <w:tcW w:w="691" w:type="dxa"/>
            <w:noWrap w:val="0"/>
            <w:vAlign w:val="center"/>
          </w:tcPr>
          <w:p w14:paraId="1C35E4E6">
            <w:pPr>
              <w:spacing w:line="360" w:lineRule="auto"/>
              <w:jc w:val="center"/>
              <w:rPr>
                <w:rFonts w:hint="eastAsia" w:ascii="宋体" w:hAnsi="宋体" w:cs="宋体"/>
                <w:sz w:val="24"/>
              </w:rPr>
            </w:pPr>
          </w:p>
        </w:tc>
        <w:tc>
          <w:tcPr>
            <w:tcW w:w="691" w:type="dxa"/>
            <w:noWrap w:val="0"/>
            <w:vAlign w:val="center"/>
          </w:tcPr>
          <w:p w14:paraId="311F5B91">
            <w:pPr>
              <w:spacing w:line="360" w:lineRule="auto"/>
              <w:jc w:val="center"/>
              <w:rPr>
                <w:rFonts w:hint="eastAsia" w:ascii="宋体" w:hAnsi="宋体" w:cs="宋体"/>
                <w:sz w:val="24"/>
              </w:rPr>
            </w:pPr>
          </w:p>
        </w:tc>
        <w:tc>
          <w:tcPr>
            <w:tcW w:w="688" w:type="dxa"/>
            <w:noWrap w:val="0"/>
            <w:vAlign w:val="center"/>
          </w:tcPr>
          <w:p w14:paraId="0E99ED12">
            <w:pPr>
              <w:spacing w:line="360" w:lineRule="auto"/>
              <w:jc w:val="center"/>
              <w:rPr>
                <w:rFonts w:hint="eastAsia" w:ascii="宋体" w:hAnsi="宋体" w:cs="宋体"/>
                <w:sz w:val="24"/>
              </w:rPr>
            </w:pPr>
          </w:p>
        </w:tc>
      </w:tr>
      <w:tr w14:paraId="785669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4" w:type="dxa"/>
            <w:noWrap w:val="0"/>
            <w:vAlign w:val="center"/>
          </w:tcPr>
          <w:p w14:paraId="257B6AED">
            <w:pPr>
              <w:spacing w:line="360" w:lineRule="auto"/>
              <w:jc w:val="center"/>
              <w:rPr>
                <w:rFonts w:hint="eastAsia" w:ascii="宋体" w:hAnsi="宋体" w:cs="宋体"/>
                <w:sz w:val="24"/>
              </w:rPr>
            </w:pPr>
            <w:r>
              <w:rPr>
                <w:rFonts w:hint="eastAsia" w:ascii="宋体" w:hAnsi="宋体" w:cs="宋体"/>
                <w:sz w:val="24"/>
                <w:highlight w:val="white"/>
              </w:rPr>
              <w:t>1</w:t>
            </w:r>
          </w:p>
        </w:tc>
        <w:tc>
          <w:tcPr>
            <w:tcW w:w="2279" w:type="dxa"/>
            <w:noWrap w:val="0"/>
            <w:vAlign w:val="center"/>
          </w:tcPr>
          <w:p w14:paraId="4B3C7A91">
            <w:pPr>
              <w:spacing w:line="360" w:lineRule="auto"/>
              <w:jc w:val="center"/>
              <w:rPr>
                <w:rFonts w:hint="eastAsia" w:ascii="宋体" w:hAnsi="宋体" w:cs="宋体"/>
                <w:sz w:val="24"/>
              </w:rPr>
            </w:pPr>
            <w:r>
              <w:rPr>
                <w:rFonts w:hint="eastAsia" w:ascii="宋体" w:hAnsi="宋体" w:cs="宋体"/>
                <w:sz w:val="24"/>
                <w:highlight w:val="white"/>
              </w:rPr>
              <w:t>……</w:t>
            </w:r>
          </w:p>
        </w:tc>
        <w:tc>
          <w:tcPr>
            <w:tcW w:w="867" w:type="dxa"/>
            <w:noWrap w:val="0"/>
            <w:vAlign w:val="center"/>
          </w:tcPr>
          <w:p w14:paraId="44412857">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09120225">
            <w:pPr>
              <w:spacing w:line="360" w:lineRule="auto"/>
              <w:jc w:val="center"/>
              <w:rPr>
                <w:rFonts w:hint="eastAsia" w:ascii="宋体" w:hAnsi="宋体" w:cs="宋体"/>
                <w:sz w:val="24"/>
              </w:rPr>
            </w:pPr>
          </w:p>
        </w:tc>
        <w:tc>
          <w:tcPr>
            <w:tcW w:w="691" w:type="dxa"/>
            <w:noWrap w:val="0"/>
            <w:vAlign w:val="center"/>
          </w:tcPr>
          <w:p w14:paraId="2D9BCFF4">
            <w:pPr>
              <w:spacing w:line="360" w:lineRule="auto"/>
              <w:jc w:val="center"/>
              <w:rPr>
                <w:rFonts w:hint="eastAsia" w:ascii="宋体" w:hAnsi="宋体" w:cs="宋体"/>
                <w:sz w:val="24"/>
              </w:rPr>
            </w:pPr>
          </w:p>
        </w:tc>
        <w:tc>
          <w:tcPr>
            <w:tcW w:w="691" w:type="dxa"/>
            <w:noWrap w:val="0"/>
            <w:vAlign w:val="center"/>
          </w:tcPr>
          <w:p w14:paraId="28B342B8">
            <w:pPr>
              <w:spacing w:line="360" w:lineRule="auto"/>
              <w:jc w:val="center"/>
              <w:rPr>
                <w:rFonts w:hint="eastAsia" w:ascii="宋体" w:hAnsi="宋体" w:cs="宋体"/>
                <w:sz w:val="24"/>
              </w:rPr>
            </w:pPr>
          </w:p>
        </w:tc>
        <w:tc>
          <w:tcPr>
            <w:tcW w:w="691" w:type="dxa"/>
            <w:noWrap w:val="0"/>
            <w:vAlign w:val="center"/>
          </w:tcPr>
          <w:p w14:paraId="666CBCBD">
            <w:pPr>
              <w:spacing w:line="360" w:lineRule="auto"/>
              <w:jc w:val="center"/>
              <w:rPr>
                <w:rFonts w:hint="eastAsia" w:ascii="宋体" w:hAnsi="宋体" w:cs="宋体"/>
                <w:sz w:val="24"/>
              </w:rPr>
            </w:pPr>
          </w:p>
        </w:tc>
        <w:tc>
          <w:tcPr>
            <w:tcW w:w="691" w:type="dxa"/>
            <w:noWrap w:val="0"/>
            <w:vAlign w:val="center"/>
          </w:tcPr>
          <w:p w14:paraId="6A3D35D7">
            <w:pPr>
              <w:spacing w:line="360" w:lineRule="auto"/>
              <w:jc w:val="center"/>
              <w:rPr>
                <w:rFonts w:hint="eastAsia" w:ascii="宋体" w:hAnsi="宋体" w:cs="宋体"/>
                <w:sz w:val="24"/>
              </w:rPr>
            </w:pPr>
          </w:p>
        </w:tc>
        <w:tc>
          <w:tcPr>
            <w:tcW w:w="691" w:type="dxa"/>
            <w:noWrap w:val="0"/>
            <w:vAlign w:val="center"/>
          </w:tcPr>
          <w:p w14:paraId="6EFDACCD">
            <w:pPr>
              <w:spacing w:line="360" w:lineRule="auto"/>
              <w:jc w:val="center"/>
              <w:rPr>
                <w:rFonts w:hint="eastAsia" w:ascii="宋体" w:hAnsi="宋体" w:cs="宋体"/>
                <w:sz w:val="24"/>
              </w:rPr>
            </w:pPr>
          </w:p>
        </w:tc>
        <w:tc>
          <w:tcPr>
            <w:tcW w:w="691" w:type="dxa"/>
            <w:noWrap w:val="0"/>
            <w:vAlign w:val="center"/>
          </w:tcPr>
          <w:p w14:paraId="7EF03C47">
            <w:pPr>
              <w:spacing w:line="360" w:lineRule="auto"/>
              <w:jc w:val="center"/>
              <w:rPr>
                <w:rFonts w:hint="eastAsia" w:ascii="宋体" w:hAnsi="宋体" w:cs="宋体"/>
                <w:sz w:val="24"/>
              </w:rPr>
            </w:pPr>
          </w:p>
        </w:tc>
        <w:tc>
          <w:tcPr>
            <w:tcW w:w="688" w:type="dxa"/>
            <w:noWrap w:val="0"/>
            <w:vAlign w:val="center"/>
          </w:tcPr>
          <w:p w14:paraId="5D5DBF7B">
            <w:pPr>
              <w:spacing w:line="360" w:lineRule="auto"/>
              <w:jc w:val="center"/>
              <w:rPr>
                <w:rFonts w:hint="eastAsia" w:ascii="宋体" w:hAnsi="宋体" w:cs="宋体"/>
                <w:sz w:val="24"/>
              </w:rPr>
            </w:pPr>
          </w:p>
        </w:tc>
      </w:tr>
      <w:tr w14:paraId="5066FB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4" w:type="dxa"/>
            <w:noWrap w:val="0"/>
            <w:vAlign w:val="center"/>
          </w:tcPr>
          <w:p w14:paraId="57E2D93E">
            <w:pPr>
              <w:spacing w:line="360" w:lineRule="auto"/>
              <w:jc w:val="center"/>
              <w:rPr>
                <w:rFonts w:ascii="宋体" w:hAnsi="宋体" w:cs="宋体"/>
                <w:sz w:val="24"/>
              </w:rPr>
            </w:pPr>
            <w:r>
              <w:rPr>
                <w:rFonts w:hint="eastAsia" w:ascii="宋体" w:hAnsi="宋体" w:cs="宋体"/>
                <w:sz w:val="24"/>
                <w:highlight w:val="white"/>
              </w:rPr>
              <w:t>2</w:t>
            </w:r>
          </w:p>
        </w:tc>
        <w:tc>
          <w:tcPr>
            <w:tcW w:w="2279" w:type="dxa"/>
            <w:noWrap w:val="0"/>
            <w:vAlign w:val="center"/>
          </w:tcPr>
          <w:p w14:paraId="01A2EEF9">
            <w:pPr>
              <w:spacing w:line="360" w:lineRule="auto"/>
              <w:jc w:val="center"/>
              <w:rPr>
                <w:rFonts w:hint="eastAsia" w:ascii="宋体" w:hAnsi="宋体" w:cs="宋体"/>
                <w:sz w:val="24"/>
              </w:rPr>
            </w:pPr>
            <w:r>
              <w:rPr>
                <w:rFonts w:hint="eastAsia" w:ascii="宋体" w:hAnsi="宋体" w:cs="宋体"/>
                <w:sz w:val="24"/>
                <w:highlight w:val="white"/>
              </w:rPr>
              <w:t>……</w:t>
            </w:r>
          </w:p>
        </w:tc>
        <w:tc>
          <w:tcPr>
            <w:tcW w:w="867" w:type="dxa"/>
            <w:noWrap w:val="0"/>
            <w:vAlign w:val="center"/>
          </w:tcPr>
          <w:p w14:paraId="1CC0FF31">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209C0AB2">
            <w:pPr>
              <w:spacing w:line="360" w:lineRule="auto"/>
              <w:jc w:val="center"/>
              <w:rPr>
                <w:rFonts w:hint="eastAsia" w:ascii="宋体" w:hAnsi="宋体" w:cs="宋体"/>
                <w:sz w:val="24"/>
              </w:rPr>
            </w:pPr>
          </w:p>
        </w:tc>
        <w:tc>
          <w:tcPr>
            <w:tcW w:w="691" w:type="dxa"/>
            <w:noWrap w:val="0"/>
            <w:vAlign w:val="center"/>
          </w:tcPr>
          <w:p w14:paraId="540D0A70">
            <w:pPr>
              <w:spacing w:line="360" w:lineRule="auto"/>
              <w:jc w:val="center"/>
              <w:rPr>
                <w:rFonts w:hint="eastAsia" w:ascii="宋体" w:hAnsi="宋体" w:cs="宋体"/>
                <w:sz w:val="24"/>
              </w:rPr>
            </w:pPr>
          </w:p>
        </w:tc>
        <w:tc>
          <w:tcPr>
            <w:tcW w:w="691" w:type="dxa"/>
            <w:noWrap w:val="0"/>
            <w:vAlign w:val="center"/>
          </w:tcPr>
          <w:p w14:paraId="7BFBE1CB">
            <w:pPr>
              <w:spacing w:line="360" w:lineRule="auto"/>
              <w:jc w:val="center"/>
              <w:rPr>
                <w:rFonts w:hint="eastAsia" w:ascii="宋体" w:hAnsi="宋体" w:cs="宋体"/>
                <w:sz w:val="24"/>
              </w:rPr>
            </w:pPr>
          </w:p>
        </w:tc>
        <w:tc>
          <w:tcPr>
            <w:tcW w:w="691" w:type="dxa"/>
            <w:noWrap w:val="0"/>
            <w:vAlign w:val="center"/>
          </w:tcPr>
          <w:p w14:paraId="4353F920">
            <w:pPr>
              <w:spacing w:line="360" w:lineRule="auto"/>
              <w:jc w:val="center"/>
              <w:rPr>
                <w:rFonts w:hint="eastAsia" w:ascii="宋体" w:hAnsi="宋体" w:cs="宋体"/>
                <w:sz w:val="24"/>
              </w:rPr>
            </w:pPr>
          </w:p>
        </w:tc>
        <w:tc>
          <w:tcPr>
            <w:tcW w:w="691" w:type="dxa"/>
            <w:noWrap w:val="0"/>
            <w:vAlign w:val="center"/>
          </w:tcPr>
          <w:p w14:paraId="26AB1420">
            <w:pPr>
              <w:spacing w:line="360" w:lineRule="auto"/>
              <w:jc w:val="center"/>
              <w:rPr>
                <w:rFonts w:hint="eastAsia" w:ascii="宋体" w:hAnsi="宋体" w:cs="宋体"/>
                <w:sz w:val="24"/>
              </w:rPr>
            </w:pPr>
          </w:p>
        </w:tc>
        <w:tc>
          <w:tcPr>
            <w:tcW w:w="691" w:type="dxa"/>
            <w:noWrap w:val="0"/>
            <w:vAlign w:val="center"/>
          </w:tcPr>
          <w:p w14:paraId="13D0F2FD">
            <w:pPr>
              <w:spacing w:line="360" w:lineRule="auto"/>
              <w:jc w:val="center"/>
              <w:rPr>
                <w:rFonts w:hint="eastAsia" w:ascii="宋体" w:hAnsi="宋体" w:cs="宋体"/>
                <w:sz w:val="24"/>
              </w:rPr>
            </w:pPr>
          </w:p>
        </w:tc>
        <w:tc>
          <w:tcPr>
            <w:tcW w:w="691" w:type="dxa"/>
            <w:noWrap w:val="0"/>
            <w:vAlign w:val="center"/>
          </w:tcPr>
          <w:p w14:paraId="44FB2B9E">
            <w:pPr>
              <w:spacing w:line="360" w:lineRule="auto"/>
              <w:jc w:val="center"/>
              <w:rPr>
                <w:rFonts w:hint="eastAsia" w:ascii="宋体" w:hAnsi="宋体" w:cs="宋体"/>
                <w:sz w:val="24"/>
              </w:rPr>
            </w:pPr>
          </w:p>
        </w:tc>
        <w:tc>
          <w:tcPr>
            <w:tcW w:w="688" w:type="dxa"/>
            <w:noWrap w:val="0"/>
            <w:vAlign w:val="center"/>
          </w:tcPr>
          <w:p w14:paraId="22A9130A">
            <w:pPr>
              <w:spacing w:line="360" w:lineRule="auto"/>
              <w:jc w:val="center"/>
              <w:rPr>
                <w:rFonts w:hint="eastAsia" w:ascii="宋体" w:hAnsi="宋体" w:cs="宋体"/>
                <w:sz w:val="24"/>
              </w:rPr>
            </w:pPr>
          </w:p>
        </w:tc>
      </w:tr>
      <w:tr w14:paraId="7C60E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4" w:type="dxa"/>
            <w:noWrap w:val="0"/>
            <w:vAlign w:val="center"/>
          </w:tcPr>
          <w:p w14:paraId="70965684">
            <w:pPr>
              <w:spacing w:line="360" w:lineRule="auto"/>
              <w:jc w:val="center"/>
              <w:rPr>
                <w:rFonts w:ascii="宋体" w:hAnsi="宋体" w:cs="宋体"/>
                <w:sz w:val="24"/>
              </w:rPr>
            </w:pPr>
            <w:r>
              <w:rPr>
                <w:rFonts w:hint="eastAsia" w:ascii="宋体" w:hAnsi="宋体" w:cs="宋体"/>
                <w:sz w:val="24"/>
                <w:highlight w:val="white"/>
              </w:rPr>
              <w:t>3</w:t>
            </w:r>
          </w:p>
        </w:tc>
        <w:tc>
          <w:tcPr>
            <w:tcW w:w="2279" w:type="dxa"/>
            <w:noWrap w:val="0"/>
            <w:vAlign w:val="center"/>
          </w:tcPr>
          <w:p w14:paraId="62FA63FA">
            <w:pPr>
              <w:spacing w:line="360" w:lineRule="auto"/>
              <w:jc w:val="center"/>
              <w:rPr>
                <w:rFonts w:hint="eastAsia" w:ascii="宋体" w:hAnsi="宋体" w:cs="宋体"/>
                <w:sz w:val="24"/>
              </w:rPr>
            </w:pPr>
            <w:r>
              <w:rPr>
                <w:rFonts w:hint="eastAsia" w:ascii="宋体" w:hAnsi="宋体" w:cs="宋体"/>
                <w:sz w:val="24"/>
                <w:highlight w:val="white"/>
              </w:rPr>
              <w:t>……</w:t>
            </w:r>
          </w:p>
        </w:tc>
        <w:tc>
          <w:tcPr>
            <w:tcW w:w="867" w:type="dxa"/>
            <w:noWrap w:val="0"/>
            <w:vAlign w:val="center"/>
          </w:tcPr>
          <w:p w14:paraId="26A2E18A">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558676E2">
            <w:pPr>
              <w:spacing w:line="360" w:lineRule="auto"/>
              <w:jc w:val="center"/>
              <w:rPr>
                <w:rFonts w:hint="eastAsia" w:ascii="宋体" w:hAnsi="宋体" w:cs="宋体"/>
                <w:sz w:val="24"/>
              </w:rPr>
            </w:pPr>
          </w:p>
        </w:tc>
        <w:tc>
          <w:tcPr>
            <w:tcW w:w="691" w:type="dxa"/>
            <w:noWrap w:val="0"/>
            <w:vAlign w:val="center"/>
          </w:tcPr>
          <w:p w14:paraId="22866A9A">
            <w:pPr>
              <w:spacing w:line="360" w:lineRule="auto"/>
              <w:jc w:val="center"/>
              <w:rPr>
                <w:rFonts w:hint="eastAsia" w:ascii="宋体" w:hAnsi="宋体" w:cs="宋体"/>
                <w:sz w:val="24"/>
              </w:rPr>
            </w:pPr>
          </w:p>
        </w:tc>
        <w:tc>
          <w:tcPr>
            <w:tcW w:w="691" w:type="dxa"/>
            <w:noWrap w:val="0"/>
            <w:vAlign w:val="center"/>
          </w:tcPr>
          <w:p w14:paraId="33B33443">
            <w:pPr>
              <w:spacing w:line="360" w:lineRule="auto"/>
              <w:jc w:val="center"/>
              <w:rPr>
                <w:rFonts w:hint="eastAsia" w:ascii="宋体" w:hAnsi="宋体" w:cs="宋体"/>
                <w:sz w:val="24"/>
              </w:rPr>
            </w:pPr>
          </w:p>
        </w:tc>
        <w:tc>
          <w:tcPr>
            <w:tcW w:w="691" w:type="dxa"/>
            <w:noWrap w:val="0"/>
            <w:vAlign w:val="center"/>
          </w:tcPr>
          <w:p w14:paraId="7B403C2B">
            <w:pPr>
              <w:spacing w:line="360" w:lineRule="auto"/>
              <w:jc w:val="center"/>
              <w:rPr>
                <w:rFonts w:hint="eastAsia" w:ascii="宋体" w:hAnsi="宋体" w:cs="宋体"/>
                <w:sz w:val="24"/>
              </w:rPr>
            </w:pPr>
          </w:p>
        </w:tc>
        <w:tc>
          <w:tcPr>
            <w:tcW w:w="691" w:type="dxa"/>
            <w:noWrap w:val="0"/>
            <w:vAlign w:val="center"/>
          </w:tcPr>
          <w:p w14:paraId="7207260E">
            <w:pPr>
              <w:spacing w:line="360" w:lineRule="auto"/>
              <w:jc w:val="center"/>
              <w:rPr>
                <w:rFonts w:hint="eastAsia" w:ascii="宋体" w:hAnsi="宋体" w:cs="宋体"/>
                <w:sz w:val="24"/>
              </w:rPr>
            </w:pPr>
          </w:p>
        </w:tc>
        <w:tc>
          <w:tcPr>
            <w:tcW w:w="691" w:type="dxa"/>
            <w:noWrap w:val="0"/>
            <w:vAlign w:val="center"/>
          </w:tcPr>
          <w:p w14:paraId="1E29C0B8">
            <w:pPr>
              <w:spacing w:line="360" w:lineRule="auto"/>
              <w:jc w:val="center"/>
              <w:rPr>
                <w:rFonts w:hint="eastAsia" w:ascii="宋体" w:hAnsi="宋体" w:cs="宋体"/>
                <w:sz w:val="24"/>
              </w:rPr>
            </w:pPr>
          </w:p>
        </w:tc>
        <w:tc>
          <w:tcPr>
            <w:tcW w:w="691" w:type="dxa"/>
            <w:noWrap w:val="0"/>
            <w:vAlign w:val="center"/>
          </w:tcPr>
          <w:p w14:paraId="4A69D281">
            <w:pPr>
              <w:spacing w:line="360" w:lineRule="auto"/>
              <w:jc w:val="center"/>
              <w:rPr>
                <w:rFonts w:hint="eastAsia" w:ascii="宋体" w:hAnsi="宋体" w:cs="宋体"/>
                <w:sz w:val="24"/>
              </w:rPr>
            </w:pPr>
          </w:p>
        </w:tc>
        <w:tc>
          <w:tcPr>
            <w:tcW w:w="688" w:type="dxa"/>
            <w:noWrap w:val="0"/>
            <w:vAlign w:val="center"/>
          </w:tcPr>
          <w:p w14:paraId="1CC97002">
            <w:pPr>
              <w:spacing w:line="360" w:lineRule="auto"/>
              <w:jc w:val="center"/>
              <w:rPr>
                <w:rFonts w:hint="eastAsia" w:ascii="宋体" w:hAnsi="宋体" w:cs="宋体"/>
                <w:sz w:val="24"/>
              </w:rPr>
            </w:pPr>
          </w:p>
        </w:tc>
      </w:tr>
      <w:tr w14:paraId="0EF1D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14" w:type="dxa"/>
            <w:noWrap w:val="0"/>
            <w:vAlign w:val="center"/>
          </w:tcPr>
          <w:p w14:paraId="60DAF307">
            <w:pPr>
              <w:spacing w:line="360" w:lineRule="auto"/>
              <w:jc w:val="center"/>
              <w:rPr>
                <w:rFonts w:ascii="宋体" w:hAnsi="宋体" w:cs="宋体"/>
                <w:sz w:val="24"/>
              </w:rPr>
            </w:pPr>
            <w:r>
              <w:rPr>
                <w:rFonts w:hint="eastAsia" w:ascii="宋体" w:hAnsi="宋体" w:cs="宋体"/>
                <w:sz w:val="24"/>
                <w:highlight w:val="white"/>
              </w:rPr>
              <w:t>……</w:t>
            </w:r>
          </w:p>
        </w:tc>
        <w:tc>
          <w:tcPr>
            <w:tcW w:w="2279" w:type="dxa"/>
            <w:noWrap w:val="0"/>
            <w:vAlign w:val="center"/>
          </w:tcPr>
          <w:p w14:paraId="0C0C386A">
            <w:pPr>
              <w:spacing w:line="360" w:lineRule="auto"/>
              <w:jc w:val="center"/>
              <w:rPr>
                <w:rFonts w:hint="eastAsia" w:ascii="宋体" w:hAnsi="宋体" w:cs="宋体"/>
                <w:sz w:val="24"/>
              </w:rPr>
            </w:pPr>
            <w:r>
              <w:rPr>
                <w:rFonts w:hint="eastAsia" w:ascii="宋体" w:hAnsi="宋体" w:cs="宋体"/>
                <w:sz w:val="24"/>
                <w:highlight w:val="white"/>
              </w:rPr>
              <w:t>……</w:t>
            </w:r>
          </w:p>
        </w:tc>
        <w:tc>
          <w:tcPr>
            <w:tcW w:w="867" w:type="dxa"/>
            <w:noWrap w:val="0"/>
            <w:vAlign w:val="center"/>
          </w:tcPr>
          <w:p w14:paraId="62BD365A">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4C599135">
            <w:pPr>
              <w:spacing w:line="360" w:lineRule="auto"/>
              <w:jc w:val="center"/>
              <w:rPr>
                <w:rFonts w:hint="eastAsia" w:ascii="宋体" w:hAnsi="宋体" w:cs="宋体"/>
                <w:sz w:val="24"/>
              </w:rPr>
            </w:pPr>
          </w:p>
        </w:tc>
        <w:tc>
          <w:tcPr>
            <w:tcW w:w="691" w:type="dxa"/>
            <w:noWrap w:val="0"/>
            <w:vAlign w:val="center"/>
          </w:tcPr>
          <w:p w14:paraId="22228FA1">
            <w:pPr>
              <w:spacing w:line="360" w:lineRule="auto"/>
              <w:jc w:val="center"/>
              <w:rPr>
                <w:rFonts w:hint="eastAsia" w:ascii="宋体" w:hAnsi="宋体" w:cs="宋体"/>
                <w:sz w:val="24"/>
              </w:rPr>
            </w:pPr>
          </w:p>
        </w:tc>
        <w:tc>
          <w:tcPr>
            <w:tcW w:w="691" w:type="dxa"/>
            <w:noWrap w:val="0"/>
            <w:vAlign w:val="center"/>
          </w:tcPr>
          <w:p w14:paraId="66BB47A7">
            <w:pPr>
              <w:spacing w:line="360" w:lineRule="auto"/>
              <w:jc w:val="center"/>
              <w:rPr>
                <w:rFonts w:hint="eastAsia" w:ascii="宋体" w:hAnsi="宋体" w:cs="宋体"/>
                <w:sz w:val="24"/>
              </w:rPr>
            </w:pPr>
          </w:p>
        </w:tc>
        <w:tc>
          <w:tcPr>
            <w:tcW w:w="691" w:type="dxa"/>
            <w:noWrap w:val="0"/>
            <w:vAlign w:val="center"/>
          </w:tcPr>
          <w:p w14:paraId="4AFE68A9">
            <w:pPr>
              <w:spacing w:line="360" w:lineRule="auto"/>
              <w:jc w:val="center"/>
              <w:rPr>
                <w:rFonts w:hint="eastAsia" w:ascii="宋体" w:hAnsi="宋体" w:cs="宋体"/>
                <w:sz w:val="24"/>
              </w:rPr>
            </w:pPr>
          </w:p>
        </w:tc>
        <w:tc>
          <w:tcPr>
            <w:tcW w:w="691" w:type="dxa"/>
            <w:noWrap w:val="0"/>
            <w:vAlign w:val="center"/>
          </w:tcPr>
          <w:p w14:paraId="565CD44C">
            <w:pPr>
              <w:spacing w:line="360" w:lineRule="auto"/>
              <w:jc w:val="center"/>
              <w:rPr>
                <w:rFonts w:hint="eastAsia" w:ascii="宋体" w:hAnsi="宋体" w:cs="宋体"/>
                <w:sz w:val="24"/>
              </w:rPr>
            </w:pPr>
          </w:p>
        </w:tc>
        <w:tc>
          <w:tcPr>
            <w:tcW w:w="691" w:type="dxa"/>
            <w:noWrap w:val="0"/>
            <w:vAlign w:val="center"/>
          </w:tcPr>
          <w:p w14:paraId="1010436E">
            <w:pPr>
              <w:spacing w:line="360" w:lineRule="auto"/>
              <w:jc w:val="center"/>
              <w:rPr>
                <w:rFonts w:hint="eastAsia" w:ascii="宋体" w:hAnsi="宋体" w:cs="宋体"/>
                <w:sz w:val="24"/>
              </w:rPr>
            </w:pPr>
          </w:p>
        </w:tc>
        <w:tc>
          <w:tcPr>
            <w:tcW w:w="691" w:type="dxa"/>
            <w:noWrap w:val="0"/>
            <w:vAlign w:val="center"/>
          </w:tcPr>
          <w:p w14:paraId="4FB6BE46">
            <w:pPr>
              <w:spacing w:line="360" w:lineRule="auto"/>
              <w:jc w:val="center"/>
              <w:rPr>
                <w:rFonts w:hint="eastAsia" w:ascii="宋体" w:hAnsi="宋体" w:cs="宋体"/>
                <w:sz w:val="24"/>
              </w:rPr>
            </w:pPr>
          </w:p>
        </w:tc>
        <w:tc>
          <w:tcPr>
            <w:tcW w:w="688" w:type="dxa"/>
            <w:noWrap w:val="0"/>
            <w:vAlign w:val="center"/>
          </w:tcPr>
          <w:p w14:paraId="3D4ACD4C">
            <w:pPr>
              <w:spacing w:line="360" w:lineRule="auto"/>
              <w:jc w:val="center"/>
              <w:rPr>
                <w:rFonts w:hint="eastAsia" w:ascii="宋体" w:hAnsi="宋体" w:cs="宋体"/>
                <w:sz w:val="24"/>
              </w:rPr>
            </w:pPr>
          </w:p>
        </w:tc>
      </w:tr>
      <w:tr w14:paraId="0C7FA0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893" w:type="dxa"/>
            <w:gridSpan w:val="2"/>
            <w:noWrap w:val="0"/>
            <w:vAlign w:val="center"/>
          </w:tcPr>
          <w:p w14:paraId="2B7A9EB4">
            <w:pPr>
              <w:spacing w:line="360" w:lineRule="auto"/>
              <w:jc w:val="center"/>
              <w:rPr>
                <w:rFonts w:hint="eastAsia" w:ascii="宋体" w:hAnsi="宋体" w:cs="宋体"/>
                <w:sz w:val="24"/>
              </w:rPr>
            </w:pPr>
            <w:r>
              <w:rPr>
                <w:rFonts w:hint="eastAsia" w:ascii="宋体" w:hAnsi="宋体"/>
                <w:bCs/>
                <w:sz w:val="24"/>
                <w:highlight w:val="white"/>
              </w:rPr>
              <w:t>承包人建议书</w:t>
            </w:r>
            <w:r>
              <w:rPr>
                <w:rFonts w:hint="eastAsia" w:ascii="宋体" w:hAnsi="宋体" w:cs="宋体"/>
                <w:bCs/>
                <w:sz w:val="24"/>
                <w:highlight w:val="white"/>
              </w:rPr>
              <w:t>得分</w:t>
            </w:r>
            <w:r>
              <w:rPr>
                <w:rFonts w:hint="eastAsia" w:ascii="宋体" w:hAnsi="宋体" w:cs="宋体"/>
                <w:sz w:val="24"/>
                <w:highlight w:val="white"/>
              </w:rPr>
              <w:t>合计A</w:t>
            </w:r>
          </w:p>
        </w:tc>
        <w:tc>
          <w:tcPr>
            <w:tcW w:w="867" w:type="dxa"/>
            <w:noWrap w:val="0"/>
            <w:vAlign w:val="center"/>
          </w:tcPr>
          <w:p w14:paraId="003A10BC">
            <w:pPr>
              <w:spacing w:line="360" w:lineRule="auto"/>
              <w:jc w:val="center"/>
              <w:rPr>
                <w:rFonts w:hint="eastAsia" w:ascii="宋体" w:hAnsi="宋体" w:cs="宋体"/>
                <w:sz w:val="24"/>
              </w:rPr>
            </w:pPr>
          </w:p>
        </w:tc>
        <w:tc>
          <w:tcPr>
            <w:tcW w:w="691" w:type="dxa"/>
            <w:noWrap w:val="0"/>
            <w:vAlign w:val="center"/>
          </w:tcPr>
          <w:p w14:paraId="7B7B5162">
            <w:pPr>
              <w:spacing w:line="360" w:lineRule="auto"/>
              <w:jc w:val="center"/>
              <w:rPr>
                <w:rFonts w:hint="eastAsia" w:ascii="宋体" w:hAnsi="宋体" w:cs="宋体"/>
                <w:sz w:val="24"/>
              </w:rPr>
            </w:pPr>
          </w:p>
        </w:tc>
        <w:tc>
          <w:tcPr>
            <w:tcW w:w="691" w:type="dxa"/>
            <w:noWrap w:val="0"/>
            <w:vAlign w:val="center"/>
          </w:tcPr>
          <w:p w14:paraId="0D70ED0B">
            <w:pPr>
              <w:spacing w:line="360" w:lineRule="auto"/>
              <w:jc w:val="center"/>
              <w:rPr>
                <w:rFonts w:hint="eastAsia" w:ascii="宋体" w:hAnsi="宋体" w:cs="宋体"/>
                <w:sz w:val="24"/>
              </w:rPr>
            </w:pPr>
          </w:p>
        </w:tc>
        <w:tc>
          <w:tcPr>
            <w:tcW w:w="691" w:type="dxa"/>
            <w:noWrap w:val="0"/>
            <w:vAlign w:val="center"/>
          </w:tcPr>
          <w:p w14:paraId="15DA429F">
            <w:pPr>
              <w:spacing w:line="360" w:lineRule="auto"/>
              <w:jc w:val="center"/>
              <w:rPr>
                <w:rFonts w:hint="eastAsia" w:ascii="宋体" w:hAnsi="宋体" w:cs="宋体"/>
                <w:sz w:val="24"/>
              </w:rPr>
            </w:pPr>
          </w:p>
        </w:tc>
        <w:tc>
          <w:tcPr>
            <w:tcW w:w="691" w:type="dxa"/>
            <w:noWrap w:val="0"/>
            <w:vAlign w:val="center"/>
          </w:tcPr>
          <w:p w14:paraId="2F1FE2D7">
            <w:pPr>
              <w:spacing w:line="360" w:lineRule="auto"/>
              <w:jc w:val="center"/>
              <w:rPr>
                <w:rFonts w:hint="eastAsia" w:ascii="宋体" w:hAnsi="宋体" w:cs="宋体"/>
                <w:sz w:val="24"/>
              </w:rPr>
            </w:pPr>
          </w:p>
        </w:tc>
        <w:tc>
          <w:tcPr>
            <w:tcW w:w="691" w:type="dxa"/>
            <w:noWrap w:val="0"/>
            <w:vAlign w:val="center"/>
          </w:tcPr>
          <w:p w14:paraId="55F17FB9">
            <w:pPr>
              <w:spacing w:line="360" w:lineRule="auto"/>
              <w:jc w:val="center"/>
              <w:rPr>
                <w:rFonts w:hint="eastAsia" w:ascii="宋体" w:hAnsi="宋体" w:cs="宋体"/>
                <w:sz w:val="24"/>
              </w:rPr>
            </w:pPr>
          </w:p>
        </w:tc>
        <w:tc>
          <w:tcPr>
            <w:tcW w:w="691" w:type="dxa"/>
            <w:noWrap w:val="0"/>
            <w:vAlign w:val="center"/>
          </w:tcPr>
          <w:p w14:paraId="7DA5B6C3">
            <w:pPr>
              <w:spacing w:line="360" w:lineRule="auto"/>
              <w:jc w:val="center"/>
              <w:rPr>
                <w:rFonts w:hint="eastAsia" w:ascii="宋体" w:hAnsi="宋体" w:cs="宋体"/>
                <w:sz w:val="24"/>
              </w:rPr>
            </w:pPr>
          </w:p>
        </w:tc>
        <w:tc>
          <w:tcPr>
            <w:tcW w:w="691" w:type="dxa"/>
            <w:noWrap w:val="0"/>
            <w:vAlign w:val="center"/>
          </w:tcPr>
          <w:p w14:paraId="114DE4D9">
            <w:pPr>
              <w:spacing w:line="360" w:lineRule="auto"/>
              <w:jc w:val="center"/>
              <w:rPr>
                <w:rFonts w:hint="eastAsia" w:ascii="宋体" w:hAnsi="宋体" w:cs="宋体"/>
                <w:sz w:val="24"/>
              </w:rPr>
            </w:pPr>
          </w:p>
        </w:tc>
        <w:tc>
          <w:tcPr>
            <w:tcW w:w="688" w:type="dxa"/>
            <w:noWrap w:val="0"/>
            <w:vAlign w:val="center"/>
          </w:tcPr>
          <w:p w14:paraId="0655B605">
            <w:pPr>
              <w:spacing w:line="360" w:lineRule="auto"/>
              <w:jc w:val="center"/>
              <w:rPr>
                <w:rFonts w:hint="eastAsia" w:ascii="宋体" w:hAnsi="宋体" w:cs="宋体"/>
                <w:sz w:val="24"/>
              </w:rPr>
            </w:pPr>
          </w:p>
        </w:tc>
      </w:tr>
    </w:tbl>
    <w:p w14:paraId="0DF90C79">
      <w:pPr>
        <w:spacing w:line="360" w:lineRule="auto"/>
        <w:rPr>
          <w:rFonts w:hint="eastAsia" w:ascii="宋体" w:hAnsi="宋体" w:cs="宋体"/>
          <w:sz w:val="24"/>
        </w:rPr>
      </w:pPr>
    </w:p>
    <w:p w14:paraId="09CD87BE">
      <w:pPr>
        <w:spacing w:line="360" w:lineRule="auto"/>
        <w:rPr>
          <w:rFonts w:hint="eastAsia" w:ascii="宋体" w:hAnsi="宋体" w:cs="宋体"/>
          <w:sz w:val="24"/>
        </w:rPr>
      </w:pPr>
      <w:r>
        <w:rPr>
          <w:rFonts w:hint="eastAsia" w:ascii="宋体" w:hAnsi="宋体" w:cs="宋体"/>
          <w:sz w:val="24"/>
          <w:highlight w:val="white"/>
        </w:rPr>
        <w:t>评标委员会成员签名：</w:t>
      </w:r>
    </w:p>
    <w:p w14:paraId="69B61416">
      <w:pPr>
        <w:pStyle w:val="3"/>
        <w:rPr>
          <w:rFonts w:hint="eastAsia" w:ascii="宋体" w:hAnsi="宋体" w:eastAsia="宋体"/>
          <w:sz w:val="24"/>
          <w:szCs w:val="24"/>
        </w:rPr>
      </w:pPr>
      <w:r>
        <w:rPr>
          <w:rFonts w:ascii="宋体" w:hAnsi="宋体" w:eastAsia="宋体"/>
          <w:sz w:val="24"/>
          <w:szCs w:val="24"/>
          <w:highlight w:val="white"/>
        </w:rPr>
        <w:br w:type="page"/>
      </w:r>
      <w:bookmarkStart w:id="219" w:name="_Toc256000090"/>
      <w:r>
        <w:rPr>
          <w:rFonts w:hint="eastAsia" w:ascii="宋体" w:hAnsi="宋体" w:eastAsia="宋体"/>
          <w:sz w:val="24"/>
          <w:szCs w:val="24"/>
          <w:highlight w:val="white"/>
        </w:rPr>
        <w:t>附表7：资信业绩评审记录表</w:t>
      </w:r>
      <w:bookmarkEnd w:id="219"/>
    </w:p>
    <w:p w14:paraId="04CB4ABD">
      <w:pPr>
        <w:spacing w:line="360" w:lineRule="auto"/>
        <w:jc w:val="center"/>
        <w:rPr>
          <w:rFonts w:hint="eastAsia" w:ascii="宋体" w:hAnsi="宋体" w:cs="宋体"/>
          <w:b/>
          <w:sz w:val="24"/>
        </w:rPr>
      </w:pPr>
      <w:r>
        <w:rPr>
          <w:rFonts w:hint="eastAsia" w:ascii="宋体" w:hAnsi="宋体"/>
          <w:b/>
          <w:bCs/>
          <w:sz w:val="24"/>
          <w:highlight w:val="white"/>
        </w:rPr>
        <w:t>资信业绩</w:t>
      </w:r>
      <w:r>
        <w:rPr>
          <w:rFonts w:hint="eastAsia" w:ascii="宋体" w:hAnsi="宋体" w:cs="宋体"/>
          <w:b/>
          <w:sz w:val="24"/>
          <w:highlight w:val="white"/>
        </w:rPr>
        <w:t>评审记录表</w:t>
      </w:r>
    </w:p>
    <w:p w14:paraId="227D6AC5">
      <w:pPr>
        <w:spacing w:line="360" w:lineRule="auto"/>
        <w:jc w:val="center"/>
        <w:rPr>
          <w:rFonts w:hint="eastAsia" w:ascii="宋体" w:hAnsi="宋体" w:cs="宋体"/>
          <w:b/>
          <w:sz w:val="24"/>
        </w:rPr>
      </w:pPr>
    </w:p>
    <w:p w14:paraId="7816DA09">
      <w:pPr>
        <w:spacing w:line="360" w:lineRule="auto"/>
        <w:rPr>
          <w:rFonts w:hint="eastAsia"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4"/>
        <w:gridCol w:w="2668"/>
        <w:gridCol w:w="875"/>
        <w:gridCol w:w="691"/>
        <w:gridCol w:w="691"/>
        <w:gridCol w:w="691"/>
        <w:gridCol w:w="691"/>
        <w:gridCol w:w="691"/>
        <w:gridCol w:w="691"/>
        <w:gridCol w:w="691"/>
        <w:gridCol w:w="688"/>
      </w:tblGrid>
      <w:tr w14:paraId="054AC2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vMerge w:val="restart"/>
            <w:noWrap w:val="0"/>
            <w:vAlign w:val="center"/>
          </w:tcPr>
          <w:p w14:paraId="21278183">
            <w:pPr>
              <w:spacing w:line="360" w:lineRule="auto"/>
              <w:jc w:val="center"/>
              <w:rPr>
                <w:rFonts w:hint="eastAsia" w:ascii="宋体" w:hAnsi="宋体" w:cs="宋体"/>
                <w:sz w:val="24"/>
              </w:rPr>
            </w:pPr>
            <w:r>
              <w:rPr>
                <w:rFonts w:hint="eastAsia" w:ascii="宋体" w:hAnsi="宋体" w:cs="宋体"/>
                <w:sz w:val="24"/>
                <w:highlight w:val="white"/>
              </w:rPr>
              <w:t>序号</w:t>
            </w:r>
          </w:p>
        </w:tc>
        <w:tc>
          <w:tcPr>
            <w:tcW w:w="2668" w:type="dxa"/>
            <w:vMerge w:val="restart"/>
            <w:noWrap w:val="0"/>
            <w:vAlign w:val="center"/>
          </w:tcPr>
          <w:p w14:paraId="5FABEFC5">
            <w:pPr>
              <w:spacing w:line="360" w:lineRule="auto"/>
              <w:jc w:val="center"/>
              <w:rPr>
                <w:rFonts w:hint="eastAsia" w:ascii="宋体" w:hAnsi="宋体" w:cs="宋体"/>
                <w:sz w:val="24"/>
              </w:rPr>
            </w:pPr>
            <w:r>
              <w:rPr>
                <w:rFonts w:hint="eastAsia" w:ascii="宋体" w:hAnsi="宋体" w:cs="宋体"/>
                <w:sz w:val="24"/>
                <w:highlight w:val="white"/>
              </w:rPr>
              <w:t>评分因素</w:t>
            </w:r>
          </w:p>
        </w:tc>
        <w:tc>
          <w:tcPr>
            <w:tcW w:w="875" w:type="dxa"/>
            <w:vMerge w:val="restart"/>
            <w:noWrap w:val="0"/>
            <w:vAlign w:val="center"/>
          </w:tcPr>
          <w:p w14:paraId="0A441522">
            <w:pPr>
              <w:spacing w:line="360" w:lineRule="auto"/>
              <w:jc w:val="center"/>
              <w:rPr>
                <w:rFonts w:hint="eastAsia" w:ascii="宋体" w:hAnsi="宋体" w:cs="宋体"/>
                <w:sz w:val="24"/>
              </w:rPr>
            </w:pPr>
            <w:r>
              <w:rPr>
                <w:rFonts w:hint="eastAsia" w:ascii="宋体" w:hAnsi="宋体" w:cs="宋体"/>
                <w:sz w:val="24"/>
                <w:highlight w:val="white"/>
              </w:rPr>
              <w:t>分值</w:t>
            </w:r>
          </w:p>
        </w:tc>
        <w:tc>
          <w:tcPr>
            <w:tcW w:w="5525" w:type="dxa"/>
            <w:gridSpan w:val="8"/>
            <w:noWrap w:val="0"/>
            <w:vAlign w:val="center"/>
          </w:tcPr>
          <w:p w14:paraId="7FA14830">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34DDC1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vMerge w:val="continue"/>
            <w:noWrap w:val="0"/>
            <w:vAlign w:val="center"/>
          </w:tcPr>
          <w:p w14:paraId="3D4828DF">
            <w:pPr>
              <w:spacing w:line="360" w:lineRule="auto"/>
              <w:rPr>
                <w:rFonts w:hint="eastAsia" w:ascii="宋体" w:hAnsi="宋体" w:cs="宋体"/>
                <w:sz w:val="24"/>
              </w:rPr>
            </w:pPr>
          </w:p>
        </w:tc>
        <w:tc>
          <w:tcPr>
            <w:tcW w:w="2668" w:type="dxa"/>
            <w:vMerge w:val="continue"/>
            <w:noWrap w:val="0"/>
            <w:vAlign w:val="center"/>
          </w:tcPr>
          <w:p w14:paraId="349289B1">
            <w:pPr>
              <w:spacing w:line="360" w:lineRule="auto"/>
              <w:rPr>
                <w:rFonts w:hint="eastAsia" w:ascii="宋体" w:hAnsi="宋体" w:cs="宋体"/>
                <w:sz w:val="24"/>
              </w:rPr>
            </w:pPr>
          </w:p>
        </w:tc>
        <w:tc>
          <w:tcPr>
            <w:tcW w:w="875" w:type="dxa"/>
            <w:vMerge w:val="continue"/>
            <w:noWrap w:val="0"/>
            <w:vAlign w:val="center"/>
          </w:tcPr>
          <w:p w14:paraId="38872FF9">
            <w:pPr>
              <w:spacing w:line="360" w:lineRule="auto"/>
              <w:rPr>
                <w:rFonts w:hint="eastAsia" w:ascii="宋体" w:hAnsi="宋体" w:cs="宋体"/>
                <w:sz w:val="24"/>
              </w:rPr>
            </w:pPr>
          </w:p>
        </w:tc>
        <w:tc>
          <w:tcPr>
            <w:tcW w:w="691" w:type="dxa"/>
            <w:noWrap w:val="0"/>
            <w:vAlign w:val="center"/>
          </w:tcPr>
          <w:p w14:paraId="496CAD40">
            <w:pPr>
              <w:spacing w:line="360" w:lineRule="auto"/>
              <w:jc w:val="center"/>
              <w:rPr>
                <w:rFonts w:hint="eastAsia" w:ascii="宋体" w:hAnsi="宋体" w:cs="宋体"/>
                <w:sz w:val="24"/>
              </w:rPr>
            </w:pPr>
          </w:p>
        </w:tc>
        <w:tc>
          <w:tcPr>
            <w:tcW w:w="691" w:type="dxa"/>
            <w:noWrap w:val="0"/>
            <w:vAlign w:val="center"/>
          </w:tcPr>
          <w:p w14:paraId="529DC9A0">
            <w:pPr>
              <w:spacing w:line="360" w:lineRule="auto"/>
              <w:jc w:val="center"/>
              <w:rPr>
                <w:rFonts w:hint="eastAsia" w:ascii="宋体" w:hAnsi="宋体" w:cs="宋体"/>
                <w:sz w:val="24"/>
              </w:rPr>
            </w:pPr>
          </w:p>
        </w:tc>
        <w:tc>
          <w:tcPr>
            <w:tcW w:w="691" w:type="dxa"/>
            <w:noWrap w:val="0"/>
            <w:vAlign w:val="center"/>
          </w:tcPr>
          <w:p w14:paraId="3C56953F">
            <w:pPr>
              <w:spacing w:line="360" w:lineRule="auto"/>
              <w:jc w:val="center"/>
              <w:rPr>
                <w:rFonts w:hint="eastAsia" w:ascii="宋体" w:hAnsi="宋体" w:cs="宋体"/>
                <w:sz w:val="24"/>
              </w:rPr>
            </w:pPr>
          </w:p>
        </w:tc>
        <w:tc>
          <w:tcPr>
            <w:tcW w:w="691" w:type="dxa"/>
            <w:noWrap w:val="0"/>
            <w:vAlign w:val="center"/>
          </w:tcPr>
          <w:p w14:paraId="1090A6A9">
            <w:pPr>
              <w:spacing w:line="360" w:lineRule="auto"/>
              <w:jc w:val="center"/>
              <w:rPr>
                <w:rFonts w:hint="eastAsia" w:ascii="宋体" w:hAnsi="宋体" w:cs="宋体"/>
                <w:sz w:val="24"/>
              </w:rPr>
            </w:pPr>
          </w:p>
        </w:tc>
        <w:tc>
          <w:tcPr>
            <w:tcW w:w="691" w:type="dxa"/>
            <w:noWrap w:val="0"/>
            <w:vAlign w:val="center"/>
          </w:tcPr>
          <w:p w14:paraId="1EDD5AA8">
            <w:pPr>
              <w:spacing w:line="360" w:lineRule="auto"/>
              <w:jc w:val="center"/>
              <w:rPr>
                <w:rFonts w:hint="eastAsia" w:ascii="宋体" w:hAnsi="宋体" w:cs="宋体"/>
                <w:sz w:val="24"/>
              </w:rPr>
            </w:pPr>
          </w:p>
        </w:tc>
        <w:tc>
          <w:tcPr>
            <w:tcW w:w="691" w:type="dxa"/>
            <w:noWrap w:val="0"/>
            <w:vAlign w:val="center"/>
          </w:tcPr>
          <w:p w14:paraId="55D19E8A">
            <w:pPr>
              <w:spacing w:line="360" w:lineRule="auto"/>
              <w:jc w:val="center"/>
              <w:rPr>
                <w:rFonts w:hint="eastAsia" w:ascii="宋体" w:hAnsi="宋体" w:cs="宋体"/>
                <w:sz w:val="24"/>
              </w:rPr>
            </w:pPr>
          </w:p>
        </w:tc>
        <w:tc>
          <w:tcPr>
            <w:tcW w:w="691" w:type="dxa"/>
            <w:noWrap w:val="0"/>
            <w:vAlign w:val="center"/>
          </w:tcPr>
          <w:p w14:paraId="26DE5A33">
            <w:pPr>
              <w:spacing w:line="360" w:lineRule="auto"/>
              <w:jc w:val="center"/>
              <w:rPr>
                <w:rFonts w:hint="eastAsia" w:ascii="宋体" w:hAnsi="宋体" w:cs="宋体"/>
                <w:sz w:val="24"/>
              </w:rPr>
            </w:pPr>
          </w:p>
        </w:tc>
        <w:tc>
          <w:tcPr>
            <w:tcW w:w="688" w:type="dxa"/>
            <w:noWrap w:val="0"/>
            <w:vAlign w:val="center"/>
          </w:tcPr>
          <w:p w14:paraId="3766EF26">
            <w:pPr>
              <w:spacing w:line="360" w:lineRule="auto"/>
              <w:jc w:val="center"/>
              <w:rPr>
                <w:rFonts w:hint="eastAsia" w:ascii="宋体" w:hAnsi="宋体" w:cs="宋体"/>
                <w:sz w:val="24"/>
              </w:rPr>
            </w:pPr>
          </w:p>
        </w:tc>
      </w:tr>
      <w:tr w14:paraId="4F53CD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noWrap w:val="0"/>
            <w:vAlign w:val="center"/>
          </w:tcPr>
          <w:p w14:paraId="7FA07C99">
            <w:pPr>
              <w:spacing w:line="360" w:lineRule="auto"/>
              <w:jc w:val="center"/>
              <w:rPr>
                <w:rFonts w:hint="eastAsia" w:ascii="宋体" w:hAnsi="宋体" w:cs="宋体"/>
                <w:sz w:val="24"/>
              </w:rPr>
            </w:pPr>
            <w:r>
              <w:rPr>
                <w:rFonts w:hint="eastAsia" w:ascii="宋体" w:hAnsi="宋体" w:cs="宋体"/>
                <w:sz w:val="24"/>
                <w:highlight w:val="white"/>
              </w:rPr>
              <w:t>1</w:t>
            </w:r>
          </w:p>
        </w:tc>
        <w:tc>
          <w:tcPr>
            <w:tcW w:w="2668" w:type="dxa"/>
            <w:noWrap w:val="0"/>
            <w:vAlign w:val="center"/>
          </w:tcPr>
          <w:p w14:paraId="6361244E">
            <w:pPr>
              <w:spacing w:line="360" w:lineRule="auto"/>
              <w:jc w:val="center"/>
              <w:rPr>
                <w:rFonts w:hint="eastAsia" w:ascii="宋体" w:hAnsi="宋体"/>
                <w:sz w:val="24"/>
              </w:rPr>
            </w:pPr>
            <w:r>
              <w:rPr>
                <w:rFonts w:hint="eastAsia" w:ascii="宋体" w:hAnsi="宋体" w:cs="宋体"/>
                <w:sz w:val="24"/>
                <w:highlight w:val="white"/>
              </w:rPr>
              <w:t>……</w:t>
            </w:r>
          </w:p>
        </w:tc>
        <w:tc>
          <w:tcPr>
            <w:tcW w:w="875" w:type="dxa"/>
            <w:noWrap w:val="0"/>
            <w:vAlign w:val="center"/>
          </w:tcPr>
          <w:p w14:paraId="47ACFFC6">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07867510">
            <w:pPr>
              <w:spacing w:line="360" w:lineRule="auto"/>
              <w:jc w:val="center"/>
              <w:rPr>
                <w:rFonts w:hint="eastAsia" w:ascii="宋体" w:hAnsi="宋体" w:cs="宋体"/>
                <w:sz w:val="24"/>
              </w:rPr>
            </w:pPr>
          </w:p>
        </w:tc>
        <w:tc>
          <w:tcPr>
            <w:tcW w:w="691" w:type="dxa"/>
            <w:noWrap w:val="0"/>
            <w:vAlign w:val="center"/>
          </w:tcPr>
          <w:p w14:paraId="4FDC256E">
            <w:pPr>
              <w:spacing w:line="360" w:lineRule="auto"/>
              <w:jc w:val="center"/>
              <w:rPr>
                <w:rFonts w:hint="eastAsia" w:ascii="宋体" w:hAnsi="宋体" w:cs="宋体"/>
                <w:sz w:val="24"/>
              </w:rPr>
            </w:pPr>
          </w:p>
        </w:tc>
        <w:tc>
          <w:tcPr>
            <w:tcW w:w="691" w:type="dxa"/>
            <w:noWrap w:val="0"/>
            <w:vAlign w:val="center"/>
          </w:tcPr>
          <w:p w14:paraId="5B5BDE48">
            <w:pPr>
              <w:spacing w:line="360" w:lineRule="auto"/>
              <w:jc w:val="center"/>
              <w:rPr>
                <w:rFonts w:hint="eastAsia" w:ascii="宋体" w:hAnsi="宋体" w:cs="宋体"/>
                <w:sz w:val="24"/>
              </w:rPr>
            </w:pPr>
          </w:p>
        </w:tc>
        <w:tc>
          <w:tcPr>
            <w:tcW w:w="691" w:type="dxa"/>
            <w:noWrap w:val="0"/>
            <w:vAlign w:val="center"/>
          </w:tcPr>
          <w:p w14:paraId="6498D59B">
            <w:pPr>
              <w:spacing w:line="360" w:lineRule="auto"/>
              <w:jc w:val="center"/>
              <w:rPr>
                <w:rFonts w:hint="eastAsia" w:ascii="宋体" w:hAnsi="宋体" w:cs="宋体"/>
                <w:sz w:val="24"/>
              </w:rPr>
            </w:pPr>
          </w:p>
        </w:tc>
        <w:tc>
          <w:tcPr>
            <w:tcW w:w="691" w:type="dxa"/>
            <w:noWrap w:val="0"/>
            <w:vAlign w:val="center"/>
          </w:tcPr>
          <w:p w14:paraId="06DD3B3D">
            <w:pPr>
              <w:spacing w:line="360" w:lineRule="auto"/>
              <w:jc w:val="center"/>
              <w:rPr>
                <w:rFonts w:hint="eastAsia" w:ascii="宋体" w:hAnsi="宋体" w:cs="宋体"/>
                <w:sz w:val="24"/>
              </w:rPr>
            </w:pPr>
          </w:p>
        </w:tc>
        <w:tc>
          <w:tcPr>
            <w:tcW w:w="691" w:type="dxa"/>
            <w:noWrap w:val="0"/>
            <w:vAlign w:val="center"/>
          </w:tcPr>
          <w:p w14:paraId="1DA12B42">
            <w:pPr>
              <w:spacing w:line="360" w:lineRule="auto"/>
              <w:jc w:val="center"/>
              <w:rPr>
                <w:rFonts w:hint="eastAsia" w:ascii="宋体" w:hAnsi="宋体" w:cs="宋体"/>
                <w:sz w:val="24"/>
              </w:rPr>
            </w:pPr>
          </w:p>
        </w:tc>
        <w:tc>
          <w:tcPr>
            <w:tcW w:w="691" w:type="dxa"/>
            <w:noWrap w:val="0"/>
            <w:vAlign w:val="center"/>
          </w:tcPr>
          <w:p w14:paraId="778DF352">
            <w:pPr>
              <w:spacing w:line="360" w:lineRule="auto"/>
              <w:jc w:val="center"/>
              <w:rPr>
                <w:rFonts w:hint="eastAsia" w:ascii="宋体" w:hAnsi="宋体" w:cs="宋体"/>
                <w:sz w:val="24"/>
              </w:rPr>
            </w:pPr>
          </w:p>
        </w:tc>
        <w:tc>
          <w:tcPr>
            <w:tcW w:w="688" w:type="dxa"/>
            <w:noWrap w:val="0"/>
            <w:vAlign w:val="center"/>
          </w:tcPr>
          <w:p w14:paraId="4E4386E1">
            <w:pPr>
              <w:spacing w:line="360" w:lineRule="auto"/>
              <w:jc w:val="center"/>
              <w:rPr>
                <w:rFonts w:hint="eastAsia" w:ascii="宋体" w:hAnsi="宋体" w:cs="宋体"/>
                <w:sz w:val="24"/>
              </w:rPr>
            </w:pPr>
          </w:p>
        </w:tc>
      </w:tr>
      <w:tr w14:paraId="79533D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noWrap w:val="0"/>
            <w:vAlign w:val="center"/>
          </w:tcPr>
          <w:p w14:paraId="2866673F">
            <w:pPr>
              <w:spacing w:line="360" w:lineRule="auto"/>
              <w:jc w:val="center"/>
              <w:rPr>
                <w:rFonts w:hint="eastAsia" w:ascii="宋体" w:hAnsi="宋体" w:cs="宋体"/>
                <w:sz w:val="24"/>
              </w:rPr>
            </w:pPr>
            <w:r>
              <w:rPr>
                <w:rFonts w:hint="eastAsia" w:ascii="宋体" w:hAnsi="宋体" w:cs="宋体"/>
                <w:sz w:val="24"/>
                <w:highlight w:val="white"/>
              </w:rPr>
              <w:t>2</w:t>
            </w:r>
          </w:p>
        </w:tc>
        <w:tc>
          <w:tcPr>
            <w:tcW w:w="2668" w:type="dxa"/>
            <w:noWrap w:val="0"/>
            <w:vAlign w:val="center"/>
          </w:tcPr>
          <w:p w14:paraId="03E2374D">
            <w:pPr>
              <w:spacing w:line="360" w:lineRule="auto"/>
              <w:jc w:val="center"/>
              <w:rPr>
                <w:rFonts w:hint="eastAsia" w:ascii="宋体" w:hAnsi="宋体"/>
                <w:sz w:val="24"/>
              </w:rPr>
            </w:pPr>
            <w:r>
              <w:rPr>
                <w:rFonts w:hint="eastAsia" w:ascii="宋体" w:hAnsi="宋体" w:cs="宋体"/>
                <w:sz w:val="24"/>
                <w:highlight w:val="white"/>
              </w:rPr>
              <w:t>……</w:t>
            </w:r>
          </w:p>
        </w:tc>
        <w:tc>
          <w:tcPr>
            <w:tcW w:w="875" w:type="dxa"/>
            <w:noWrap w:val="0"/>
            <w:vAlign w:val="center"/>
          </w:tcPr>
          <w:p w14:paraId="62B6343D">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74286697">
            <w:pPr>
              <w:spacing w:line="360" w:lineRule="auto"/>
              <w:jc w:val="center"/>
              <w:rPr>
                <w:rFonts w:hint="eastAsia" w:ascii="宋体" w:hAnsi="宋体" w:cs="宋体"/>
                <w:sz w:val="24"/>
              </w:rPr>
            </w:pPr>
          </w:p>
        </w:tc>
        <w:tc>
          <w:tcPr>
            <w:tcW w:w="691" w:type="dxa"/>
            <w:noWrap w:val="0"/>
            <w:vAlign w:val="center"/>
          </w:tcPr>
          <w:p w14:paraId="645BECDA">
            <w:pPr>
              <w:spacing w:line="360" w:lineRule="auto"/>
              <w:jc w:val="center"/>
              <w:rPr>
                <w:rFonts w:hint="eastAsia" w:ascii="宋体" w:hAnsi="宋体" w:cs="宋体"/>
                <w:sz w:val="24"/>
              </w:rPr>
            </w:pPr>
          </w:p>
        </w:tc>
        <w:tc>
          <w:tcPr>
            <w:tcW w:w="691" w:type="dxa"/>
            <w:noWrap w:val="0"/>
            <w:vAlign w:val="center"/>
          </w:tcPr>
          <w:p w14:paraId="79961673">
            <w:pPr>
              <w:spacing w:line="360" w:lineRule="auto"/>
              <w:jc w:val="center"/>
              <w:rPr>
                <w:rFonts w:hint="eastAsia" w:ascii="宋体" w:hAnsi="宋体" w:cs="宋体"/>
                <w:sz w:val="24"/>
              </w:rPr>
            </w:pPr>
          </w:p>
        </w:tc>
        <w:tc>
          <w:tcPr>
            <w:tcW w:w="691" w:type="dxa"/>
            <w:noWrap w:val="0"/>
            <w:vAlign w:val="center"/>
          </w:tcPr>
          <w:p w14:paraId="13433113">
            <w:pPr>
              <w:spacing w:line="360" w:lineRule="auto"/>
              <w:jc w:val="center"/>
              <w:rPr>
                <w:rFonts w:hint="eastAsia" w:ascii="宋体" w:hAnsi="宋体" w:cs="宋体"/>
                <w:sz w:val="24"/>
              </w:rPr>
            </w:pPr>
          </w:p>
        </w:tc>
        <w:tc>
          <w:tcPr>
            <w:tcW w:w="691" w:type="dxa"/>
            <w:noWrap w:val="0"/>
            <w:vAlign w:val="center"/>
          </w:tcPr>
          <w:p w14:paraId="60EB8774">
            <w:pPr>
              <w:spacing w:line="360" w:lineRule="auto"/>
              <w:jc w:val="center"/>
              <w:rPr>
                <w:rFonts w:hint="eastAsia" w:ascii="宋体" w:hAnsi="宋体" w:cs="宋体"/>
                <w:sz w:val="24"/>
              </w:rPr>
            </w:pPr>
          </w:p>
        </w:tc>
        <w:tc>
          <w:tcPr>
            <w:tcW w:w="691" w:type="dxa"/>
            <w:noWrap w:val="0"/>
            <w:vAlign w:val="center"/>
          </w:tcPr>
          <w:p w14:paraId="3FE43398">
            <w:pPr>
              <w:spacing w:line="360" w:lineRule="auto"/>
              <w:jc w:val="center"/>
              <w:rPr>
                <w:rFonts w:hint="eastAsia" w:ascii="宋体" w:hAnsi="宋体" w:cs="宋体"/>
                <w:sz w:val="24"/>
              </w:rPr>
            </w:pPr>
          </w:p>
        </w:tc>
        <w:tc>
          <w:tcPr>
            <w:tcW w:w="691" w:type="dxa"/>
            <w:noWrap w:val="0"/>
            <w:vAlign w:val="center"/>
          </w:tcPr>
          <w:p w14:paraId="2A0A21F4">
            <w:pPr>
              <w:spacing w:line="360" w:lineRule="auto"/>
              <w:jc w:val="center"/>
              <w:rPr>
                <w:rFonts w:hint="eastAsia" w:ascii="宋体" w:hAnsi="宋体" w:cs="宋体"/>
                <w:sz w:val="24"/>
              </w:rPr>
            </w:pPr>
          </w:p>
        </w:tc>
        <w:tc>
          <w:tcPr>
            <w:tcW w:w="688" w:type="dxa"/>
            <w:noWrap w:val="0"/>
            <w:vAlign w:val="center"/>
          </w:tcPr>
          <w:p w14:paraId="3C8E432A">
            <w:pPr>
              <w:spacing w:line="360" w:lineRule="auto"/>
              <w:jc w:val="center"/>
              <w:rPr>
                <w:rFonts w:hint="eastAsia" w:ascii="宋体" w:hAnsi="宋体" w:cs="宋体"/>
                <w:sz w:val="24"/>
              </w:rPr>
            </w:pPr>
          </w:p>
        </w:tc>
      </w:tr>
      <w:tr w14:paraId="2E1B47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480" w:hRule="atLeast"/>
          <w:jc w:val="center"/>
        </w:trPr>
        <w:tc>
          <w:tcPr>
            <w:tcW w:w="614" w:type="dxa"/>
            <w:noWrap w:val="0"/>
            <w:vAlign w:val="center"/>
          </w:tcPr>
          <w:p w14:paraId="70B5AE13">
            <w:pPr>
              <w:spacing w:line="360" w:lineRule="auto"/>
              <w:jc w:val="center"/>
              <w:rPr>
                <w:rFonts w:hint="eastAsia" w:ascii="宋体" w:hAnsi="宋体" w:cs="宋体"/>
                <w:sz w:val="24"/>
              </w:rPr>
            </w:pPr>
            <w:r>
              <w:rPr>
                <w:rFonts w:hint="eastAsia" w:ascii="宋体" w:hAnsi="宋体" w:cs="宋体"/>
                <w:sz w:val="24"/>
                <w:highlight w:val="white"/>
              </w:rPr>
              <w:t>3</w:t>
            </w:r>
          </w:p>
        </w:tc>
        <w:tc>
          <w:tcPr>
            <w:tcW w:w="2668" w:type="dxa"/>
            <w:noWrap w:val="0"/>
            <w:vAlign w:val="center"/>
          </w:tcPr>
          <w:p w14:paraId="7677CC40">
            <w:pPr>
              <w:spacing w:line="360" w:lineRule="auto"/>
              <w:jc w:val="center"/>
              <w:rPr>
                <w:rFonts w:hint="eastAsia" w:ascii="宋体" w:hAnsi="宋体"/>
                <w:sz w:val="24"/>
              </w:rPr>
            </w:pPr>
            <w:r>
              <w:rPr>
                <w:rFonts w:hint="eastAsia" w:ascii="宋体" w:hAnsi="宋体" w:cs="宋体"/>
                <w:sz w:val="24"/>
                <w:highlight w:val="white"/>
              </w:rPr>
              <w:t>……</w:t>
            </w:r>
          </w:p>
        </w:tc>
        <w:tc>
          <w:tcPr>
            <w:tcW w:w="875" w:type="dxa"/>
            <w:noWrap w:val="0"/>
            <w:vAlign w:val="center"/>
          </w:tcPr>
          <w:p w14:paraId="1D0FC1DE">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590EFAFA">
            <w:pPr>
              <w:spacing w:line="360" w:lineRule="auto"/>
              <w:jc w:val="center"/>
              <w:rPr>
                <w:rFonts w:hint="eastAsia" w:ascii="宋体" w:hAnsi="宋体" w:cs="宋体"/>
                <w:sz w:val="24"/>
              </w:rPr>
            </w:pPr>
          </w:p>
        </w:tc>
        <w:tc>
          <w:tcPr>
            <w:tcW w:w="691" w:type="dxa"/>
            <w:noWrap w:val="0"/>
            <w:vAlign w:val="center"/>
          </w:tcPr>
          <w:p w14:paraId="46E75D5F">
            <w:pPr>
              <w:spacing w:line="360" w:lineRule="auto"/>
              <w:jc w:val="center"/>
              <w:rPr>
                <w:rFonts w:hint="eastAsia" w:ascii="宋体" w:hAnsi="宋体" w:cs="宋体"/>
                <w:sz w:val="24"/>
              </w:rPr>
            </w:pPr>
          </w:p>
        </w:tc>
        <w:tc>
          <w:tcPr>
            <w:tcW w:w="691" w:type="dxa"/>
            <w:noWrap w:val="0"/>
            <w:vAlign w:val="center"/>
          </w:tcPr>
          <w:p w14:paraId="4284FD2C">
            <w:pPr>
              <w:spacing w:line="360" w:lineRule="auto"/>
              <w:jc w:val="center"/>
              <w:rPr>
                <w:rFonts w:hint="eastAsia" w:ascii="宋体" w:hAnsi="宋体" w:cs="宋体"/>
                <w:sz w:val="24"/>
              </w:rPr>
            </w:pPr>
          </w:p>
        </w:tc>
        <w:tc>
          <w:tcPr>
            <w:tcW w:w="691" w:type="dxa"/>
            <w:noWrap w:val="0"/>
            <w:vAlign w:val="center"/>
          </w:tcPr>
          <w:p w14:paraId="26476214">
            <w:pPr>
              <w:spacing w:line="360" w:lineRule="auto"/>
              <w:jc w:val="center"/>
              <w:rPr>
                <w:rFonts w:hint="eastAsia" w:ascii="宋体" w:hAnsi="宋体" w:cs="宋体"/>
                <w:sz w:val="24"/>
              </w:rPr>
            </w:pPr>
          </w:p>
        </w:tc>
        <w:tc>
          <w:tcPr>
            <w:tcW w:w="691" w:type="dxa"/>
            <w:noWrap w:val="0"/>
            <w:vAlign w:val="center"/>
          </w:tcPr>
          <w:p w14:paraId="0F3A9357">
            <w:pPr>
              <w:spacing w:line="360" w:lineRule="auto"/>
              <w:jc w:val="center"/>
              <w:rPr>
                <w:rFonts w:hint="eastAsia" w:ascii="宋体" w:hAnsi="宋体" w:cs="宋体"/>
                <w:sz w:val="24"/>
              </w:rPr>
            </w:pPr>
          </w:p>
        </w:tc>
        <w:tc>
          <w:tcPr>
            <w:tcW w:w="691" w:type="dxa"/>
            <w:noWrap w:val="0"/>
            <w:vAlign w:val="center"/>
          </w:tcPr>
          <w:p w14:paraId="6CF38099">
            <w:pPr>
              <w:spacing w:line="360" w:lineRule="auto"/>
              <w:jc w:val="center"/>
              <w:rPr>
                <w:rFonts w:hint="eastAsia" w:ascii="宋体" w:hAnsi="宋体" w:cs="宋体"/>
                <w:sz w:val="24"/>
              </w:rPr>
            </w:pPr>
          </w:p>
        </w:tc>
        <w:tc>
          <w:tcPr>
            <w:tcW w:w="691" w:type="dxa"/>
            <w:noWrap w:val="0"/>
            <w:vAlign w:val="center"/>
          </w:tcPr>
          <w:p w14:paraId="5BAF3E1A">
            <w:pPr>
              <w:spacing w:line="360" w:lineRule="auto"/>
              <w:jc w:val="center"/>
              <w:rPr>
                <w:rFonts w:hint="eastAsia" w:ascii="宋体" w:hAnsi="宋体" w:cs="宋体"/>
                <w:sz w:val="24"/>
              </w:rPr>
            </w:pPr>
          </w:p>
        </w:tc>
        <w:tc>
          <w:tcPr>
            <w:tcW w:w="688" w:type="dxa"/>
            <w:noWrap w:val="0"/>
            <w:vAlign w:val="center"/>
          </w:tcPr>
          <w:p w14:paraId="156E9C66">
            <w:pPr>
              <w:spacing w:line="360" w:lineRule="auto"/>
              <w:jc w:val="center"/>
              <w:rPr>
                <w:rFonts w:hint="eastAsia" w:ascii="宋体" w:hAnsi="宋体" w:cs="宋体"/>
                <w:sz w:val="24"/>
              </w:rPr>
            </w:pPr>
          </w:p>
        </w:tc>
      </w:tr>
      <w:tr w14:paraId="2464DE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noWrap w:val="0"/>
            <w:vAlign w:val="center"/>
          </w:tcPr>
          <w:p w14:paraId="22A31323">
            <w:pPr>
              <w:spacing w:line="360" w:lineRule="auto"/>
              <w:jc w:val="center"/>
              <w:rPr>
                <w:rFonts w:hint="eastAsia" w:ascii="宋体" w:hAnsi="宋体" w:cs="宋体"/>
                <w:sz w:val="24"/>
              </w:rPr>
            </w:pPr>
            <w:r>
              <w:rPr>
                <w:rFonts w:hint="eastAsia" w:ascii="宋体" w:hAnsi="宋体" w:cs="宋体"/>
                <w:sz w:val="24"/>
                <w:highlight w:val="white"/>
              </w:rPr>
              <w:t>……</w:t>
            </w:r>
          </w:p>
        </w:tc>
        <w:tc>
          <w:tcPr>
            <w:tcW w:w="2668" w:type="dxa"/>
            <w:noWrap w:val="0"/>
            <w:vAlign w:val="center"/>
          </w:tcPr>
          <w:p w14:paraId="69D01576">
            <w:pPr>
              <w:spacing w:line="360" w:lineRule="auto"/>
              <w:jc w:val="center"/>
              <w:rPr>
                <w:rFonts w:hint="eastAsia" w:ascii="宋体" w:hAnsi="宋体" w:cs="宋体"/>
                <w:sz w:val="24"/>
              </w:rPr>
            </w:pPr>
            <w:r>
              <w:rPr>
                <w:rFonts w:hint="eastAsia" w:ascii="宋体" w:hAnsi="宋体" w:cs="宋体"/>
                <w:sz w:val="24"/>
                <w:highlight w:val="white"/>
              </w:rPr>
              <w:t>……</w:t>
            </w:r>
          </w:p>
        </w:tc>
        <w:tc>
          <w:tcPr>
            <w:tcW w:w="875" w:type="dxa"/>
            <w:noWrap w:val="0"/>
            <w:vAlign w:val="center"/>
          </w:tcPr>
          <w:p w14:paraId="216CB260">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0CBFB620">
            <w:pPr>
              <w:spacing w:line="360" w:lineRule="auto"/>
              <w:jc w:val="center"/>
              <w:rPr>
                <w:rFonts w:hint="eastAsia" w:ascii="宋体" w:hAnsi="宋体" w:cs="宋体"/>
                <w:sz w:val="24"/>
              </w:rPr>
            </w:pPr>
          </w:p>
        </w:tc>
        <w:tc>
          <w:tcPr>
            <w:tcW w:w="691" w:type="dxa"/>
            <w:noWrap w:val="0"/>
            <w:vAlign w:val="center"/>
          </w:tcPr>
          <w:p w14:paraId="70E1E152">
            <w:pPr>
              <w:spacing w:line="360" w:lineRule="auto"/>
              <w:jc w:val="center"/>
              <w:rPr>
                <w:rFonts w:hint="eastAsia" w:ascii="宋体" w:hAnsi="宋体" w:cs="宋体"/>
                <w:sz w:val="24"/>
              </w:rPr>
            </w:pPr>
          </w:p>
        </w:tc>
        <w:tc>
          <w:tcPr>
            <w:tcW w:w="691" w:type="dxa"/>
            <w:noWrap w:val="0"/>
            <w:vAlign w:val="center"/>
          </w:tcPr>
          <w:p w14:paraId="70C46182">
            <w:pPr>
              <w:spacing w:line="360" w:lineRule="auto"/>
              <w:jc w:val="center"/>
              <w:rPr>
                <w:rFonts w:hint="eastAsia" w:ascii="宋体" w:hAnsi="宋体" w:cs="宋体"/>
                <w:sz w:val="24"/>
              </w:rPr>
            </w:pPr>
          </w:p>
        </w:tc>
        <w:tc>
          <w:tcPr>
            <w:tcW w:w="691" w:type="dxa"/>
            <w:noWrap w:val="0"/>
            <w:vAlign w:val="center"/>
          </w:tcPr>
          <w:p w14:paraId="67124E87">
            <w:pPr>
              <w:spacing w:line="360" w:lineRule="auto"/>
              <w:jc w:val="center"/>
              <w:rPr>
                <w:rFonts w:hint="eastAsia" w:ascii="宋体" w:hAnsi="宋体" w:cs="宋体"/>
                <w:sz w:val="24"/>
              </w:rPr>
            </w:pPr>
          </w:p>
        </w:tc>
        <w:tc>
          <w:tcPr>
            <w:tcW w:w="691" w:type="dxa"/>
            <w:noWrap w:val="0"/>
            <w:vAlign w:val="center"/>
          </w:tcPr>
          <w:p w14:paraId="1544EB1B">
            <w:pPr>
              <w:spacing w:line="360" w:lineRule="auto"/>
              <w:jc w:val="center"/>
              <w:rPr>
                <w:rFonts w:hint="eastAsia" w:ascii="宋体" w:hAnsi="宋体" w:cs="宋体"/>
                <w:sz w:val="24"/>
              </w:rPr>
            </w:pPr>
          </w:p>
        </w:tc>
        <w:tc>
          <w:tcPr>
            <w:tcW w:w="691" w:type="dxa"/>
            <w:noWrap w:val="0"/>
            <w:vAlign w:val="center"/>
          </w:tcPr>
          <w:p w14:paraId="5A4201E3">
            <w:pPr>
              <w:spacing w:line="360" w:lineRule="auto"/>
              <w:jc w:val="center"/>
              <w:rPr>
                <w:rFonts w:hint="eastAsia" w:ascii="宋体" w:hAnsi="宋体" w:cs="宋体"/>
                <w:sz w:val="24"/>
              </w:rPr>
            </w:pPr>
          </w:p>
        </w:tc>
        <w:tc>
          <w:tcPr>
            <w:tcW w:w="691" w:type="dxa"/>
            <w:noWrap w:val="0"/>
            <w:vAlign w:val="center"/>
          </w:tcPr>
          <w:p w14:paraId="6C7CD840">
            <w:pPr>
              <w:spacing w:line="360" w:lineRule="auto"/>
              <w:jc w:val="center"/>
              <w:rPr>
                <w:rFonts w:hint="eastAsia" w:ascii="宋体" w:hAnsi="宋体" w:cs="宋体"/>
                <w:sz w:val="24"/>
              </w:rPr>
            </w:pPr>
          </w:p>
        </w:tc>
        <w:tc>
          <w:tcPr>
            <w:tcW w:w="688" w:type="dxa"/>
            <w:noWrap w:val="0"/>
            <w:vAlign w:val="center"/>
          </w:tcPr>
          <w:p w14:paraId="5E02688A">
            <w:pPr>
              <w:spacing w:line="360" w:lineRule="auto"/>
              <w:jc w:val="center"/>
              <w:rPr>
                <w:rFonts w:hint="eastAsia" w:ascii="宋体" w:hAnsi="宋体" w:cs="宋体"/>
                <w:sz w:val="24"/>
              </w:rPr>
            </w:pPr>
          </w:p>
        </w:tc>
      </w:tr>
      <w:tr w14:paraId="6B7AE5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3282" w:type="dxa"/>
            <w:gridSpan w:val="2"/>
            <w:noWrap w:val="0"/>
            <w:vAlign w:val="center"/>
          </w:tcPr>
          <w:p w14:paraId="486D4D11">
            <w:pPr>
              <w:spacing w:line="360" w:lineRule="auto"/>
              <w:jc w:val="center"/>
              <w:rPr>
                <w:rFonts w:hint="eastAsia" w:ascii="宋体" w:hAnsi="宋体" w:cs="宋体"/>
                <w:sz w:val="24"/>
              </w:rPr>
            </w:pPr>
            <w:r>
              <w:rPr>
                <w:rFonts w:hint="eastAsia" w:ascii="宋体" w:hAnsi="宋体" w:cs="宋体"/>
                <w:sz w:val="24"/>
                <w:highlight w:val="white"/>
              </w:rPr>
              <w:t>资信业绩</w:t>
            </w:r>
            <w:r>
              <w:rPr>
                <w:rFonts w:hint="eastAsia" w:ascii="宋体" w:hAnsi="宋体" w:cs="宋体"/>
                <w:bCs/>
                <w:sz w:val="24"/>
                <w:highlight w:val="white"/>
              </w:rPr>
              <w:t>得分</w:t>
            </w:r>
            <w:r>
              <w:rPr>
                <w:rFonts w:hint="eastAsia" w:ascii="宋体" w:hAnsi="宋体" w:cs="宋体"/>
                <w:sz w:val="24"/>
                <w:highlight w:val="white"/>
              </w:rPr>
              <w:t>合计B</w:t>
            </w:r>
          </w:p>
        </w:tc>
        <w:tc>
          <w:tcPr>
            <w:tcW w:w="875" w:type="dxa"/>
            <w:noWrap w:val="0"/>
            <w:vAlign w:val="center"/>
          </w:tcPr>
          <w:p w14:paraId="7741405D">
            <w:pPr>
              <w:spacing w:line="360" w:lineRule="auto"/>
              <w:jc w:val="center"/>
              <w:rPr>
                <w:rFonts w:hint="eastAsia" w:ascii="宋体" w:hAnsi="宋体" w:cs="宋体"/>
                <w:sz w:val="24"/>
              </w:rPr>
            </w:pPr>
          </w:p>
        </w:tc>
        <w:tc>
          <w:tcPr>
            <w:tcW w:w="691" w:type="dxa"/>
            <w:noWrap w:val="0"/>
            <w:vAlign w:val="center"/>
          </w:tcPr>
          <w:p w14:paraId="469F8DBC">
            <w:pPr>
              <w:spacing w:line="360" w:lineRule="auto"/>
              <w:jc w:val="center"/>
              <w:rPr>
                <w:rFonts w:hint="eastAsia" w:ascii="宋体" w:hAnsi="宋体" w:cs="宋体"/>
                <w:sz w:val="24"/>
              </w:rPr>
            </w:pPr>
          </w:p>
        </w:tc>
        <w:tc>
          <w:tcPr>
            <w:tcW w:w="691" w:type="dxa"/>
            <w:noWrap w:val="0"/>
            <w:vAlign w:val="center"/>
          </w:tcPr>
          <w:p w14:paraId="4AF75E92">
            <w:pPr>
              <w:spacing w:line="360" w:lineRule="auto"/>
              <w:jc w:val="center"/>
              <w:rPr>
                <w:rFonts w:hint="eastAsia" w:ascii="宋体" w:hAnsi="宋体" w:cs="宋体"/>
                <w:sz w:val="24"/>
              </w:rPr>
            </w:pPr>
          </w:p>
        </w:tc>
        <w:tc>
          <w:tcPr>
            <w:tcW w:w="691" w:type="dxa"/>
            <w:noWrap w:val="0"/>
            <w:vAlign w:val="center"/>
          </w:tcPr>
          <w:p w14:paraId="19622006">
            <w:pPr>
              <w:spacing w:line="360" w:lineRule="auto"/>
              <w:jc w:val="center"/>
              <w:rPr>
                <w:rFonts w:hint="eastAsia" w:ascii="宋体" w:hAnsi="宋体" w:cs="宋体"/>
                <w:sz w:val="24"/>
              </w:rPr>
            </w:pPr>
          </w:p>
        </w:tc>
        <w:tc>
          <w:tcPr>
            <w:tcW w:w="691" w:type="dxa"/>
            <w:noWrap w:val="0"/>
            <w:vAlign w:val="center"/>
          </w:tcPr>
          <w:p w14:paraId="186FE266">
            <w:pPr>
              <w:spacing w:line="360" w:lineRule="auto"/>
              <w:jc w:val="center"/>
              <w:rPr>
                <w:rFonts w:hint="eastAsia" w:ascii="宋体" w:hAnsi="宋体" w:cs="宋体"/>
                <w:sz w:val="24"/>
              </w:rPr>
            </w:pPr>
          </w:p>
        </w:tc>
        <w:tc>
          <w:tcPr>
            <w:tcW w:w="691" w:type="dxa"/>
            <w:noWrap w:val="0"/>
            <w:vAlign w:val="center"/>
          </w:tcPr>
          <w:p w14:paraId="4761760E">
            <w:pPr>
              <w:spacing w:line="360" w:lineRule="auto"/>
              <w:jc w:val="center"/>
              <w:rPr>
                <w:rFonts w:hint="eastAsia" w:ascii="宋体" w:hAnsi="宋体" w:cs="宋体"/>
                <w:sz w:val="24"/>
              </w:rPr>
            </w:pPr>
          </w:p>
        </w:tc>
        <w:tc>
          <w:tcPr>
            <w:tcW w:w="691" w:type="dxa"/>
            <w:noWrap w:val="0"/>
            <w:vAlign w:val="center"/>
          </w:tcPr>
          <w:p w14:paraId="3CE2A465">
            <w:pPr>
              <w:spacing w:line="360" w:lineRule="auto"/>
              <w:jc w:val="center"/>
              <w:rPr>
                <w:rFonts w:hint="eastAsia" w:ascii="宋体" w:hAnsi="宋体" w:cs="宋体"/>
                <w:sz w:val="24"/>
              </w:rPr>
            </w:pPr>
          </w:p>
        </w:tc>
        <w:tc>
          <w:tcPr>
            <w:tcW w:w="691" w:type="dxa"/>
            <w:noWrap w:val="0"/>
            <w:vAlign w:val="center"/>
          </w:tcPr>
          <w:p w14:paraId="7A3A7461">
            <w:pPr>
              <w:spacing w:line="360" w:lineRule="auto"/>
              <w:jc w:val="center"/>
              <w:rPr>
                <w:rFonts w:hint="eastAsia" w:ascii="宋体" w:hAnsi="宋体" w:cs="宋体"/>
                <w:sz w:val="24"/>
              </w:rPr>
            </w:pPr>
          </w:p>
        </w:tc>
        <w:tc>
          <w:tcPr>
            <w:tcW w:w="688" w:type="dxa"/>
            <w:noWrap w:val="0"/>
            <w:vAlign w:val="center"/>
          </w:tcPr>
          <w:p w14:paraId="75E937CE">
            <w:pPr>
              <w:spacing w:line="360" w:lineRule="auto"/>
              <w:jc w:val="center"/>
              <w:rPr>
                <w:rFonts w:hint="eastAsia" w:ascii="宋体" w:hAnsi="宋体" w:cs="宋体"/>
                <w:sz w:val="24"/>
              </w:rPr>
            </w:pPr>
          </w:p>
        </w:tc>
      </w:tr>
    </w:tbl>
    <w:p w14:paraId="3560408A">
      <w:pPr>
        <w:spacing w:line="360" w:lineRule="auto"/>
        <w:rPr>
          <w:rFonts w:hint="eastAsia" w:ascii="宋体" w:hAnsi="宋体" w:cs="宋体"/>
          <w:sz w:val="24"/>
        </w:rPr>
      </w:pPr>
    </w:p>
    <w:p w14:paraId="24EF13C3">
      <w:pPr>
        <w:spacing w:line="360" w:lineRule="auto"/>
        <w:rPr>
          <w:rFonts w:hint="eastAsia" w:ascii="宋体" w:hAnsi="宋体" w:cs="宋体"/>
          <w:sz w:val="24"/>
        </w:rPr>
      </w:pPr>
      <w:r>
        <w:rPr>
          <w:rFonts w:hint="eastAsia" w:ascii="宋体" w:hAnsi="宋体" w:cs="宋体"/>
          <w:sz w:val="24"/>
          <w:highlight w:val="white"/>
        </w:rPr>
        <w:t>评标委员会成员签名：</w:t>
      </w:r>
    </w:p>
    <w:p w14:paraId="2785A916">
      <w:pPr>
        <w:pStyle w:val="3"/>
        <w:rPr>
          <w:rFonts w:hint="eastAsia" w:ascii="宋体" w:hAnsi="宋体" w:eastAsia="宋体"/>
          <w:sz w:val="24"/>
          <w:szCs w:val="24"/>
        </w:rPr>
      </w:pPr>
      <w:r>
        <w:rPr>
          <w:rFonts w:hint="eastAsia" w:ascii="宋体" w:hAnsi="宋体" w:eastAsia="宋体" w:cs="宋体"/>
          <w:sz w:val="24"/>
          <w:szCs w:val="24"/>
          <w:highlight w:val="white"/>
        </w:rPr>
        <w:br w:type="page"/>
      </w:r>
      <w:bookmarkStart w:id="220" w:name="_Toc256000091"/>
      <w:r>
        <w:rPr>
          <w:rFonts w:hint="eastAsia" w:ascii="宋体" w:hAnsi="宋体" w:eastAsia="宋体"/>
          <w:sz w:val="24"/>
          <w:szCs w:val="24"/>
          <w:highlight w:val="white"/>
        </w:rPr>
        <w:t>附表8：承包人实施方案评审记录表</w:t>
      </w:r>
      <w:bookmarkEnd w:id="220"/>
    </w:p>
    <w:p w14:paraId="10112A59">
      <w:pPr>
        <w:spacing w:line="360" w:lineRule="auto"/>
        <w:jc w:val="center"/>
        <w:rPr>
          <w:rFonts w:hint="eastAsia" w:ascii="宋体" w:hAnsi="宋体" w:cs="宋体"/>
          <w:b/>
          <w:sz w:val="24"/>
        </w:rPr>
      </w:pPr>
      <w:r>
        <w:rPr>
          <w:rFonts w:hint="eastAsia" w:ascii="宋体" w:hAnsi="宋体"/>
          <w:b/>
          <w:bCs/>
          <w:sz w:val="24"/>
          <w:highlight w:val="white"/>
        </w:rPr>
        <w:t>承包人实施方案</w:t>
      </w:r>
      <w:r>
        <w:rPr>
          <w:rFonts w:hint="eastAsia" w:ascii="宋体" w:hAnsi="宋体" w:cs="宋体"/>
          <w:b/>
          <w:sz w:val="24"/>
          <w:highlight w:val="white"/>
        </w:rPr>
        <w:t>评审记录表</w:t>
      </w:r>
    </w:p>
    <w:p w14:paraId="3E634A31">
      <w:pPr>
        <w:spacing w:line="360" w:lineRule="auto"/>
        <w:jc w:val="center"/>
        <w:rPr>
          <w:rFonts w:hint="eastAsia" w:ascii="宋体" w:hAnsi="宋体" w:cs="宋体"/>
          <w:b/>
          <w:sz w:val="24"/>
        </w:rPr>
      </w:pPr>
    </w:p>
    <w:p w14:paraId="14AAD773">
      <w:pPr>
        <w:spacing w:line="360" w:lineRule="auto"/>
        <w:rPr>
          <w:rFonts w:hint="eastAsia"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4"/>
        <w:gridCol w:w="2668"/>
        <w:gridCol w:w="875"/>
        <w:gridCol w:w="691"/>
        <w:gridCol w:w="691"/>
        <w:gridCol w:w="691"/>
        <w:gridCol w:w="691"/>
        <w:gridCol w:w="691"/>
        <w:gridCol w:w="691"/>
        <w:gridCol w:w="691"/>
        <w:gridCol w:w="688"/>
      </w:tblGrid>
      <w:tr w14:paraId="5FE4F0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vMerge w:val="restart"/>
            <w:noWrap w:val="0"/>
            <w:vAlign w:val="center"/>
          </w:tcPr>
          <w:p w14:paraId="446C8823">
            <w:pPr>
              <w:spacing w:line="360" w:lineRule="auto"/>
              <w:jc w:val="center"/>
              <w:rPr>
                <w:rFonts w:hint="eastAsia" w:ascii="宋体" w:hAnsi="宋体" w:cs="宋体"/>
                <w:sz w:val="24"/>
              </w:rPr>
            </w:pPr>
            <w:r>
              <w:rPr>
                <w:rFonts w:hint="eastAsia" w:ascii="宋体" w:hAnsi="宋体" w:cs="宋体"/>
                <w:sz w:val="24"/>
                <w:highlight w:val="white"/>
              </w:rPr>
              <w:t>序号</w:t>
            </w:r>
          </w:p>
        </w:tc>
        <w:tc>
          <w:tcPr>
            <w:tcW w:w="2668" w:type="dxa"/>
            <w:vMerge w:val="restart"/>
            <w:noWrap w:val="0"/>
            <w:vAlign w:val="center"/>
          </w:tcPr>
          <w:p w14:paraId="1685BB0E">
            <w:pPr>
              <w:spacing w:line="360" w:lineRule="auto"/>
              <w:jc w:val="center"/>
              <w:rPr>
                <w:rFonts w:hint="eastAsia" w:ascii="宋体" w:hAnsi="宋体" w:cs="宋体"/>
                <w:sz w:val="24"/>
              </w:rPr>
            </w:pPr>
            <w:r>
              <w:rPr>
                <w:rFonts w:hint="eastAsia" w:ascii="宋体" w:hAnsi="宋体" w:cs="宋体"/>
                <w:sz w:val="24"/>
                <w:highlight w:val="white"/>
              </w:rPr>
              <w:t>评分因素</w:t>
            </w:r>
          </w:p>
        </w:tc>
        <w:tc>
          <w:tcPr>
            <w:tcW w:w="875" w:type="dxa"/>
            <w:vMerge w:val="restart"/>
            <w:noWrap w:val="0"/>
            <w:vAlign w:val="center"/>
          </w:tcPr>
          <w:p w14:paraId="5B75D427">
            <w:pPr>
              <w:spacing w:line="360" w:lineRule="auto"/>
              <w:jc w:val="center"/>
              <w:rPr>
                <w:rFonts w:hint="eastAsia" w:ascii="宋体" w:hAnsi="宋体" w:cs="宋体"/>
                <w:sz w:val="24"/>
              </w:rPr>
            </w:pPr>
            <w:r>
              <w:rPr>
                <w:rFonts w:hint="eastAsia" w:ascii="宋体" w:hAnsi="宋体" w:cs="宋体"/>
                <w:sz w:val="24"/>
                <w:highlight w:val="white"/>
              </w:rPr>
              <w:t>分值</w:t>
            </w:r>
          </w:p>
        </w:tc>
        <w:tc>
          <w:tcPr>
            <w:tcW w:w="5525" w:type="dxa"/>
            <w:gridSpan w:val="8"/>
            <w:noWrap w:val="0"/>
            <w:vAlign w:val="center"/>
          </w:tcPr>
          <w:p w14:paraId="41CC23C5">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58FF6F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vMerge w:val="continue"/>
            <w:noWrap w:val="0"/>
            <w:vAlign w:val="center"/>
          </w:tcPr>
          <w:p w14:paraId="0A06897A">
            <w:pPr>
              <w:spacing w:line="360" w:lineRule="auto"/>
              <w:rPr>
                <w:rFonts w:hint="eastAsia" w:ascii="宋体" w:hAnsi="宋体" w:cs="宋体"/>
                <w:sz w:val="24"/>
              </w:rPr>
            </w:pPr>
          </w:p>
        </w:tc>
        <w:tc>
          <w:tcPr>
            <w:tcW w:w="2668" w:type="dxa"/>
            <w:vMerge w:val="continue"/>
            <w:noWrap w:val="0"/>
            <w:vAlign w:val="center"/>
          </w:tcPr>
          <w:p w14:paraId="131CF818">
            <w:pPr>
              <w:spacing w:line="360" w:lineRule="auto"/>
              <w:rPr>
                <w:rFonts w:hint="eastAsia" w:ascii="宋体" w:hAnsi="宋体" w:cs="宋体"/>
                <w:sz w:val="24"/>
              </w:rPr>
            </w:pPr>
          </w:p>
        </w:tc>
        <w:tc>
          <w:tcPr>
            <w:tcW w:w="875" w:type="dxa"/>
            <w:vMerge w:val="continue"/>
            <w:noWrap w:val="0"/>
            <w:vAlign w:val="center"/>
          </w:tcPr>
          <w:p w14:paraId="064828B6">
            <w:pPr>
              <w:spacing w:line="360" w:lineRule="auto"/>
              <w:rPr>
                <w:rFonts w:hint="eastAsia" w:ascii="宋体" w:hAnsi="宋体" w:cs="宋体"/>
                <w:sz w:val="24"/>
              </w:rPr>
            </w:pPr>
          </w:p>
        </w:tc>
        <w:tc>
          <w:tcPr>
            <w:tcW w:w="691" w:type="dxa"/>
            <w:noWrap w:val="0"/>
            <w:vAlign w:val="center"/>
          </w:tcPr>
          <w:p w14:paraId="785B4AD4">
            <w:pPr>
              <w:spacing w:line="360" w:lineRule="auto"/>
              <w:jc w:val="center"/>
              <w:rPr>
                <w:rFonts w:hint="eastAsia" w:ascii="宋体" w:hAnsi="宋体" w:cs="宋体"/>
                <w:sz w:val="24"/>
              </w:rPr>
            </w:pPr>
          </w:p>
        </w:tc>
        <w:tc>
          <w:tcPr>
            <w:tcW w:w="691" w:type="dxa"/>
            <w:noWrap w:val="0"/>
            <w:vAlign w:val="center"/>
          </w:tcPr>
          <w:p w14:paraId="44B9D37A">
            <w:pPr>
              <w:spacing w:line="360" w:lineRule="auto"/>
              <w:jc w:val="center"/>
              <w:rPr>
                <w:rFonts w:hint="eastAsia" w:ascii="宋体" w:hAnsi="宋体" w:cs="宋体"/>
                <w:sz w:val="24"/>
              </w:rPr>
            </w:pPr>
          </w:p>
        </w:tc>
        <w:tc>
          <w:tcPr>
            <w:tcW w:w="691" w:type="dxa"/>
            <w:noWrap w:val="0"/>
            <w:vAlign w:val="center"/>
          </w:tcPr>
          <w:p w14:paraId="4A7ADB44">
            <w:pPr>
              <w:spacing w:line="360" w:lineRule="auto"/>
              <w:jc w:val="center"/>
              <w:rPr>
                <w:rFonts w:hint="eastAsia" w:ascii="宋体" w:hAnsi="宋体" w:cs="宋体"/>
                <w:sz w:val="24"/>
              </w:rPr>
            </w:pPr>
          </w:p>
        </w:tc>
        <w:tc>
          <w:tcPr>
            <w:tcW w:w="691" w:type="dxa"/>
            <w:noWrap w:val="0"/>
            <w:vAlign w:val="center"/>
          </w:tcPr>
          <w:p w14:paraId="7735A4DF">
            <w:pPr>
              <w:spacing w:line="360" w:lineRule="auto"/>
              <w:jc w:val="center"/>
              <w:rPr>
                <w:rFonts w:hint="eastAsia" w:ascii="宋体" w:hAnsi="宋体" w:cs="宋体"/>
                <w:sz w:val="24"/>
              </w:rPr>
            </w:pPr>
          </w:p>
        </w:tc>
        <w:tc>
          <w:tcPr>
            <w:tcW w:w="691" w:type="dxa"/>
            <w:noWrap w:val="0"/>
            <w:vAlign w:val="center"/>
          </w:tcPr>
          <w:p w14:paraId="29F3AB76">
            <w:pPr>
              <w:spacing w:line="360" w:lineRule="auto"/>
              <w:jc w:val="center"/>
              <w:rPr>
                <w:rFonts w:hint="eastAsia" w:ascii="宋体" w:hAnsi="宋体" w:cs="宋体"/>
                <w:sz w:val="24"/>
              </w:rPr>
            </w:pPr>
          </w:p>
        </w:tc>
        <w:tc>
          <w:tcPr>
            <w:tcW w:w="691" w:type="dxa"/>
            <w:noWrap w:val="0"/>
            <w:vAlign w:val="center"/>
          </w:tcPr>
          <w:p w14:paraId="4D3DB68F">
            <w:pPr>
              <w:spacing w:line="360" w:lineRule="auto"/>
              <w:jc w:val="center"/>
              <w:rPr>
                <w:rFonts w:hint="eastAsia" w:ascii="宋体" w:hAnsi="宋体" w:cs="宋体"/>
                <w:sz w:val="24"/>
              </w:rPr>
            </w:pPr>
          </w:p>
        </w:tc>
        <w:tc>
          <w:tcPr>
            <w:tcW w:w="691" w:type="dxa"/>
            <w:noWrap w:val="0"/>
            <w:vAlign w:val="center"/>
          </w:tcPr>
          <w:p w14:paraId="7BB2480B">
            <w:pPr>
              <w:spacing w:line="360" w:lineRule="auto"/>
              <w:jc w:val="center"/>
              <w:rPr>
                <w:rFonts w:hint="eastAsia" w:ascii="宋体" w:hAnsi="宋体" w:cs="宋体"/>
                <w:sz w:val="24"/>
              </w:rPr>
            </w:pPr>
          </w:p>
        </w:tc>
        <w:tc>
          <w:tcPr>
            <w:tcW w:w="688" w:type="dxa"/>
            <w:noWrap w:val="0"/>
            <w:vAlign w:val="center"/>
          </w:tcPr>
          <w:p w14:paraId="3BEAA6B7">
            <w:pPr>
              <w:spacing w:line="360" w:lineRule="auto"/>
              <w:jc w:val="center"/>
              <w:rPr>
                <w:rFonts w:hint="eastAsia" w:ascii="宋体" w:hAnsi="宋体" w:cs="宋体"/>
                <w:sz w:val="24"/>
              </w:rPr>
            </w:pPr>
          </w:p>
        </w:tc>
      </w:tr>
      <w:tr w14:paraId="37057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noWrap w:val="0"/>
            <w:vAlign w:val="center"/>
          </w:tcPr>
          <w:p w14:paraId="5F45A525">
            <w:pPr>
              <w:spacing w:line="360" w:lineRule="auto"/>
              <w:jc w:val="center"/>
              <w:rPr>
                <w:rFonts w:hint="eastAsia" w:ascii="宋体" w:hAnsi="宋体" w:cs="宋体"/>
                <w:sz w:val="24"/>
              </w:rPr>
            </w:pPr>
            <w:r>
              <w:rPr>
                <w:rFonts w:hint="eastAsia" w:ascii="宋体" w:hAnsi="宋体" w:cs="宋体"/>
                <w:sz w:val="24"/>
                <w:highlight w:val="white"/>
              </w:rPr>
              <w:t>1</w:t>
            </w:r>
          </w:p>
        </w:tc>
        <w:tc>
          <w:tcPr>
            <w:tcW w:w="2668" w:type="dxa"/>
            <w:noWrap w:val="0"/>
            <w:vAlign w:val="center"/>
          </w:tcPr>
          <w:p w14:paraId="66081F18">
            <w:pPr>
              <w:spacing w:line="360" w:lineRule="auto"/>
              <w:jc w:val="center"/>
              <w:rPr>
                <w:rFonts w:hint="eastAsia" w:ascii="宋体" w:hAnsi="宋体"/>
                <w:sz w:val="24"/>
              </w:rPr>
            </w:pPr>
            <w:r>
              <w:rPr>
                <w:rFonts w:hint="eastAsia" w:ascii="宋体" w:hAnsi="宋体" w:cs="宋体"/>
                <w:sz w:val="24"/>
                <w:highlight w:val="white"/>
              </w:rPr>
              <w:t>……</w:t>
            </w:r>
          </w:p>
        </w:tc>
        <w:tc>
          <w:tcPr>
            <w:tcW w:w="875" w:type="dxa"/>
            <w:noWrap w:val="0"/>
            <w:vAlign w:val="center"/>
          </w:tcPr>
          <w:p w14:paraId="2D26AF07">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2C3D5671">
            <w:pPr>
              <w:spacing w:line="360" w:lineRule="auto"/>
              <w:jc w:val="center"/>
              <w:rPr>
                <w:rFonts w:hint="eastAsia" w:ascii="宋体" w:hAnsi="宋体" w:cs="宋体"/>
                <w:sz w:val="24"/>
              </w:rPr>
            </w:pPr>
          </w:p>
        </w:tc>
        <w:tc>
          <w:tcPr>
            <w:tcW w:w="691" w:type="dxa"/>
            <w:noWrap w:val="0"/>
            <w:vAlign w:val="center"/>
          </w:tcPr>
          <w:p w14:paraId="4DECC921">
            <w:pPr>
              <w:spacing w:line="360" w:lineRule="auto"/>
              <w:jc w:val="center"/>
              <w:rPr>
                <w:rFonts w:hint="eastAsia" w:ascii="宋体" w:hAnsi="宋体" w:cs="宋体"/>
                <w:sz w:val="24"/>
              </w:rPr>
            </w:pPr>
          </w:p>
        </w:tc>
        <w:tc>
          <w:tcPr>
            <w:tcW w:w="691" w:type="dxa"/>
            <w:noWrap w:val="0"/>
            <w:vAlign w:val="center"/>
          </w:tcPr>
          <w:p w14:paraId="726364B8">
            <w:pPr>
              <w:spacing w:line="360" w:lineRule="auto"/>
              <w:jc w:val="center"/>
              <w:rPr>
                <w:rFonts w:hint="eastAsia" w:ascii="宋体" w:hAnsi="宋体" w:cs="宋体"/>
                <w:sz w:val="24"/>
              </w:rPr>
            </w:pPr>
          </w:p>
        </w:tc>
        <w:tc>
          <w:tcPr>
            <w:tcW w:w="691" w:type="dxa"/>
            <w:noWrap w:val="0"/>
            <w:vAlign w:val="center"/>
          </w:tcPr>
          <w:p w14:paraId="4AC36E6B">
            <w:pPr>
              <w:spacing w:line="360" w:lineRule="auto"/>
              <w:jc w:val="center"/>
              <w:rPr>
                <w:rFonts w:hint="eastAsia" w:ascii="宋体" w:hAnsi="宋体" w:cs="宋体"/>
                <w:sz w:val="24"/>
              </w:rPr>
            </w:pPr>
          </w:p>
        </w:tc>
        <w:tc>
          <w:tcPr>
            <w:tcW w:w="691" w:type="dxa"/>
            <w:noWrap w:val="0"/>
            <w:vAlign w:val="center"/>
          </w:tcPr>
          <w:p w14:paraId="722EC476">
            <w:pPr>
              <w:spacing w:line="360" w:lineRule="auto"/>
              <w:jc w:val="center"/>
              <w:rPr>
                <w:rFonts w:hint="eastAsia" w:ascii="宋体" w:hAnsi="宋体" w:cs="宋体"/>
                <w:sz w:val="24"/>
              </w:rPr>
            </w:pPr>
          </w:p>
        </w:tc>
        <w:tc>
          <w:tcPr>
            <w:tcW w:w="691" w:type="dxa"/>
            <w:noWrap w:val="0"/>
            <w:vAlign w:val="center"/>
          </w:tcPr>
          <w:p w14:paraId="74C0B8A2">
            <w:pPr>
              <w:spacing w:line="360" w:lineRule="auto"/>
              <w:jc w:val="center"/>
              <w:rPr>
                <w:rFonts w:hint="eastAsia" w:ascii="宋体" w:hAnsi="宋体" w:cs="宋体"/>
                <w:sz w:val="24"/>
              </w:rPr>
            </w:pPr>
          </w:p>
        </w:tc>
        <w:tc>
          <w:tcPr>
            <w:tcW w:w="691" w:type="dxa"/>
            <w:noWrap w:val="0"/>
            <w:vAlign w:val="center"/>
          </w:tcPr>
          <w:p w14:paraId="270BB1B4">
            <w:pPr>
              <w:spacing w:line="360" w:lineRule="auto"/>
              <w:jc w:val="center"/>
              <w:rPr>
                <w:rFonts w:hint="eastAsia" w:ascii="宋体" w:hAnsi="宋体" w:cs="宋体"/>
                <w:sz w:val="24"/>
              </w:rPr>
            </w:pPr>
          </w:p>
        </w:tc>
        <w:tc>
          <w:tcPr>
            <w:tcW w:w="688" w:type="dxa"/>
            <w:noWrap w:val="0"/>
            <w:vAlign w:val="center"/>
          </w:tcPr>
          <w:p w14:paraId="43838732">
            <w:pPr>
              <w:spacing w:line="360" w:lineRule="auto"/>
              <w:jc w:val="center"/>
              <w:rPr>
                <w:rFonts w:hint="eastAsia" w:ascii="宋体" w:hAnsi="宋体" w:cs="宋体"/>
                <w:sz w:val="24"/>
              </w:rPr>
            </w:pPr>
          </w:p>
        </w:tc>
      </w:tr>
      <w:tr w14:paraId="7EBDB1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noWrap w:val="0"/>
            <w:vAlign w:val="center"/>
          </w:tcPr>
          <w:p w14:paraId="0C25891D">
            <w:pPr>
              <w:spacing w:line="360" w:lineRule="auto"/>
              <w:jc w:val="center"/>
              <w:rPr>
                <w:rFonts w:hint="eastAsia" w:ascii="宋体" w:hAnsi="宋体" w:cs="宋体"/>
                <w:sz w:val="24"/>
              </w:rPr>
            </w:pPr>
            <w:r>
              <w:rPr>
                <w:rFonts w:hint="eastAsia" w:ascii="宋体" w:hAnsi="宋体" w:cs="宋体"/>
                <w:sz w:val="24"/>
                <w:highlight w:val="white"/>
              </w:rPr>
              <w:t>2</w:t>
            </w:r>
          </w:p>
        </w:tc>
        <w:tc>
          <w:tcPr>
            <w:tcW w:w="2668" w:type="dxa"/>
            <w:noWrap w:val="0"/>
            <w:vAlign w:val="center"/>
          </w:tcPr>
          <w:p w14:paraId="1172D000">
            <w:pPr>
              <w:spacing w:line="360" w:lineRule="auto"/>
              <w:jc w:val="center"/>
              <w:rPr>
                <w:rFonts w:hint="eastAsia" w:ascii="宋体" w:hAnsi="宋体"/>
                <w:sz w:val="24"/>
              </w:rPr>
            </w:pPr>
            <w:r>
              <w:rPr>
                <w:rFonts w:hint="eastAsia" w:ascii="宋体" w:hAnsi="宋体" w:cs="宋体"/>
                <w:sz w:val="24"/>
                <w:highlight w:val="white"/>
              </w:rPr>
              <w:t>……</w:t>
            </w:r>
          </w:p>
        </w:tc>
        <w:tc>
          <w:tcPr>
            <w:tcW w:w="875" w:type="dxa"/>
            <w:noWrap w:val="0"/>
            <w:vAlign w:val="center"/>
          </w:tcPr>
          <w:p w14:paraId="0C89FDE0">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5DBB4ED7">
            <w:pPr>
              <w:spacing w:line="360" w:lineRule="auto"/>
              <w:jc w:val="center"/>
              <w:rPr>
                <w:rFonts w:hint="eastAsia" w:ascii="宋体" w:hAnsi="宋体" w:cs="宋体"/>
                <w:sz w:val="24"/>
              </w:rPr>
            </w:pPr>
          </w:p>
        </w:tc>
        <w:tc>
          <w:tcPr>
            <w:tcW w:w="691" w:type="dxa"/>
            <w:noWrap w:val="0"/>
            <w:vAlign w:val="center"/>
          </w:tcPr>
          <w:p w14:paraId="7A08E6CC">
            <w:pPr>
              <w:spacing w:line="360" w:lineRule="auto"/>
              <w:jc w:val="center"/>
              <w:rPr>
                <w:rFonts w:hint="eastAsia" w:ascii="宋体" w:hAnsi="宋体" w:cs="宋体"/>
                <w:sz w:val="24"/>
              </w:rPr>
            </w:pPr>
          </w:p>
        </w:tc>
        <w:tc>
          <w:tcPr>
            <w:tcW w:w="691" w:type="dxa"/>
            <w:noWrap w:val="0"/>
            <w:vAlign w:val="center"/>
          </w:tcPr>
          <w:p w14:paraId="3A9CA8D0">
            <w:pPr>
              <w:spacing w:line="360" w:lineRule="auto"/>
              <w:jc w:val="center"/>
              <w:rPr>
                <w:rFonts w:hint="eastAsia" w:ascii="宋体" w:hAnsi="宋体" w:cs="宋体"/>
                <w:sz w:val="24"/>
              </w:rPr>
            </w:pPr>
          </w:p>
        </w:tc>
        <w:tc>
          <w:tcPr>
            <w:tcW w:w="691" w:type="dxa"/>
            <w:noWrap w:val="0"/>
            <w:vAlign w:val="center"/>
          </w:tcPr>
          <w:p w14:paraId="6EEBBAEC">
            <w:pPr>
              <w:spacing w:line="360" w:lineRule="auto"/>
              <w:jc w:val="center"/>
              <w:rPr>
                <w:rFonts w:hint="eastAsia" w:ascii="宋体" w:hAnsi="宋体" w:cs="宋体"/>
                <w:sz w:val="24"/>
              </w:rPr>
            </w:pPr>
          </w:p>
        </w:tc>
        <w:tc>
          <w:tcPr>
            <w:tcW w:w="691" w:type="dxa"/>
            <w:noWrap w:val="0"/>
            <w:vAlign w:val="center"/>
          </w:tcPr>
          <w:p w14:paraId="626F29EB">
            <w:pPr>
              <w:spacing w:line="360" w:lineRule="auto"/>
              <w:jc w:val="center"/>
              <w:rPr>
                <w:rFonts w:hint="eastAsia" w:ascii="宋体" w:hAnsi="宋体" w:cs="宋体"/>
                <w:sz w:val="24"/>
              </w:rPr>
            </w:pPr>
          </w:p>
        </w:tc>
        <w:tc>
          <w:tcPr>
            <w:tcW w:w="691" w:type="dxa"/>
            <w:noWrap w:val="0"/>
            <w:vAlign w:val="center"/>
          </w:tcPr>
          <w:p w14:paraId="59E16509">
            <w:pPr>
              <w:spacing w:line="360" w:lineRule="auto"/>
              <w:jc w:val="center"/>
              <w:rPr>
                <w:rFonts w:hint="eastAsia" w:ascii="宋体" w:hAnsi="宋体" w:cs="宋体"/>
                <w:sz w:val="24"/>
              </w:rPr>
            </w:pPr>
          </w:p>
        </w:tc>
        <w:tc>
          <w:tcPr>
            <w:tcW w:w="691" w:type="dxa"/>
            <w:noWrap w:val="0"/>
            <w:vAlign w:val="center"/>
          </w:tcPr>
          <w:p w14:paraId="44E89638">
            <w:pPr>
              <w:spacing w:line="360" w:lineRule="auto"/>
              <w:jc w:val="center"/>
              <w:rPr>
                <w:rFonts w:hint="eastAsia" w:ascii="宋体" w:hAnsi="宋体" w:cs="宋体"/>
                <w:sz w:val="24"/>
              </w:rPr>
            </w:pPr>
          </w:p>
        </w:tc>
        <w:tc>
          <w:tcPr>
            <w:tcW w:w="688" w:type="dxa"/>
            <w:noWrap w:val="0"/>
            <w:vAlign w:val="center"/>
          </w:tcPr>
          <w:p w14:paraId="3D53FCBB">
            <w:pPr>
              <w:spacing w:line="360" w:lineRule="auto"/>
              <w:jc w:val="center"/>
              <w:rPr>
                <w:rFonts w:hint="eastAsia" w:ascii="宋体" w:hAnsi="宋体" w:cs="宋体"/>
                <w:sz w:val="24"/>
              </w:rPr>
            </w:pPr>
          </w:p>
        </w:tc>
      </w:tr>
      <w:tr w14:paraId="55999D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480" w:hRule="atLeast"/>
          <w:jc w:val="center"/>
        </w:trPr>
        <w:tc>
          <w:tcPr>
            <w:tcW w:w="614" w:type="dxa"/>
            <w:noWrap w:val="0"/>
            <w:vAlign w:val="center"/>
          </w:tcPr>
          <w:p w14:paraId="5CA66A53">
            <w:pPr>
              <w:spacing w:line="360" w:lineRule="auto"/>
              <w:jc w:val="center"/>
              <w:rPr>
                <w:rFonts w:hint="eastAsia" w:ascii="宋体" w:hAnsi="宋体" w:cs="宋体"/>
                <w:sz w:val="24"/>
              </w:rPr>
            </w:pPr>
            <w:r>
              <w:rPr>
                <w:rFonts w:hint="eastAsia" w:ascii="宋体" w:hAnsi="宋体" w:cs="宋体"/>
                <w:sz w:val="24"/>
                <w:highlight w:val="white"/>
              </w:rPr>
              <w:t>3</w:t>
            </w:r>
          </w:p>
        </w:tc>
        <w:tc>
          <w:tcPr>
            <w:tcW w:w="2668" w:type="dxa"/>
            <w:noWrap w:val="0"/>
            <w:vAlign w:val="center"/>
          </w:tcPr>
          <w:p w14:paraId="4E8E482A">
            <w:pPr>
              <w:spacing w:line="360" w:lineRule="auto"/>
              <w:jc w:val="center"/>
              <w:rPr>
                <w:rFonts w:hint="eastAsia" w:ascii="宋体" w:hAnsi="宋体"/>
                <w:sz w:val="24"/>
              </w:rPr>
            </w:pPr>
            <w:r>
              <w:rPr>
                <w:rFonts w:hint="eastAsia" w:ascii="宋体" w:hAnsi="宋体" w:cs="宋体"/>
                <w:sz w:val="24"/>
                <w:highlight w:val="white"/>
              </w:rPr>
              <w:t>……</w:t>
            </w:r>
          </w:p>
        </w:tc>
        <w:tc>
          <w:tcPr>
            <w:tcW w:w="875" w:type="dxa"/>
            <w:noWrap w:val="0"/>
            <w:vAlign w:val="center"/>
          </w:tcPr>
          <w:p w14:paraId="63564B3C">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5622F7BB">
            <w:pPr>
              <w:spacing w:line="360" w:lineRule="auto"/>
              <w:jc w:val="center"/>
              <w:rPr>
                <w:rFonts w:hint="eastAsia" w:ascii="宋体" w:hAnsi="宋体" w:cs="宋体"/>
                <w:sz w:val="24"/>
              </w:rPr>
            </w:pPr>
          </w:p>
        </w:tc>
        <w:tc>
          <w:tcPr>
            <w:tcW w:w="691" w:type="dxa"/>
            <w:noWrap w:val="0"/>
            <w:vAlign w:val="center"/>
          </w:tcPr>
          <w:p w14:paraId="0C540FAD">
            <w:pPr>
              <w:spacing w:line="360" w:lineRule="auto"/>
              <w:jc w:val="center"/>
              <w:rPr>
                <w:rFonts w:hint="eastAsia" w:ascii="宋体" w:hAnsi="宋体" w:cs="宋体"/>
                <w:sz w:val="24"/>
              </w:rPr>
            </w:pPr>
          </w:p>
        </w:tc>
        <w:tc>
          <w:tcPr>
            <w:tcW w:w="691" w:type="dxa"/>
            <w:noWrap w:val="0"/>
            <w:vAlign w:val="center"/>
          </w:tcPr>
          <w:p w14:paraId="689F5F4C">
            <w:pPr>
              <w:spacing w:line="360" w:lineRule="auto"/>
              <w:jc w:val="center"/>
              <w:rPr>
                <w:rFonts w:hint="eastAsia" w:ascii="宋体" w:hAnsi="宋体" w:cs="宋体"/>
                <w:sz w:val="24"/>
              </w:rPr>
            </w:pPr>
          </w:p>
        </w:tc>
        <w:tc>
          <w:tcPr>
            <w:tcW w:w="691" w:type="dxa"/>
            <w:noWrap w:val="0"/>
            <w:vAlign w:val="center"/>
          </w:tcPr>
          <w:p w14:paraId="4CA87842">
            <w:pPr>
              <w:spacing w:line="360" w:lineRule="auto"/>
              <w:jc w:val="center"/>
              <w:rPr>
                <w:rFonts w:hint="eastAsia" w:ascii="宋体" w:hAnsi="宋体" w:cs="宋体"/>
                <w:sz w:val="24"/>
              </w:rPr>
            </w:pPr>
          </w:p>
        </w:tc>
        <w:tc>
          <w:tcPr>
            <w:tcW w:w="691" w:type="dxa"/>
            <w:noWrap w:val="0"/>
            <w:vAlign w:val="center"/>
          </w:tcPr>
          <w:p w14:paraId="721F20FC">
            <w:pPr>
              <w:spacing w:line="360" w:lineRule="auto"/>
              <w:jc w:val="center"/>
              <w:rPr>
                <w:rFonts w:hint="eastAsia" w:ascii="宋体" w:hAnsi="宋体" w:cs="宋体"/>
                <w:sz w:val="24"/>
              </w:rPr>
            </w:pPr>
          </w:p>
        </w:tc>
        <w:tc>
          <w:tcPr>
            <w:tcW w:w="691" w:type="dxa"/>
            <w:noWrap w:val="0"/>
            <w:vAlign w:val="center"/>
          </w:tcPr>
          <w:p w14:paraId="2E88F935">
            <w:pPr>
              <w:spacing w:line="360" w:lineRule="auto"/>
              <w:jc w:val="center"/>
              <w:rPr>
                <w:rFonts w:hint="eastAsia" w:ascii="宋体" w:hAnsi="宋体" w:cs="宋体"/>
                <w:sz w:val="24"/>
              </w:rPr>
            </w:pPr>
          </w:p>
        </w:tc>
        <w:tc>
          <w:tcPr>
            <w:tcW w:w="691" w:type="dxa"/>
            <w:noWrap w:val="0"/>
            <w:vAlign w:val="center"/>
          </w:tcPr>
          <w:p w14:paraId="10D22DED">
            <w:pPr>
              <w:spacing w:line="360" w:lineRule="auto"/>
              <w:jc w:val="center"/>
              <w:rPr>
                <w:rFonts w:hint="eastAsia" w:ascii="宋体" w:hAnsi="宋体" w:cs="宋体"/>
                <w:sz w:val="24"/>
              </w:rPr>
            </w:pPr>
          </w:p>
        </w:tc>
        <w:tc>
          <w:tcPr>
            <w:tcW w:w="688" w:type="dxa"/>
            <w:noWrap w:val="0"/>
            <w:vAlign w:val="center"/>
          </w:tcPr>
          <w:p w14:paraId="4DC7D9E2">
            <w:pPr>
              <w:spacing w:line="360" w:lineRule="auto"/>
              <w:jc w:val="center"/>
              <w:rPr>
                <w:rFonts w:hint="eastAsia" w:ascii="宋体" w:hAnsi="宋体" w:cs="宋体"/>
                <w:sz w:val="24"/>
              </w:rPr>
            </w:pPr>
          </w:p>
        </w:tc>
      </w:tr>
      <w:tr w14:paraId="6221C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614" w:type="dxa"/>
            <w:noWrap w:val="0"/>
            <w:vAlign w:val="center"/>
          </w:tcPr>
          <w:p w14:paraId="2D3DEC73">
            <w:pPr>
              <w:spacing w:line="360" w:lineRule="auto"/>
              <w:jc w:val="center"/>
              <w:rPr>
                <w:rFonts w:hint="eastAsia" w:ascii="宋体" w:hAnsi="宋体" w:cs="宋体"/>
                <w:sz w:val="24"/>
              </w:rPr>
            </w:pPr>
            <w:r>
              <w:rPr>
                <w:rFonts w:hint="eastAsia" w:ascii="宋体" w:hAnsi="宋体" w:cs="宋体"/>
                <w:sz w:val="24"/>
                <w:highlight w:val="white"/>
              </w:rPr>
              <w:t>……</w:t>
            </w:r>
          </w:p>
        </w:tc>
        <w:tc>
          <w:tcPr>
            <w:tcW w:w="2668" w:type="dxa"/>
            <w:noWrap w:val="0"/>
            <w:vAlign w:val="center"/>
          </w:tcPr>
          <w:p w14:paraId="481ED14F">
            <w:pPr>
              <w:spacing w:line="360" w:lineRule="auto"/>
              <w:jc w:val="center"/>
              <w:rPr>
                <w:rFonts w:hint="eastAsia" w:ascii="宋体" w:hAnsi="宋体" w:cs="宋体"/>
                <w:sz w:val="24"/>
              </w:rPr>
            </w:pPr>
            <w:r>
              <w:rPr>
                <w:rFonts w:hint="eastAsia" w:ascii="宋体" w:hAnsi="宋体" w:cs="宋体"/>
                <w:sz w:val="24"/>
                <w:highlight w:val="white"/>
              </w:rPr>
              <w:t>……</w:t>
            </w:r>
          </w:p>
        </w:tc>
        <w:tc>
          <w:tcPr>
            <w:tcW w:w="875" w:type="dxa"/>
            <w:noWrap w:val="0"/>
            <w:vAlign w:val="center"/>
          </w:tcPr>
          <w:p w14:paraId="3C68CE7D">
            <w:pPr>
              <w:spacing w:line="360" w:lineRule="auto"/>
              <w:jc w:val="center"/>
              <w:rPr>
                <w:rFonts w:hint="eastAsia" w:ascii="宋体" w:hAnsi="宋体" w:cs="宋体"/>
                <w:sz w:val="24"/>
              </w:rPr>
            </w:pPr>
            <w:r>
              <w:rPr>
                <w:rFonts w:hint="eastAsia" w:ascii="宋体" w:hAnsi="宋体" w:cs="宋体"/>
                <w:sz w:val="24"/>
                <w:highlight w:val="white"/>
              </w:rPr>
              <w:t>……</w:t>
            </w:r>
          </w:p>
        </w:tc>
        <w:tc>
          <w:tcPr>
            <w:tcW w:w="691" w:type="dxa"/>
            <w:noWrap w:val="0"/>
            <w:vAlign w:val="center"/>
          </w:tcPr>
          <w:p w14:paraId="75D93AF4">
            <w:pPr>
              <w:spacing w:line="360" w:lineRule="auto"/>
              <w:jc w:val="center"/>
              <w:rPr>
                <w:rFonts w:hint="eastAsia" w:ascii="宋体" w:hAnsi="宋体" w:cs="宋体"/>
                <w:sz w:val="24"/>
              </w:rPr>
            </w:pPr>
          </w:p>
        </w:tc>
        <w:tc>
          <w:tcPr>
            <w:tcW w:w="691" w:type="dxa"/>
            <w:noWrap w:val="0"/>
            <w:vAlign w:val="center"/>
          </w:tcPr>
          <w:p w14:paraId="1E4540B3">
            <w:pPr>
              <w:spacing w:line="360" w:lineRule="auto"/>
              <w:jc w:val="center"/>
              <w:rPr>
                <w:rFonts w:hint="eastAsia" w:ascii="宋体" w:hAnsi="宋体" w:cs="宋体"/>
                <w:sz w:val="24"/>
              </w:rPr>
            </w:pPr>
          </w:p>
        </w:tc>
        <w:tc>
          <w:tcPr>
            <w:tcW w:w="691" w:type="dxa"/>
            <w:noWrap w:val="0"/>
            <w:vAlign w:val="center"/>
          </w:tcPr>
          <w:p w14:paraId="0B203428">
            <w:pPr>
              <w:spacing w:line="360" w:lineRule="auto"/>
              <w:jc w:val="center"/>
              <w:rPr>
                <w:rFonts w:hint="eastAsia" w:ascii="宋体" w:hAnsi="宋体" w:cs="宋体"/>
                <w:sz w:val="24"/>
              </w:rPr>
            </w:pPr>
          </w:p>
        </w:tc>
        <w:tc>
          <w:tcPr>
            <w:tcW w:w="691" w:type="dxa"/>
            <w:noWrap w:val="0"/>
            <w:vAlign w:val="center"/>
          </w:tcPr>
          <w:p w14:paraId="65A8C9E9">
            <w:pPr>
              <w:spacing w:line="360" w:lineRule="auto"/>
              <w:jc w:val="center"/>
              <w:rPr>
                <w:rFonts w:hint="eastAsia" w:ascii="宋体" w:hAnsi="宋体" w:cs="宋体"/>
                <w:sz w:val="24"/>
              </w:rPr>
            </w:pPr>
          </w:p>
        </w:tc>
        <w:tc>
          <w:tcPr>
            <w:tcW w:w="691" w:type="dxa"/>
            <w:noWrap w:val="0"/>
            <w:vAlign w:val="center"/>
          </w:tcPr>
          <w:p w14:paraId="0293FF82">
            <w:pPr>
              <w:spacing w:line="360" w:lineRule="auto"/>
              <w:jc w:val="center"/>
              <w:rPr>
                <w:rFonts w:hint="eastAsia" w:ascii="宋体" w:hAnsi="宋体" w:cs="宋体"/>
                <w:sz w:val="24"/>
              </w:rPr>
            </w:pPr>
          </w:p>
        </w:tc>
        <w:tc>
          <w:tcPr>
            <w:tcW w:w="691" w:type="dxa"/>
            <w:noWrap w:val="0"/>
            <w:vAlign w:val="center"/>
          </w:tcPr>
          <w:p w14:paraId="6EC6D596">
            <w:pPr>
              <w:spacing w:line="360" w:lineRule="auto"/>
              <w:jc w:val="center"/>
              <w:rPr>
                <w:rFonts w:hint="eastAsia" w:ascii="宋体" w:hAnsi="宋体" w:cs="宋体"/>
                <w:sz w:val="24"/>
              </w:rPr>
            </w:pPr>
          </w:p>
        </w:tc>
        <w:tc>
          <w:tcPr>
            <w:tcW w:w="691" w:type="dxa"/>
            <w:noWrap w:val="0"/>
            <w:vAlign w:val="center"/>
          </w:tcPr>
          <w:p w14:paraId="514B5638">
            <w:pPr>
              <w:spacing w:line="360" w:lineRule="auto"/>
              <w:jc w:val="center"/>
              <w:rPr>
                <w:rFonts w:hint="eastAsia" w:ascii="宋体" w:hAnsi="宋体" w:cs="宋体"/>
                <w:sz w:val="24"/>
              </w:rPr>
            </w:pPr>
          </w:p>
        </w:tc>
        <w:tc>
          <w:tcPr>
            <w:tcW w:w="688" w:type="dxa"/>
            <w:noWrap w:val="0"/>
            <w:vAlign w:val="center"/>
          </w:tcPr>
          <w:p w14:paraId="7DD51292">
            <w:pPr>
              <w:spacing w:line="360" w:lineRule="auto"/>
              <w:jc w:val="center"/>
              <w:rPr>
                <w:rFonts w:hint="eastAsia" w:ascii="宋体" w:hAnsi="宋体" w:cs="宋体"/>
                <w:sz w:val="24"/>
              </w:rPr>
            </w:pPr>
          </w:p>
        </w:tc>
      </w:tr>
      <w:tr w14:paraId="38CC5E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jc w:val="center"/>
        </w:trPr>
        <w:tc>
          <w:tcPr>
            <w:tcW w:w="3282" w:type="dxa"/>
            <w:gridSpan w:val="2"/>
            <w:noWrap w:val="0"/>
            <w:vAlign w:val="center"/>
          </w:tcPr>
          <w:p w14:paraId="6ADDB316">
            <w:pPr>
              <w:spacing w:line="360" w:lineRule="auto"/>
              <w:jc w:val="center"/>
              <w:rPr>
                <w:rFonts w:hint="eastAsia" w:ascii="宋体" w:hAnsi="宋体" w:cs="宋体"/>
                <w:sz w:val="24"/>
              </w:rPr>
            </w:pPr>
            <w:r>
              <w:rPr>
                <w:rFonts w:hint="eastAsia" w:ascii="宋体" w:hAnsi="宋体" w:cs="宋体"/>
                <w:sz w:val="24"/>
                <w:highlight w:val="white"/>
              </w:rPr>
              <w:t>承包人实施方案</w:t>
            </w:r>
            <w:r>
              <w:rPr>
                <w:rFonts w:hint="eastAsia" w:ascii="宋体" w:hAnsi="宋体" w:cs="宋体"/>
                <w:bCs/>
                <w:sz w:val="24"/>
                <w:highlight w:val="white"/>
              </w:rPr>
              <w:t>得分</w:t>
            </w:r>
            <w:r>
              <w:rPr>
                <w:rFonts w:hint="eastAsia" w:ascii="宋体" w:hAnsi="宋体" w:cs="宋体"/>
                <w:sz w:val="24"/>
                <w:highlight w:val="white"/>
              </w:rPr>
              <w:t>合计C</w:t>
            </w:r>
          </w:p>
        </w:tc>
        <w:tc>
          <w:tcPr>
            <w:tcW w:w="875" w:type="dxa"/>
            <w:noWrap w:val="0"/>
            <w:vAlign w:val="center"/>
          </w:tcPr>
          <w:p w14:paraId="73BD8284">
            <w:pPr>
              <w:spacing w:line="360" w:lineRule="auto"/>
              <w:jc w:val="center"/>
              <w:rPr>
                <w:rFonts w:hint="eastAsia" w:ascii="宋体" w:hAnsi="宋体" w:cs="宋体"/>
                <w:sz w:val="24"/>
              </w:rPr>
            </w:pPr>
          </w:p>
        </w:tc>
        <w:tc>
          <w:tcPr>
            <w:tcW w:w="691" w:type="dxa"/>
            <w:noWrap w:val="0"/>
            <w:vAlign w:val="center"/>
          </w:tcPr>
          <w:p w14:paraId="2E1AD669">
            <w:pPr>
              <w:spacing w:line="360" w:lineRule="auto"/>
              <w:jc w:val="center"/>
              <w:rPr>
                <w:rFonts w:hint="eastAsia" w:ascii="宋体" w:hAnsi="宋体" w:cs="宋体"/>
                <w:sz w:val="24"/>
              </w:rPr>
            </w:pPr>
          </w:p>
        </w:tc>
        <w:tc>
          <w:tcPr>
            <w:tcW w:w="691" w:type="dxa"/>
            <w:noWrap w:val="0"/>
            <w:vAlign w:val="center"/>
          </w:tcPr>
          <w:p w14:paraId="5D899B5C">
            <w:pPr>
              <w:spacing w:line="360" w:lineRule="auto"/>
              <w:jc w:val="center"/>
              <w:rPr>
                <w:rFonts w:hint="eastAsia" w:ascii="宋体" w:hAnsi="宋体" w:cs="宋体"/>
                <w:sz w:val="24"/>
              </w:rPr>
            </w:pPr>
          </w:p>
        </w:tc>
        <w:tc>
          <w:tcPr>
            <w:tcW w:w="691" w:type="dxa"/>
            <w:noWrap w:val="0"/>
            <w:vAlign w:val="center"/>
          </w:tcPr>
          <w:p w14:paraId="440EF59B">
            <w:pPr>
              <w:spacing w:line="360" w:lineRule="auto"/>
              <w:jc w:val="center"/>
              <w:rPr>
                <w:rFonts w:hint="eastAsia" w:ascii="宋体" w:hAnsi="宋体" w:cs="宋体"/>
                <w:sz w:val="24"/>
              </w:rPr>
            </w:pPr>
          </w:p>
        </w:tc>
        <w:tc>
          <w:tcPr>
            <w:tcW w:w="691" w:type="dxa"/>
            <w:noWrap w:val="0"/>
            <w:vAlign w:val="center"/>
          </w:tcPr>
          <w:p w14:paraId="007C5023">
            <w:pPr>
              <w:spacing w:line="360" w:lineRule="auto"/>
              <w:jc w:val="center"/>
              <w:rPr>
                <w:rFonts w:hint="eastAsia" w:ascii="宋体" w:hAnsi="宋体" w:cs="宋体"/>
                <w:sz w:val="24"/>
              </w:rPr>
            </w:pPr>
          </w:p>
        </w:tc>
        <w:tc>
          <w:tcPr>
            <w:tcW w:w="691" w:type="dxa"/>
            <w:noWrap w:val="0"/>
            <w:vAlign w:val="center"/>
          </w:tcPr>
          <w:p w14:paraId="1CCCCDBC">
            <w:pPr>
              <w:spacing w:line="360" w:lineRule="auto"/>
              <w:jc w:val="center"/>
              <w:rPr>
                <w:rFonts w:hint="eastAsia" w:ascii="宋体" w:hAnsi="宋体" w:cs="宋体"/>
                <w:sz w:val="24"/>
              </w:rPr>
            </w:pPr>
          </w:p>
        </w:tc>
        <w:tc>
          <w:tcPr>
            <w:tcW w:w="691" w:type="dxa"/>
            <w:noWrap w:val="0"/>
            <w:vAlign w:val="center"/>
          </w:tcPr>
          <w:p w14:paraId="75ED7138">
            <w:pPr>
              <w:spacing w:line="360" w:lineRule="auto"/>
              <w:jc w:val="center"/>
              <w:rPr>
                <w:rFonts w:hint="eastAsia" w:ascii="宋体" w:hAnsi="宋体" w:cs="宋体"/>
                <w:sz w:val="24"/>
              </w:rPr>
            </w:pPr>
          </w:p>
        </w:tc>
        <w:tc>
          <w:tcPr>
            <w:tcW w:w="691" w:type="dxa"/>
            <w:noWrap w:val="0"/>
            <w:vAlign w:val="center"/>
          </w:tcPr>
          <w:p w14:paraId="462CDF72">
            <w:pPr>
              <w:spacing w:line="360" w:lineRule="auto"/>
              <w:jc w:val="center"/>
              <w:rPr>
                <w:rFonts w:hint="eastAsia" w:ascii="宋体" w:hAnsi="宋体" w:cs="宋体"/>
                <w:sz w:val="24"/>
              </w:rPr>
            </w:pPr>
          </w:p>
        </w:tc>
        <w:tc>
          <w:tcPr>
            <w:tcW w:w="688" w:type="dxa"/>
            <w:noWrap w:val="0"/>
            <w:vAlign w:val="center"/>
          </w:tcPr>
          <w:p w14:paraId="634C6A2C">
            <w:pPr>
              <w:spacing w:line="360" w:lineRule="auto"/>
              <w:jc w:val="center"/>
              <w:rPr>
                <w:rFonts w:hint="eastAsia" w:ascii="宋体" w:hAnsi="宋体" w:cs="宋体"/>
                <w:sz w:val="24"/>
              </w:rPr>
            </w:pPr>
          </w:p>
        </w:tc>
      </w:tr>
    </w:tbl>
    <w:p w14:paraId="61944E6C">
      <w:pPr>
        <w:spacing w:line="360" w:lineRule="auto"/>
        <w:rPr>
          <w:rFonts w:hint="eastAsia" w:ascii="宋体" w:hAnsi="宋体" w:cs="宋体"/>
          <w:sz w:val="24"/>
        </w:rPr>
      </w:pPr>
    </w:p>
    <w:p w14:paraId="4AFBAB0B">
      <w:pPr>
        <w:spacing w:line="360" w:lineRule="auto"/>
        <w:rPr>
          <w:rFonts w:hint="eastAsia" w:ascii="宋体" w:hAnsi="宋体" w:cs="宋体"/>
          <w:sz w:val="24"/>
        </w:rPr>
      </w:pPr>
      <w:r>
        <w:rPr>
          <w:rFonts w:hint="eastAsia" w:ascii="宋体" w:hAnsi="宋体" w:cs="宋体"/>
          <w:sz w:val="24"/>
          <w:highlight w:val="white"/>
        </w:rPr>
        <w:t>评标委员会成员签名：</w:t>
      </w:r>
    </w:p>
    <w:p w14:paraId="43E878D4">
      <w:pPr>
        <w:pStyle w:val="3"/>
        <w:rPr>
          <w:rFonts w:hint="eastAsia" w:ascii="宋体" w:hAnsi="宋体" w:eastAsia="宋体" w:cs="宋体"/>
          <w:sz w:val="24"/>
          <w:szCs w:val="24"/>
        </w:rPr>
      </w:pPr>
      <w:r>
        <w:rPr>
          <w:rFonts w:ascii="宋体" w:hAnsi="宋体" w:eastAsia="宋体" w:cs="宋体"/>
          <w:sz w:val="24"/>
          <w:szCs w:val="24"/>
          <w:highlight w:val="white"/>
        </w:rPr>
        <w:br w:type="page"/>
      </w:r>
      <w:bookmarkStart w:id="221" w:name="_Toc256000092"/>
      <w:r>
        <w:rPr>
          <w:rFonts w:hint="eastAsia" w:ascii="宋体" w:hAnsi="宋体" w:eastAsia="宋体" w:cs="宋体"/>
          <w:sz w:val="24"/>
          <w:szCs w:val="24"/>
          <w:highlight w:val="white"/>
        </w:rPr>
        <w:t>附表9：投标报价评审记录表</w:t>
      </w:r>
      <w:bookmarkEnd w:id="221"/>
    </w:p>
    <w:p w14:paraId="69626774">
      <w:pPr>
        <w:spacing w:line="360" w:lineRule="auto"/>
        <w:jc w:val="center"/>
        <w:rPr>
          <w:rFonts w:hint="eastAsia" w:ascii="宋体" w:hAnsi="宋体" w:cs="宋体"/>
          <w:b/>
          <w:sz w:val="24"/>
        </w:rPr>
      </w:pPr>
      <w:r>
        <w:rPr>
          <w:rFonts w:hint="eastAsia" w:ascii="宋体" w:hAnsi="宋体" w:cs="宋体"/>
          <w:b/>
          <w:sz w:val="24"/>
          <w:highlight w:val="white"/>
        </w:rPr>
        <w:t>投标报价评审记录表</w:t>
      </w:r>
    </w:p>
    <w:p w14:paraId="0DA416A0">
      <w:pPr>
        <w:spacing w:line="360" w:lineRule="auto"/>
        <w:jc w:val="center"/>
        <w:rPr>
          <w:rFonts w:hint="eastAsia" w:ascii="宋体" w:hAnsi="宋体" w:cs="宋体"/>
          <w:b/>
          <w:sz w:val="24"/>
        </w:rPr>
      </w:pPr>
    </w:p>
    <w:p w14:paraId="67F4B957">
      <w:pPr>
        <w:spacing w:line="360" w:lineRule="auto"/>
        <w:rPr>
          <w:rFonts w:hint="eastAsia" w:ascii="宋体" w:hAnsi="宋体" w:cs="宋体"/>
          <w:sz w:val="24"/>
        </w:rPr>
      </w:pPr>
      <w:r>
        <w:rPr>
          <w:rFonts w:hint="eastAsia" w:ascii="宋体" w:hAnsi="宋体" w:cs="宋体"/>
          <w:sz w:val="24"/>
          <w:highlight w:val="white"/>
        </w:rPr>
        <w:t>工程名称：工程名称：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59"/>
        <w:gridCol w:w="2013"/>
        <w:gridCol w:w="837"/>
        <w:gridCol w:w="963"/>
        <w:gridCol w:w="962"/>
        <w:gridCol w:w="913"/>
        <w:gridCol w:w="1000"/>
        <w:gridCol w:w="1237"/>
        <w:gridCol w:w="1034"/>
      </w:tblGrid>
      <w:tr w14:paraId="52E3A6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72" w:type="dxa"/>
            <w:gridSpan w:val="2"/>
            <w:vMerge w:val="restart"/>
            <w:noWrap w:val="0"/>
            <w:vAlign w:val="center"/>
          </w:tcPr>
          <w:p w14:paraId="05A44E54">
            <w:pPr>
              <w:spacing w:line="360" w:lineRule="auto"/>
              <w:jc w:val="center"/>
              <w:rPr>
                <w:rFonts w:hint="eastAsia" w:ascii="宋体" w:hAnsi="宋体" w:cs="宋体"/>
                <w:sz w:val="24"/>
              </w:rPr>
            </w:pPr>
            <w:r>
              <w:rPr>
                <w:rFonts w:hint="eastAsia" w:ascii="宋体" w:hAnsi="宋体" w:cs="宋体"/>
                <w:sz w:val="24"/>
                <w:highlight w:val="white"/>
              </w:rPr>
              <w:t>评分项目</w:t>
            </w:r>
          </w:p>
        </w:tc>
        <w:tc>
          <w:tcPr>
            <w:tcW w:w="837" w:type="dxa"/>
            <w:vMerge w:val="restart"/>
            <w:noWrap w:val="0"/>
            <w:vAlign w:val="center"/>
          </w:tcPr>
          <w:p w14:paraId="317098C3">
            <w:pPr>
              <w:spacing w:line="360" w:lineRule="auto"/>
              <w:ind w:right="-3"/>
              <w:jc w:val="center"/>
              <w:rPr>
                <w:rFonts w:hint="eastAsia" w:ascii="宋体" w:hAnsi="宋体" w:cs="宋体"/>
                <w:sz w:val="24"/>
              </w:rPr>
            </w:pPr>
            <w:r>
              <w:rPr>
                <w:rFonts w:hint="eastAsia" w:ascii="宋体" w:hAnsi="宋体" w:cs="宋体"/>
                <w:sz w:val="24"/>
                <w:highlight w:val="white"/>
              </w:rPr>
              <w:t>分值</w:t>
            </w:r>
          </w:p>
        </w:tc>
        <w:tc>
          <w:tcPr>
            <w:tcW w:w="6109" w:type="dxa"/>
            <w:gridSpan w:val="6"/>
            <w:noWrap w:val="0"/>
            <w:vAlign w:val="center"/>
          </w:tcPr>
          <w:p w14:paraId="2928D33A">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232DD2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72" w:type="dxa"/>
            <w:gridSpan w:val="2"/>
            <w:vMerge w:val="continue"/>
            <w:noWrap w:val="0"/>
            <w:vAlign w:val="center"/>
          </w:tcPr>
          <w:p w14:paraId="03A5E446">
            <w:pPr>
              <w:spacing w:line="360" w:lineRule="auto"/>
              <w:rPr>
                <w:rFonts w:hint="eastAsia" w:ascii="宋体" w:hAnsi="宋体" w:cs="宋体"/>
                <w:sz w:val="24"/>
              </w:rPr>
            </w:pPr>
          </w:p>
        </w:tc>
        <w:tc>
          <w:tcPr>
            <w:tcW w:w="837" w:type="dxa"/>
            <w:vMerge w:val="continue"/>
            <w:noWrap w:val="0"/>
            <w:vAlign w:val="center"/>
          </w:tcPr>
          <w:p w14:paraId="1CB63810">
            <w:pPr>
              <w:spacing w:line="360" w:lineRule="auto"/>
              <w:ind w:right="370" w:rightChars="176"/>
              <w:rPr>
                <w:rFonts w:hint="eastAsia" w:ascii="宋体" w:hAnsi="宋体" w:cs="宋体"/>
                <w:sz w:val="24"/>
              </w:rPr>
            </w:pPr>
          </w:p>
        </w:tc>
        <w:tc>
          <w:tcPr>
            <w:tcW w:w="963" w:type="dxa"/>
            <w:noWrap w:val="0"/>
            <w:vAlign w:val="center"/>
          </w:tcPr>
          <w:p w14:paraId="75199E23">
            <w:pPr>
              <w:spacing w:line="360" w:lineRule="auto"/>
              <w:jc w:val="center"/>
              <w:rPr>
                <w:rFonts w:hint="eastAsia" w:ascii="宋体" w:hAnsi="宋体" w:cs="宋体"/>
                <w:sz w:val="24"/>
              </w:rPr>
            </w:pPr>
          </w:p>
        </w:tc>
        <w:tc>
          <w:tcPr>
            <w:tcW w:w="962" w:type="dxa"/>
            <w:noWrap w:val="0"/>
            <w:vAlign w:val="center"/>
          </w:tcPr>
          <w:p w14:paraId="6838D2A1">
            <w:pPr>
              <w:spacing w:line="360" w:lineRule="auto"/>
              <w:jc w:val="center"/>
              <w:rPr>
                <w:rFonts w:hint="eastAsia" w:ascii="宋体" w:hAnsi="宋体" w:cs="宋体"/>
                <w:sz w:val="24"/>
              </w:rPr>
            </w:pPr>
          </w:p>
        </w:tc>
        <w:tc>
          <w:tcPr>
            <w:tcW w:w="913" w:type="dxa"/>
            <w:noWrap w:val="0"/>
            <w:vAlign w:val="center"/>
          </w:tcPr>
          <w:p w14:paraId="0CCB62C4">
            <w:pPr>
              <w:spacing w:line="360" w:lineRule="auto"/>
              <w:jc w:val="center"/>
              <w:rPr>
                <w:rFonts w:hint="eastAsia" w:ascii="宋体" w:hAnsi="宋体" w:cs="宋体"/>
                <w:sz w:val="24"/>
              </w:rPr>
            </w:pPr>
          </w:p>
        </w:tc>
        <w:tc>
          <w:tcPr>
            <w:tcW w:w="1000" w:type="dxa"/>
            <w:noWrap w:val="0"/>
            <w:vAlign w:val="center"/>
          </w:tcPr>
          <w:p w14:paraId="68F64F3C">
            <w:pPr>
              <w:spacing w:line="360" w:lineRule="auto"/>
              <w:jc w:val="center"/>
              <w:rPr>
                <w:rFonts w:hint="eastAsia" w:ascii="宋体" w:hAnsi="宋体" w:cs="宋体"/>
                <w:sz w:val="24"/>
              </w:rPr>
            </w:pPr>
          </w:p>
        </w:tc>
        <w:tc>
          <w:tcPr>
            <w:tcW w:w="1237" w:type="dxa"/>
            <w:noWrap w:val="0"/>
            <w:vAlign w:val="center"/>
          </w:tcPr>
          <w:p w14:paraId="615D6FE6">
            <w:pPr>
              <w:spacing w:line="360" w:lineRule="auto"/>
              <w:jc w:val="center"/>
              <w:rPr>
                <w:rFonts w:hint="eastAsia" w:ascii="宋体" w:hAnsi="宋体" w:cs="宋体"/>
                <w:sz w:val="24"/>
              </w:rPr>
            </w:pPr>
          </w:p>
        </w:tc>
        <w:tc>
          <w:tcPr>
            <w:tcW w:w="1034" w:type="dxa"/>
            <w:noWrap w:val="0"/>
            <w:vAlign w:val="center"/>
          </w:tcPr>
          <w:p w14:paraId="314825FA">
            <w:pPr>
              <w:spacing w:line="360" w:lineRule="auto"/>
              <w:jc w:val="center"/>
              <w:rPr>
                <w:rFonts w:hint="eastAsia" w:ascii="宋体" w:hAnsi="宋体" w:cs="宋体"/>
                <w:sz w:val="24"/>
              </w:rPr>
            </w:pPr>
          </w:p>
        </w:tc>
      </w:tr>
      <w:tr w14:paraId="4806EF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restart"/>
            <w:noWrap w:val="0"/>
            <w:vAlign w:val="center"/>
          </w:tcPr>
          <w:p w14:paraId="7FBBDD04">
            <w:pPr>
              <w:spacing w:line="360" w:lineRule="auto"/>
              <w:jc w:val="center"/>
              <w:rPr>
                <w:rFonts w:hint="eastAsia" w:ascii="宋体" w:hAnsi="宋体" w:cs="宋体"/>
                <w:sz w:val="24"/>
              </w:rPr>
            </w:pPr>
            <w:r>
              <w:rPr>
                <w:rFonts w:hint="eastAsia" w:ascii="宋体" w:hAnsi="宋体" w:cs="宋体"/>
                <w:sz w:val="24"/>
                <w:highlight w:val="white"/>
              </w:rPr>
              <w:t>设计</w:t>
            </w:r>
          </w:p>
        </w:tc>
        <w:tc>
          <w:tcPr>
            <w:tcW w:w="2013" w:type="dxa"/>
            <w:noWrap w:val="0"/>
            <w:vAlign w:val="center"/>
          </w:tcPr>
          <w:p w14:paraId="79A5701D">
            <w:pPr>
              <w:spacing w:line="360" w:lineRule="auto"/>
              <w:jc w:val="center"/>
              <w:rPr>
                <w:rFonts w:hint="eastAsia" w:ascii="宋体" w:hAnsi="宋体" w:cs="宋体"/>
                <w:sz w:val="24"/>
              </w:rPr>
            </w:pPr>
            <w:r>
              <w:rPr>
                <w:rFonts w:hint="eastAsia" w:ascii="宋体" w:hAnsi="宋体" w:cs="宋体"/>
                <w:sz w:val="24"/>
                <w:highlight w:val="white"/>
              </w:rPr>
              <w:t>投标人设计</w:t>
            </w:r>
          </w:p>
          <w:p w14:paraId="64148A25">
            <w:pPr>
              <w:spacing w:line="360" w:lineRule="auto"/>
              <w:jc w:val="center"/>
              <w:rPr>
                <w:rFonts w:hint="eastAsia" w:ascii="宋体" w:hAnsi="宋体" w:cs="宋体"/>
                <w:sz w:val="24"/>
              </w:rPr>
            </w:pPr>
            <w:r>
              <w:rPr>
                <w:rFonts w:hint="eastAsia" w:ascii="宋体" w:hAnsi="宋体" w:cs="宋体"/>
                <w:sz w:val="24"/>
                <w:highlight w:val="white"/>
              </w:rPr>
              <w:t>投标报价</w:t>
            </w:r>
          </w:p>
        </w:tc>
        <w:tc>
          <w:tcPr>
            <w:tcW w:w="837" w:type="dxa"/>
            <w:vMerge w:val="restart"/>
            <w:noWrap w:val="0"/>
            <w:vAlign w:val="center"/>
          </w:tcPr>
          <w:p w14:paraId="21C81AA9">
            <w:pPr>
              <w:spacing w:line="360" w:lineRule="auto"/>
              <w:ind w:right="370" w:rightChars="176"/>
              <w:jc w:val="center"/>
              <w:rPr>
                <w:rFonts w:hint="eastAsia" w:ascii="宋体" w:hAnsi="宋体" w:cs="宋体"/>
                <w:sz w:val="24"/>
              </w:rPr>
            </w:pPr>
          </w:p>
        </w:tc>
        <w:tc>
          <w:tcPr>
            <w:tcW w:w="963" w:type="dxa"/>
            <w:noWrap w:val="0"/>
            <w:vAlign w:val="center"/>
          </w:tcPr>
          <w:p w14:paraId="4D6631C8">
            <w:pPr>
              <w:spacing w:line="360" w:lineRule="auto"/>
              <w:jc w:val="center"/>
              <w:rPr>
                <w:rFonts w:hint="eastAsia" w:ascii="宋体" w:hAnsi="宋体" w:cs="宋体"/>
                <w:sz w:val="24"/>
              </w:rPr>
            </w:pPr>
          </w:p>
        </w:tc>
        <w:tc>
          <w:tcPr>
            <w:tcW w:w="962" w:type="dxa"/>
            <w:noWrap w:val="0"/>
            <w:vAlign w:val="center"/>
          </w:tcPr>
          <w:p w14:paraId="1D5520E8">
            <w:pPr>
              <w:spacing w:line="360" w:lineRule="auto"/>
              <w:jc w:val="center"/>
              <w:rPr>
                <w:rFonts w:hint="eastAsia" w:ascii="宋体" w:hAnsi="宋体" w:cs="宋体"/>
                <w:sz w:val="24"/>
              </w:rPr>
            </w:pPr>
          </w:p>
        </w:tc>
        <w:tc>
          <w:tcPr>
            <w:tcW w:w="913" w:type="dxa"/>
            <w:noWrap w:val="0"/>
            <w:vAlign w:val="center"/>
          </w:tcPr>
          <w:p w14:paraId="41A28486">
            <w:pPr>
              <w:spacing w:line="360" w:lineRule="auto"/>
              <w:jc w:val="center"/>
              <w:rPr>
                <w:rFonts w:hint="eastAsia" w:ascii="宋体" w:hAnsi="宋体" w:cs="宋体"/>
                <w:sz w:val="24"/>
              </w:rPr>
            </w:pPr>
          </w:p>
        </w:tc>
        <w:tc>
          <w:tcPr>
            <w:tcW w:w="1000" w:type="dxa"/>
            <w:noWrap w:val="0"/>
            <w:vAlign w:val="center"/>
          </w:tcPr>
          <w:p w14:paraId="69985511">
            <w:pPr>
              <w:spacing w:line="360" w:lineRule="auto"/>
              <w:jc w:val="center"/>
              <w:rPr>
                <w:rFonts w:hint="eastAsia" w:ascii="宋体" w:hAnsi="宋体" w:cs="宋体"/>
                <w:sz w:val="24"/>
              </w:rPr>
            </w:pPr>
          </w:p>
        </w:tc>
        <w:tc>
          <w:tcPr>
            <w:tcW w:w="1237" w:type="dxa"/>
            <w:noWrap w:val="0"/>
            <w:vAlign w:val="center"/>
          </w:tcPr>
          <w:p w14:paraId="27489266">
            <w:pPr>
              <w:spacing w:line="360" w:lineRule="auto"/>
              <w:jc w:val="center"/>
              <w:rPr>
                <w:rFonts w:hint="eastAsia" w:ascii="宋体" w:hAnsi="宋体" w:cs="宋体"/>
                <w:sz w:val="24"/>
              </w:rPr>
            </w:pPr>
          </w:p>
        </w:tc>
        <w:tc>
          <w:tcPr>
            <w:tcW w:w="1034" w:type="dxa"/>
            <w:noWrap w:val="0"/>
            <w:vAlign w:val="center"/>
          </w:tcPr>
          <w:p w14:paraId="6EC0C9C9">
            <w:pPr>
              <w:spacing w:line="360" w:lineRule="auto"/>
              <w:jc w:val="center"/>
              <w:rPr>
                <w:rFonts w:hint="eastAsia" w:ascii="宋体" w:hAnsi="宋体" w:cs="宋体"/>
                <w:sz w:val="24"/>
              </w:rPr>
            </w:pPr>
          </w:p>
        </w:tc>
      </w:tr>
      <w:tr w14:paraId="3BC071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continue"/>
            <w:noWrap w:val="0"/>
            <w:vAlign w:val="center"/>
          </w:tcPr>
          <w:p w14:paraId="4AE2D2BA">
            <w:pPr>
              <w:spacing w:line="360" w:lineRule="auto"/>
              <w:jc w:val="center"/>
              <w:rPr>
                <w:rFonts w:hint="eastAsia" w:ascii="宋体" w:hAnsi="宋体" w:cs="宋体"/>
                <w:sz w:val="24"/>
              </w:rPr>
            </w:pPr>
          </w:p>
        </w:tc>
        <w:tc>
          <w:tcPr>
            <w:tcW w:w="2013" w:type="dxa"/>
            <w:noWrap w:val="0"/>
            <w:vAlign w:val="center"/>
          </w:tcPr>
          <w:p w14:paraId="71F8460A">
            <w:pPr>
              <w:spacing w:line="360" w:lineRule="auto"/>
              <w:jc w:val="center"/>
              <w:rPr>
                <w:rFonts w:hint="eastAsia" w:ascii="宋体" w:hAnsi="宋体" w:cs="宋体"/>
                <w:sz w:val="24"/>
              </w:rPr>
            </w:pPr>
            <w:r>
              <w:rPr>
                <w:rFonts w:hint="eastAsia" w:ascii="宋体" w:hAnsi="宋体" w:cs="宋体"/>
                <w:sz w:val="24"/>
                <w:highlight w:val="white"/>
              </w:rPr>
              <w:t>评标基准价</w:t>
            </w:r>
          </w:p>
        </w:tc>
        <w:tc>
          <w:tcPr>
            <w:tcW w:w="837" w:type="dxa"/>
            <w:vMerge w:val="continue"/>
            <w:noWrap w:val="0"/>
            <w:vAlign w:val="center"/>
          </w:tcPr>
          <w:p w14:paraId="5847281F">
            <w:pPr>
              <w:spacing w:line="360" w:lineRule="auto"/>
              <w:ind w:right="370" w:rightChars="176"/>
              <w:jc w:val="center"/>
              <w:rPr>
                <w:rFonts w:hint="eastAsia" w:ascii="宋体" w:hAnsi="宋体" w:cs="宋体"/>
                <w:sz w:val="24"/>
              </w:rPr>
            </w:pPr>
          </w:p>
        </w:tc>
        <w:tc>
          <w:tcPr>
            <w:tcW w:w="963" w:type="dxa"/>
            <w:noWrap w:val="0"/>
            <w:vAlign w:val="center"/>
          </w:tcPr>
          <w:p w14:paraId="7796254A">
            <w:pPr>
              <w:spacing w:line="360" w:lineRule="auto"/>
              <w:jc w:val="center"/>
              <w:rPr>
                <w:rFonts w:hint="eastAsia" w:ascii="宋体" w:hAnsi="宋体" w:cs="宋体"/>
                <w:sz w:val="24"/>
              </w:rPr>
            </w:pPr>
          </w:p>
        </w:tc>
        <w:tc>
          <w:tcPr>
            <w:tcW w:w="962" w:type="dxa"/>
            <w:noWrap w:val="0"/>
            <w:vAlign w:val="center"/>
          </w:tcPr>
          <w:p w14:paraId="4E1BC006">
            <w:pPr>
              <w:spacing w:line="360" w:lineRule="auto"/>
              <w:jc w:val="center"/>
              <w:rPr>
                <w:rFonts w:hint="eastAsia" w:ascii="宋体" w:hAnsi="宋体" w:cs="宋体"/>
                <w:sz w:val="24"/>
              </w:rPr>
            </w:pPr>
          </w:p>
        </w:tc>
        <w:tc>
          <w:tcPr>
            <w:tcW w:w="913" w:type="dxa"/>
            <w:noWrap w:val="0"/>
            <w:vAlign w:val="center"/>
          </w:tcPr>
          <w:p w14:paraId="6FFCF37C">
            <w:pPr>
              <w:spacing w:line="360" w:lineRule="auto"/>
              <w:jc w:val="center"/>
              <w:rPr>
                <w:rFonts w:hint="eastAsia" w:ascii="宋体" w:hAnsi="宋体" w:cs="宋体"/>
                <w:sz w:val="24"/>
              </w:rPr>
            </w:pPr>
          </w:p>
        </w:tc>
        <w:tc>
          <w:tcPr>
            <w:tcW w:w="1000" w:type="dxa"/>
            <w:noWrap w:val="0"/>
            <w:vAlign w:val="center"/>
          </w:tcPr>
          <w:p w14:paraId="1BFF9628">
            <w:pPr>
              <w:spacing w:line="360" w:lineRule="auto"/>
              <w:jc w:val="center"/>
              <w:rPr>
                <w:rFonts w:hint="eastAsia" w:ascii="宋体" w:hAnsi="宋体" w:cs="宋体"/>
                <w:sz w:val="24"/>
              </w:rPr>
            </w:pPr>
          </w:p>
        </w:tc>
        <w:tc>
          <w:tcPr>
            <w:tcW w:w="1237" w:type="dxa"/>
            <w:noWrap w:val="0"/>
            <w:vAlign w:val="center"/>
          </w:tcPr>
          <w:p w14:paraId="59F503AA">
            <w:pPr>
              <w:spacing w:line="360" w:lineRule="auto"/>
              <w:jc w:val="center"/>
              <w:rPr>
                <w:rFonts w:hint="eastAsia" w:ascii="宋体" w:hAnsi="宋体" w:cs="宋体"/>
                <w:sz w:val="24"/>
              </w:rPr>
            </w:pPr>
          </w:p>
        </w:tc>
        <w:tc>
          <w:tcPr>
            <w:tcW w:w="1034" w:type="dxa"/>
            <w:noWrap w:val="0"/>
            <w:vAlign w:val="center"/>
          </w:tcPr>
          <w:p w14:paraId="250D66DE">
            <w:pPr>
              <w:spacing w:line="360" w:lineRule="auto"/>
              <w:jc w:val="center"/>
              <w:rPr>
                <w:rFonts w:hint="eastAsia" w:ascii="宋体" w:hAnsi="宋体" w:cs="宋体"/>
                <w:sz w:val="24"/>
              </w:rPr>
            </w:pPr>
          </w:p>
        </w:tc>
      </w:tr>
      <w:tr w14:paraId="24403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continue"/>
            <w:noWrap w:val="0"/>
            <w:vAlign w:val="center"/>
          </w:tcPr>
          <w:p w14:paraId="5879679E">
            <w:pPr>
              <w:spacing w:line="360" w:lineRule="auto"/>
              <w:jc w:val="center"/>
              <w:rPr>
                <w:rFonts w:hint="eastAsia" w:ascii="宋体" w:hAnsi="宋体" w:cs="宋体"/>
                <w:sz w:val="24"/>
              </w:rPr>
            </w:pPr>
          </w:p>
        </w:tc>
        <w:tc>
          <w:tcPr>
            <w:tcW w:w="2013" w:type="dxa"/>
            <w:noWrap w:val="0"/>
            <w:vAlign w:val="center"/>
          </w:tcPr>
          <w:p w14:paraId="44DE3B70">
            <w:pPr>
              <w:spacing w:line="360" w:lineRule="auto"/>
              <w:jc w:val="center"/>
              <w:rPr>
                <w:rFonts w:hint="eastAsia" w:ascii="宋体" w:hAnsi="宋体" w:cs="宋体"/>
                <w:sz w:val="24"/>
              </w:rPr>
            </w:pPr>
            <w:r>
              <w:rPr>
                <w:rFonts w:hint="eastAsia" w:ascii="宋体" w:hAnsi="宋体" w:cs="宋体"/>
                <w:sz w:val="24"/>
                <w:highlight w:val="white"/>
              </w:rPr>
              <w:t>偏差率</w:t>
            </w:r>
          </w:p>
        </w:tc>
        <w:tc>
          <w:tcPr>
            <w:tcW w:w="837" w:type="dxa"/>
            <w:vMerge w:val="continue"/>
            <w:noWrap w:val="0"/>
            <w:vAlign w:val="center"/>
          </w:tcPr>
          <w:p w14:paraId="59E634EF">
            <w:pPr>
              <w:spacing w:line="360" w:lineRule="auto"/>
              <w:ind w:right="370" w:rightChars="176"/>
              <w:jc w:val="center"/>
              <w:rPr>
                <w:rFonts w:hint="eastAsia" w:ascii="宋体" w:hAnsi="宋体" w:cs="宋体"/>
                <w:sz w:val="24"/>
              </w:rPr>
            </w:pPr>
          </w:p>
        </w:tc>
        <w:tc>
          <w:tcPr>
            <w:tcW w:w="963" w:type="dxa"/>
            <w:noWrap w:val="0"/>
            <w:vAlign w:val="center"/>
          </w:tcPr>
          <w:p w14:paraId="6CDC1C16">
            <w:pPr>
              <w:spacing w:line="360" w:lineRule="auto"/>
              <w:jc w:val="center"/>
              <w:rPr>
                <w:rFonts w:hint="eastAsia" w:ascii="宋体" w:hAnsi="宋体" w:cs="宋体"/>
                <w:sz w:val="24"/>
              </w:rPr>
            </w:pPr>
          </w:p>
        </w:tc>
        <w:tc>
          <w:tcPr>
            <w:tcW w:w="962" w:type="dxa"/>
            <w:noWrap w:val="0"/>
            <w:vAlign w:val="center"/>
          </w:tcPr>
          <w:p w14:paraId="7D2C9308">
            <w:pPr>
              <w:spacing w:line="360" w:lineRule="auto"/>
              <w:jc w:val="center"/>
              <w:rPr>
                <w:rFonts w:hint="eastAsia" w:ascii="宋体" w:hAnsi="宋体" w:cs="宋体"/>
                <w:sz w:val="24"/>
              </w:rPr>
            </w:pPr>
          </w:p>
        </w:tc>
        <w:tc>
          <w:tcPr>
            <w:tcW w:w="913" w:type="dxa"/>
            <w:noWrap w:val="0"/>
            <w:vAlign w:val="center"/>
          </w:tcPr>
          <w:p w14:paraId="0E78C43C">
            <w:pPr>
              <w:spacing w:line="360" w:lineRule="auto"/>
              <w:jc w:val="center"/>
              <w:rPr>
                <w:rFonts w:hint="eastAsia" w:ascii="宋体" w:hAnsi="宋体" w:cs="宋体"/>
                <w:sz w:val="24"/>
              </w:rPr>
            </w:pPr>
          </w:p>
        </w:tc>
        <w:tc>
          <w:tcPr>
            <w:tcW w:w="1000" w:type="dxa"/>
            <w:noWrap w:val="0"/>
            <w:vAlign w:val="center"/>
          </w:tcPr>
          <w:p w14:paraId="7A330011">
            <w:pPr>
              <w:spacing w:line="360" w:lineRule="auto"/>
              <w:jc w:val="center"/>
              <w:rPr>
                <w:rFonts w:hint="eastAsia" w:ascii="宋体" w:hAnsi="宋体" w:cs="宋体"/>
                <w:sz w:val="24"/>
              </w:rPr>
            </w:pPr>
          </w:p>
        </w:tc>
        <w:tc>
          <w:tcPr>
            <w:tcW w:w="1237" w:type="dxa"/>
            <w:noWrap w:val="0"/>
            <w:vAlign w:val="center"/>
          </w:tcPr>
          <w:p w14:paraId="540A4B6B">
            <w:pPr>
              <w:spacing w:line="360" w:lineRule="auto"/>
              <w:jc w:val="center"/>
              <w:rPr>
                <w:rFonts w:hint="eastAsia" w:ascii="宋体" w:hAnsi="宋体" w:cs="宋体"/>
                <w:sz w:val="24"/>
              </w:rPr>
            </w:pPr>
          </w:p>
        </w:tc>
        <w:tc>
          <w:tcPr>
            <w:tcW w:w="1034" w:type="dxa"/>
            <w:noWrap w:val="0"/>
            <w:vAlign w:val="center"/>
          </w:tcPr>
          <w:p w14:paraId="7434E6AE">
            <w:pPr>
              <w:spacing w:line="360" w:lineRule="auto"/>
              <w:jc w:val="center"/>
              <w:rPr>
                <w:rFonts w:hint="eastAsia" w:ascii="宋体" w:hAnsi="宋体" w:cs="宋体"/>
                <w:sz w:val="24"/>
              </w:rPr>
            </w:pPr>
          </w:p>
        </w:tc>
      </w:tr>
      <w:tr w14:paraId="34C5DC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continue"/>
            <w:noWrap w:val="0"/>
            <w:vAlign w:val="center"/>
          </w:tcPr>
          <w:p w14:paraId="3BFA8CDE">
            <w:pPr>
              <w:spacing w:line="360" w:lineRule="auto"/>
              <w:jc w:val="center"/>
              <w:rPr>
                <w:rFonts w:hint="eastAsia" w:ascii="宋体" w:hAnsi="宋体" w:cs="宋体"/>
                <w:sz w:val="24"/>
              </w:rPr>
            </w:pPr>
          </w:p>
        </w:tc>
        <w:tc>
          <w:tcPr>
            <w:tcW w:w="2013" w:type="dxa"/>
            <w:noWrap w:val="0"/>
            <w:vAlign w:val="center"/>
          </w:tcPr>
          <w:p w14:paraId="1A143A51">
            <w:pPr>
              <w:spacing w:line="360" w:lineRule="auto"/>
              <w:jc w:val="center"/>
              <w:rPr>
                <w:rFonts w:hint="eastAsia" w:ascii="宋体" w:hAnsi="宋体" w:cs="宋体"/>
                <w:sz w:val="24"/>
              </w:rPr>
            </w:pPr>
            <w:r>
              <w:rPr>
                <w:rFonts w:hint="eastAsia" w:ascii="宋体" w:hAnsi="宋体" w:cs="宋体"/>
                <w:sz w:val="24"/>
                <w:highlight w:val="white"/>
              </w:rPr>
              <w:t>设计投标报价</w:t>
            </w:r>
          </w:p>
          <w:p w14:paraId="41DCB272">
            <w:pPr>
              <w:spacing w:line="360" w:lineRule="auto"/>
              <w:jc w:val="center"/>
              <w:rPr>
                <w:rFonts w:hint="eastAsia" w:ascii="宋体" w:hAnsi="宋体" w:cs="宋体"/>
                <w:sz w:val="24"/>
              </w:rPr>
            </w:pPr>
            <w:r>
              <w:rPr>
                <w:rFonts w:hint="eastAsia" w:ascii="宋体" w:hAnsi="宋体" w:cs="宋体"/>
                <w:sz w:val="24"/>
                <w:highlight w:val="white"/>
              </w:rPr>
              <w:t>得分D1</w:t>
            </w:r>
          </w:p>
        </w:tc>
        <w:tc>
          <w:tcPr>
            <w:tcW w:w="837" w:type="dxa"/>
            <w:vMerge w:val="continue"/>
            <w:noWrap w:val="0"/>
            <w:vAlign w:val="center"/>
          </w:tcPr>
          <w:p w14:paraId="7DBA0C8A">
            <w:pPr>
              <w:spacing w:line="360" w:lineRule="auto"/>
              <w:ind w:right="370" w:rightChars="176"/>
              <w:jc w:val="center"/>
              <w:rPr>
                <w:rFonts w:hint="eastAsia" w:ascii="宋体" w:hAnsi="宋体" w:cs="宋体"/>
                <w:sz w:val="24"/>
              </w:rPr>
            </w:pPr>
          </w:p>
        </w:tc>
        <w:tc>
          <w:tcPr>
            <w:tcW w:w="963" w:type="dxa"/>
            <w:noWrap w:val="0"/>
            <w:vAlign w:val="center"/>
          </w:tcPr>
          <w:p w14:paraId="3E19125D">
            <w:pPr>
              <w:spacing w:line="360" w:lineRule="auto"/>
              <w:jc w:val="center"/>
              <w:rPr>
                <w:rFonts w:hint="eastAsia" w:ascii="宋体" w:hAnsi="宋体" w:cs="宋体"/>
                <w:sz w:val="24"/>
              </w:rPr>
            </w:pPr>
          </w:p>
        </w:tc>
        <w:tc>
          <w:tcPr>
            <w:tcW w:w="962" w:type="dxa"/>
            <w:noWrap w:val="0"/>
            <w:vAlign w:val="center"/>
          </w:tcPr>
          <w:p w14:paraId="1BCB11E2">
            <w:pPr>
              <w:spacing w:line="360" w:lineRule="auto"/>
              <w:jc w:val="center"/>
              <w:rPr>
                <w:rFonts w:hint="eastAsia" w:ascii="宋体" w:hAnsi="宋体" w:cs="宋体"/>
                <w:sz w:val="24"/>
              </w:rPr>
            </w:pPr>
          </w:p>
        </w:tc>
        <w:tc>
          <w:tcPr>
            <w:tcW w:w="913" w:type="dxa"/>
            <w:noWrap w:val="0"/>
            <w:vAlign w:val="center"/>
          </w:tcPr>
          <w:p w14:paraId="39657236">
            <w:pPr>
              <w:spacing w:line="360" w:lineRule="auto"/>
              <w:jc w:val="center"/>
              <w:rPr>
                <w:rFonts w:hint="eastAsia" w:ascii="宋体" w:hAnsi="宋体" w:cs="宋体"/>
                <w:sz w:val="24"/>
              </w:rPr>
            </w:pPr>
          </w:p>
        </w:tc>
        <w:tc>
          <w:tcPr>
            <w:tcW w:w="1000" w:type="dxa"/>
            <w:noWrap w:val="0"/>
            <w:vAlign w:val="center"/>
          </w:tcPr>
          <w:p w14:paraId="271B76C4">
            <w:pPr>
              <w:spacing w:line="360" w:lineRule="auto"/>
              <w:jc w:val="center"/>
              <w:rPr>
                <w:rFonts w:hint="eastAsia" w:ascii="宋体" w:hAnsi="宋体" w:cs="宋体"/>
                <w:sz w:val="24"/>
              </w:rPr>
            </w:pPr>
          </w:p>
        </w:tc>
        <w:tc>
          <w:tcPr>
            <w:tcW w:w="1237" w:type="dxa"/>
            <w:noWrap w:val="0"/>
            <w:vAlign w:val="center"/>
          </w:tcPr>
          <w:p w14:paraId="72A14EA6">
            <w:pPr>
              <w:spacing w:line="360" w:lineRule="auto"/>
              <w:jc w:val="center"/>
              <w:rPr>
                <w:rFonts w:hint="eastAsia" w:ascii="宋体" w:hAnsi="宋体" w:cs="宋体"/>
                <w:sz w:val="24"/>
              </w:rPr>
            </w:pPr>
          </w:p>
        </w:tc>
        <w:tc>
          <w:tcPr>
            <w:tcW w:w="1034" w:type="dxa"/>
            <w:noWrap w:val="0"/>
            <w:vAlign w:val="center"/>
          </w:tcPr>
          <w:p w14:paraId="5A1286BB">
            <w:pPr>
              <w:spacing w:line="360" w:lineRule="auto"/>
              <w:jc w:val="center"/>
              <w:rPr>
                <w:rFonts w:hint="eastAsia" w:ascii="宋体" w:hAnsi="宋体" w:cs="宋体"/>
                <w:sz w:val="24"/>
              </w:rPr>
            </w:pPr>
          </w:p>
        </w:tc>
      </w:tr>
      <w:tr w14:paraId="00E790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restart"/>
            <w:noWrap w:val="0"/>
            <w:vAlign w:val="center"/>
          </w:tcPr>
          <w:p w14:paraId="17689C01">
            <w:pPr>
              <w:spacing w:line="360" w:lineRule="auto"/>
              <w:jc w:val="center"/>
              <w:rPr>
                <w:rFonts w:hint="eastAsia" w:ascii="宋体" w:hAnsi="宋体" w:cs="宋体"/>
                <w:sz w:val="24"/>
              </w:rPr>
            </w:pPr>
            <w:r>
              <w:rPr>
                <w:rFonts w:hint="eastAsia" w:ascii="宋体" w:hAnsi="宋体" w:cs="宋体"/>
                <w:sz w:val="24"/>
                <w:highlight w:val="white"/>
              </w:rPr>
              <w:t>施工</w:t>
            </w:r>
          </w:p>
        </w:tc>
        <w:tc>
          <w:tcPr>
            <w:tcW w:w="2013" w:type="dxa"/>
            <w:noWrap w:val="0"/>
            <w:vAlign w:val="center"/>
          </w:tcPr>
          <w:p w14:paraId="5AEF57DB">
            <w:pPr>
              <w:spacing w:line="360" w:lineRule="auto"/>
              <w:jc w:val="center"/>
              <w:rPr>
                <w:rFonts w:hint="eastAsia" w:ascii="宋体" w:hAnsi="宋体" w:cs="宋体"/>
                <w:sz w:val="24"/>
              </w:rPr>
            </w:pPr>
            <w:r>
              <w:rPr>
                <w:rFonts w:hint="eastAsia" w:ascii="宋体" w:hAnsi="宋体" w:cs="宋体"/>
                <w:sz w:val="24"/>
                <w:highlight w:val="white"/>
              </w:rPr>
              <w:t>投标人施工</w:t>
            </w:r>
          </w:p>
          <w:p w14:paraId="6681473C">
            <w:pPr>
              <w:spacing w:line="360" w:lineRule="auto"/>
              <w:jc w:val="center"/>
              <w:rPr>
                <w:rFonts w:hint="eastAsia" w:ascii="宋体" w:hAnsi="宋体" w:cs="宋体"/>
                <w:sz w:val="24"/>
              </w:rPr>
            </w:pPr>
            <w:r>
              <w:rPr>
                <w:rFonts w:hint="eastAsia" w:ascii="宋体" w:hAnsi="宋体" w:cs="宋体"/>
                <w:sz w:val="24"/>
                <w:highlight w:val="white"/>
              </w:rPr>
              <w:t>投标报价</w:t>
            </w:r>
          </w:p>
        </w:tc>
        <w:tc>
          <w:tcPr>
            <w:tcW w:w="837" w:type="dxa"/>
            <w:vMerge w:val="restart"/>
            <w:noWrap w:val="0"/>
            <w:vAlign w:val="center"/>
          </w:tcPr>
          <w:p w14:paraId="32C19F2A">
            <w:pPr>
              <w:spacing w:line="360" w:lineRule="auto"/>
              <w:ind w:right="370" w:rightChars="176"/>
              <w:jc w:val="center"/>
              <w:rPr>
                <w:rFonts w:hint="eastAsia" w:ascii="宋体" w:hAnsi="宋体" w:cs="宋体"/>
                <w:sz w:val="24"/>
              </w:rPr>
            </w:pPr>
          </w:p>
        </w:tc>
        <w:tc>
          <w:tcPr>
            <w:tcW w:w="963" w:type="dxa"/>
            <w:noWrap w:val="0"/>
            <w:vAlign w:val="center"/>
          </w:tcPr>
          <w:p w14:paraId="47BE2E92">
            <w:pPr>
              <w:spacing w:line="360" w:lineRule="auto"/>
              <w:jc w:val="center"/>
              <w:rPr>
                <w:rFonts w:hint="eastAsia" w:ascii="宋体" w:hAnsi="宋体" w:cs="宋体"/>
                <w:sz w:val="24"/>
              </w:rPr>
            </w:pPr>
          </w:p>
        </w:tc>
        <w:tc>
          <w:tcPr>
            <w:tcW w:w="962" w:type="dxa"/>
            <w:noWrap w:val="0"/>
            <w:vAlign w:val="center"/>
          </w:tcPr>
          <w:p w14:paraId="6C150943">
            <w:pPr>
              <w:spacing w:line="360" w:lineRule="auto"/>
              <w:jc w:val="center"/>
              <w:rPr>
                <w:rFonts w:hint="eastAsia" w:ascii="宋体" w:hAnsi="宋体" w:cs="宋体"/>
                <w:sz w:val="24"/>
              </w:rPr>
            </w:pPr>
          </w:p>
        </w:tc>
        <w:tc>
          <w:tcPr>
            <w:tcW w:w="913" w:type="dxa"/>
            <w:noWrap w:val="0"/>
            <w:vAlign w:val="center"/>
          </w:tcPr>
          <w:p w14:paraId="0A696735">
            <w:pPr>
              <w:spacing w:line="360" w:lineRule="auto"/>
              <w:jc w:val="center"/>
              <w:rPr>
                <w:rFonts w:hint="eastAsia" w:ascii="宋体" w:hAnsi="宋体" w:cs="宋体"/>
                <w:sz w:val="24"/>
              </w:rPr>
            </w:pPr>
          </w:p>
        </w:tc>
        <w:tc>
          <w:tcPr>
            <w:tcW w:w="1000" w:type="dxa"/>
            <w:noWrap w:val="0"/>
            <w:vAlign w:val="center"/>
          </w:tcPr>
          <w:p w14:paraId="7124C807">
            <w:pPr>
              <w:spacing w:line="360" w:lineRule="auto"/>
              <w:jc w:val="center"/>
              <w:rPr>
                <w:rFonts w:hint="eastAsia" w:ascii="宋体" w:hAnsi="宋体" w:cs="宋体"/>
                <w:sz w:val="24"/>
              </w:rPr>
            </w:pPr>
          </w:p>
        </w:tc>
        <w:tc>
          <w:tcPr>
            <w:tcW w:w="1237" w:type="dxa"/>
            <w:noWrap w:val="0"/>
            <w:vAlign w:val="center"/>
          </w:tcPr>
          <w:p w14:paraId="1E846BC1">
            <w:pPr>
              <w:spacing w:line="360" w:lineRule="auto"/>
              <w:jc w:val="center"/>
              <w:rPr>
                <w:rFonts w:hint="eastAsia" w:ascii="宋体" w:hAnsi="宋体" w:cs="宋体"/>
                <w:sz w:val="24"/>
              </w:rPr>
            </w:pPr>
          </w:p>
        </w:tc>
        <w:tc>
          <w:tcPr>
            <w:tcW w:w="1034" w:type="dxa"/>
            <w:noWrap w:val="0"/>
            <w:vAlign w:val="center"/>
          </w:tcPr>
          <w:p w14:paraId="1E31F8C3">
            <w:pPr>
              <w:spacing w:line="360" w:lineRule="auto"/>
              <w:jc w:val="center"/>
              <w:rPr>
                <w:rFonts w:hint="eastAsia" w:ascii="宋体" w:hAnsi="宋体" w:cs="宋体"/>
                <w:sz w:val="24"/>
              </w:rPr>
            </w:pPr>
          </w:p>
        </w:tc>
      </w:tr>
      <w:tr w14:paraId="1840F1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continue"/>
            <w:noWrap w:val="0"/>
            <w:vAlign w:val="center"/>
          </w:tcPr>
          <w:p w14:paraId="2AC7902B">
            <w:pPr>
              <w:spacing w:line="360" w:lineRule="auto"/>
              <w:jc w:val="center"/>
              <w:rPr>
                <w:rFonts w:hint="eastAsia" w:ascii="宋体" w:hAnsi="宋体" w:cs="宋体"/>
                <w:sz w:val="24"/>
              </w:rPr>
            </w:pPr>
          </w:p>
        </w:tc>
        <w:tc>
          <w:tcPr>
            <w:tcW w:w="2013" w:type="dxa"/>
            <w:noWrap w:val="0"/>
            <w:vAlign w:val="center"/>
          </w:tcPr>
          <w:p w14:paraId="64D607E3">
            <w:pPr>
              <w:spacing w:line="360" w:lineRule="auto"/>
              <w:jc w:val="center"/>
              <w:rPr>
                <w:rFonts w:hint="eastAsia" w:ascii="宋体" w:hAnsi="宋体" w:cs="宋体"/>
                <w:sz w:val="24"/>
              </w:rPr>
            </w:pPr>
            <w:r>
              <w:rPr>
                <w:rFonts w:hint="eastAsia" w:ascii="宋体" w:hAnsi="宋体" w:cs="宋体"/>
                <w:sz w:val="24"/>
                <w:highlight w:val="white"/>
              </w:rPr>
              <w:t>评标基准价</w:t>
            </w:r>
          </w:p>
        </w:tc>
        <w:tc>
          <w:tcPr>
            <w:tcW w:w="837" w:type="dxa"/>
            <w:vMerge w:val="continue"/>
            <w:noWrap w:val="0"/>
            <w:vAlign w:val="center"/>
          </w:tcPr>
          <w:p w14:paraId="4E643F88">
            <w:pPr>
              <w:spacing w:line="360" w:lineRule="auto"/>
              <w:ind w:right="370" w:rightChars="176"/>
              <w:jc w:val="center"/>
              <w:rPr>
                <w:rFonts w:hint="eastAsia" w:ascii="宋体" w:hAnsi="宋体" w:cs="宋体"/>
                <w:sz w:val="24"/>
              </w:rPr>
            </w:pPr>
          </w:p>
        </w:tc>
        <w:tc>
          <w:tcPr>
            <w:tcW w:w="963" w:type="dxa"/>
            <w:noWrap w:val="0"/>
            <w:vAlign w:val="center"/>
          </w:tcPr>
          <w:p w14:paraId="35543501">
            <w:pPr>
              <w:spacing w:line="360" w:lineRule="auto"/>
              <w:jc w:val="center"/>
              <w:rPr>
                <w:rFonts w:hint="eastAsia" w:ascii="宋体" w:hAnsi="宋体" w:cs="宋体"/>
                <w:sz w:val="24"/>
              </w:rPr>
            </w:pPr>
          </w:p>
        </w:tc>
        <w:tc>
          <w:tcPr>
            <w:tcW w:w="962" w:type="dxa"/>
            <w:noWrap w:val="0"/>
            <w:vAlign w:val="center"/>
          </w:tcPr>
          <w:p w14:paraId="69220EBD">
            <w:pPr>
              <w:spacing w:line="360" w:lineRule="auto"/>
              <w:jc w:val="center"/>
              <w:rPr>
                <w:rFonts w:hint="eastAsia" w:ascii="宋体" w:hAnsi="宋体" w:cs="宋体"/>
                <w:sz w:val="24"/>
              </w:rPr>
            </w:pPr>
          </w:p>
        </w:tc>
        <w:tc>
          <w:tcPr>
            <w:tcW w:w="913" w:type="dxa"/>
            <w:noWrap w:val="0"/>
            <w:vAlign w:val="center"/>
          </w:tcPr>
          <w:p w14:paraId="4B81FB1B">
            <w:pPr>
              <w:spacing w:line="360" w:lineRule="auto"/>
              <w:jc w:val="center"/>
              <w:rPr>
                <w:rFonts w:hint="eastAsia" w:ascii="宋体" w:hAnsi="宋体" w:cs="宋体"/>
                <w:sz w:val="24"/>
              </w:rPr>
            </w:pPr>
          </w:p>
        </w:tc>
        <w:tc>
          <w:tcPr>
            <w:tcW w:w="1000" w:type="dxa"/>
            <w:noWrap w:val="0"/>
            <w:vAlign w:val="center"/>
          </w:tcPr>
          <w:p w14:paraId="7F74590A">
            <w:pPr>
              <w:spacing w:line="360" w:lineRule="auto"/>
              <w:jc w:val="center"/>
              <w:rPr>
                <w:rFonts w:hint="eastAsia" w:ascii="宋体" w:hAnsi="宋体" w:cs="宋体"/>
                <w:sz w:val="24"/>
              </w:rPr>
            </w:pPr>
          </w:p>
        </w:tc>
        <w:tc>
          <w:tcPr>
            <w:tcW w:w="1237" w:type="dxa"/>
            <w:noWrap w:val="0"/>
            <w:vAlign w:val="center"/>
          </w:tcPr>
          <w:p w14:paraId="7BD4B717">
            <w:pPr>
              <w:spacing w:line="360" w:lineRule="auto"/>
              <w:jc w:val="center"/>
              <w:rPr>
                <w:rFonts w:hint="eastAsia" w:ascii="宋体" w:hAnsi="宋体" w:cs="宋体"/>
                <w:sz w:val="24"/>
              </w:rPr>
            </w:pPr>
          </w:p>
        </w:tc>
        <w:tc>
          <w:tcPr>
            <w:tcW w:w="1034" w:type="dxa"/>
            <w:noWrap w:val="0"/>
            <w:vAlign w:val="center"/>
          </w:tcPr>
          <w:p w14:paraId="04A639E5">
            <w:pPr>
              <w:spacing w:line="360" w:lineRule="auto"/>
              <w:jc w:val="center"/>
              <w:rPr>
                <w:rFonts w:hint="eastAsia" w:ascii="宋体" w:hAnsi="宋体" w:cs="宋体"/>
                <w:sz w:val="24"/>
              </w:rPr>
            </w:pPr>
          </w:p>
        </w:tc>
      </w:tr>
      <w:tr w14:paraId="4B6A8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continue"/>
            <w:noWrap w:val="0"/>
            <w:vAlign w:val="center"/>
          </w:tcPr>
          <w:p w14:paraId="291C6054">
            <w:pPr>
              <w:spacing w:line="360" w:lineRule="auto"/>
              <w:jc w:val="center"/>
              <w:rPr>
                <w:rFonts w:hint="eastAsia" w:ascii="宋体" w:hAnsi="宋体" w:cs="宋体"/>
                <w:sz w:val="24"/>
              </w:rPr>
            </w:pPr>
          </w:p>
        </w:tc>
        <w:tc>
          <w:tcPr>
            <w:tcW w:w="2013" w:type="dxa"/>
            <w:noWrap w:val="0"/>
            <w:vAlign w:val="center"/>
          </w:tcPr>
          <w:p w14:paraId="0A511C2E">
            <w:pPr>
              <w:spacing w:line="360" w:lineRule="auto"/>
              <w:jc w:val="center"/>
              <w:rPr>
                <w:rFonts w:hint="eastAsia" w:ascii="宋体" w:hAnsi="宋体" w:cs="宋体"/>
                <w:sz w:val="24"/>
              </w:rPr>
            </w:pPr>
            <w:r>
              <w:rPr>
                <w:rFonts w:hint="eastAsia" w:ascii="宋体" w:hAnsi="宋体" w:cs="宋体"/>
                <w:sz w:val="24"/>
                <w:highlight w:val="white"/>
              </w:rPr>
              <w:t>偏差率</w:t>
            </w:r>
          </w:p>
        </w:tc>
        <w:tc>
          <w:tcPr>
            <w:tcW w:w="837" w:type="dxa"/>
            <w:vMerge w:val="continue"/>
            <w:noWrap w:val="0"/>
            <w:vAlign w:val="center"/>
          </w:tcPr>
          <w:p w14:paraId="320C8622">
            <w:pPr>
              <w:spacing w:line="360" w:lineRule="auto"/>
              <w:ind w:right="370" w:rightChars="176"/>
              <w:jc w:val="center"/>
              <w:rPr>
                <w:rFonts w:hint="eastAsia" w:ascii="宋体" w:hAnsi="宋体" w:cs="宋体"/>
                <w:sz w:val="24"/>
              </w:rPr>
            </w:pPr>
          </w:p>
        </w:tc>
        <w:tc>
          <w:tcPr>
            <w:tcW w:w="963" w:type="dxa"/>
            <w:noWrap w:val="0"/>
            <w:vAlign w:val="center"/>
          </w:tcPr>
          <w:p w14:paraId="094DB991">
            <w:pPr>
              <w:spacing w:line="360" w:lineRule="auto"/>
              <w:jc w:val="center"/>
              <w:rPr>
                <w:rFonts w:hint="eastAsia" w:ascii="宋体" w:hAnsi="宋体" w:cs="宋体"/>
                <w:sz w:val="24"/>
              </w:rPr>
            </w:pPr>
          </w:p>
        </w:tc>
        <w:tc>
          <w:tcPr>
            <w:tcW w:w="962" w:type="dxa"/>
            <w:noWrap w:val="0"/>
            <w:vAlign w:val="center"/>
          </w:tcPr>
          <w:p w14:paraId="0DD7ED02">
            <w:pPr>
              <w:spacing w:line="360" w:lineRule="auto"/>
              <w:jc w:val="center"/>
              <w:rPr>
                <w:rFonts w:hint="eastAsia" w:ascii="宋体" w:hAnsi="宋体" w:cs="宋体"/>
                <w:sz w:val="24"/>
              </w:rPr>
            </w:pPr>
          </w:p>
        </w:tc>
        <w:tc>
          <w:tcPr>
            <w:tcW w:w="913" w:type="dxa"/>
            <w:noWrap w:val="0"/>
            <w:vAlign w:val="center"/>
          </w:tcPr>
          <w:p w14:paraId="5C622860">
            <w:pPr>
              <w:spacing w:line="360" w:lineRule="auto"/>
              <w:jc w:val="center"/>
              <w:rPr>
                <w:rFonts w:hint="eastAsia" w:ascii="宋体" w:hAnsi="宋体" w:cs="宋体"/>
                <w:sz w:val="24"/>
              </w:rPr>
            </w:pPr>
          </w:p>
        </w:tc>
        <w:tc>
          <w:tcPr>
            <w:tcW w:w="1000" w:type="dxa"/>
            <w:noWrap w:val="0"/>
            <w:vAlign w:val="center"/>
          </w:tcPr>
          <w:p w14:paraId="076B29AF">
            <w:pPr>
              <w:spacing w:line="360" w:lineRule="auto"/>
              <w:jc w:val="center"/>
              <w:rPr>
                <w:rFonts w:hint="eastAsia" w:ascii="宋体" w:hAnsi="宋体" w:cs="宋体"/>
                <w:sz w:val="24"/>
              </w:rPr>
            </w:pPr>
          </w:p>
        </w:tc>
        <w:tc>
          <w:tcPr>
            <w:tcW w:w="1237" w:type="dxa"/>
            <w:noWrap w:val="0"/>
            <w:vAlign w:val="center"/>
          </w:tcPr>
          <w:p w14:paraId="71FD13F3">
            <w:pPr>
              <w:spacing w:line="360" w:lineRule="auto"/>
              <w:jc w:val="center"/>
              <w:rPr>
                <w:rFonts w:hint="eastAsia" w:ascii="宋体" w:hAnsi="宋体" w:cs="宋体"/>
                <w:sz w:val="24"/>
              </w:rPr>
            </w:pPr>
          </w:p>
        </w:tc>
        <w:tc>
          <w:tcPr>
            <w:tcW w:w="1034" w:type="dxa"/>
            <w:noWrap w:val="0"/>
            <w:vAlign w:val="center"/>
          </w:tcPr>
          <w:p w14:paraId="5C15C45E">
            <w:pPr>
              <w:spacing w:line="360" w:lineRule="auto"/>
              <w:jc w:val="center"/>
              <w:rPr>
                <w:rFonts w:hint="eastAsia" w:ascii="宋体" w:hAnsi="宋体" w:cs="宋体"/>
                <w:sz w:val="24"/>
              </w:rPr>
            </w:pPr>
          </w:p>
        </w:tc>
      </w:tr>
      <w:tr w14:paraId="190E85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559" w:type="dxa"/>
            <w:vMerge w:val="continue"/>
            <w:noWrap w:val="0"/>
            <w:vAlign w:val="center"/>
          </w:tcPr>
          <w:p w14:paraId="2A474355">
            <w:pPr>
              <w:spacing w:line="360" w:lineRule="auto"/>
              <w:jc w:val="center"/>
              <w:rPr>
                <w:rFonts w:hint="eastAsia" w:ascii="宋体" w:hAnsi="宋体" w:cs="宋体"/>
                <w:sz w:val="24"/>
              </w:rPr>
            </w:pPr>
          </w:p>
        </w:tc>
        <w:tc>
          <w:tcPr>
            <w:tcW w:w="2013" w:type="dxa"/>
            <w:noWrap w:val="0"/>
            <w:vAlign w:val="center"/>
          </w:tcPr>
          <w:p w14:paraId="2E195991">
            <w:pPr>
              <w:spacing w:line="360" w:lineRule="auto"/>
              <w:jc w:val="center"/>
              <w:rPr>
                <w:rFonts w:hint="eastAsia" w:ascii="宋体" w:hAnsi="宋体" w:cs="宋体"/>
                <w:sz w:val="24"/>
              </w:rPr>
            </w:pPr>
            <w:r>
              <w:rPr>
                <w:rFonts w:hint="eastAsia" w:ascii="宋体" w:hAnsi="宋体" w:cs="宋体"/>
                <w:sz w:val="24"/>
                <w:highlight w:val="white"/>
              </w:rPr>
              <w:t>施工投标报价</w:t>
            </w:r>
          </w:p>
          <w:p w14:paraId="15317ED0">
            <w:pPr>
              <w:spacing w:line="360" w:lineRule="auto"/>
              <w:jc w:val="center"/>
              <w:rPr>
                <w:rFonts w:hint="eastAsia" w:ascii="宋体" w:hAnsi="宋体" w:cs="宋体"/>
                <w:sz w:val="24"/>
              </w:rPr>
            </w:pPr>
            <w:r>
              <w:rPr>
                <w:rFonts w:hint="eastAsia" w:ascii="宋体" w:hAnsi="宋体" w:cs="宋体"/>
                <w:sz w:val="24"/>
                <w:highlight w:val="white"/>
              </w:rPr>
              <w:t>得分D2</w:t>
            </w:r>
          </w:p>
        </w:tc>
        <w:tc>
          <w:tcPr>
            <w:tcW w:w="837" w:type="dxa"/>
            <w:vMerge w:val="continue"/>
            <w:noWrap w:val="0"/>
            <w:vAlign w:val="center"/>
          </w:tcPr>
          <w:p w14:paraId="1D0FD8E2">
            <w:pPr>
              <w:spacing w:line="360" w:lineRule="auto"/>
              <w:ind w:right="370" w:rightChars="176"/>
              <w:jc w:val="center"/>
              <w:rPr>
                <w:rFonts w:hint="eastAsia" w:ascii="宋体" w:hAnsi="宋体" w:cs="宋体"/>
                <w:sz w:val="24"/>
              </w:rPr>
            </w:pPr>
          </w:p>
        </w:tc>
        <w:tc>
          <w:tcPr>
            <w:tcW w:w="963" w:type="dxa"/>
            <w:noWrap w:val="0"/>
            <w:vAlign w:val="center"/>
          </w:tcPr>
          <w:p w14:paraId="23387099">
            <w:pPr>
              <w:spacing w:line="360" w:lineRule="auto"/>
              <w:jc w:val="center"/>
              <w:rPr>
                <w:rFonts w:hint="eastAsia" w:ascii="宋体" w:hAnsi="宋体" w:cs="宋体"/>
                <w:sz w:val="24"/>
              </w:rPr>
            </w:pPr>
          </w:p>
        </w:tc>
        <w:tc>
          <w:tcPr>
            <w:tcW w:w="962" w:type="dxa"/>
            <w:noWrap w:val="0"/>
            <w:vAlign w:val="center"/>
          </w:tcPr>
          <w:p w14:paraId="183C3393">
            <w:pPr>
              <w:spacing w:line="360" w:lineRule="auto"/>
              <w:jc w:val="center"/>
              <w:rPr>
                <w:rFonts w:hint="eastAsia" w:ascii="宋体" w:hAnsi="宋体" w:cs="宋体"/>
                <w:sz w:val="24"/>
              </w:rPr>
            </w:pPr>
          </w:p>
        </w:tc>
        <w:tc>
          <w:tcPr>
            <w:tcW w:w="913" w:type="dxa"/>
            <w:noWrap w:val="0"/>
            <w:vAlign w:val="center"/>
          </w:tcPr>
          <w:p w14:paraId="3BEE5A98">
            <w:pPr>
              <w:spacing w:line="360" w:lineRule="auto"/>
              <w:jc w:val="center"/>
              <w:rPr>
                <w:rFonts w:hint="eastAsia" w:ascii="宋体" w:hAnsi="宋体" w:cs="宋体"/>
                <w:sz w:val="24"/>
              </w:rPr>
            </w:pPr>
          </w:p>
        </w:tc>
        <w:tc>
          <w:tcPr>
            <w:tcW w:w="1000" w:type="dxa"/>
            <w:noWrap w:val="0"/>
            <w:vAlign w:val="center"/>
          </w:tcPr>
          <w:p w14:paraId="28CC7131">
            <w:pPr>
              <w:spacing w:line="360" w:lineRule="auto"/>
              <w:jc w:val="center"/>
              <w:rPr>
                <w:rFonts w:hint="eastAsia" w:ascii="宋体" w:hAnsi="宋体" w:cs="宋体"/>
                <w:sz w:val="24"/>
              </w:rPr>
            </w:pPr>
          </w:p>
        </w:tc>
        <w:tc>
          <w:tcPr>
            <w:tcW w:w="1237" w:type="dxa"/>
            <w:noWrap w:val="0"/>
            <w:vAlign w:val="center"/>
          </w:tcPr>
          <w:p w14:paraId="4A8F43C9">
            <w:pPr>
              <w:spacing w:line="360" w:lineRule="auto"/>
              <w:jc w:val="center"/>
              <w:rPr>
                <w:rFonts w:hint="eastAsia" w:ascii="宋体" w:hAnsi="宋体" w:cs="宋体"/>
                <w:sz w:val="24"/>
              </w:rPr>
            </w:pPr>
          </w:p>
        </w:tc>
        <w:tc>
          <w:tcPr>
            <w:tcW w:w="1034" w:type="dxa"/>
            <w:noWrap w:val="0"/>
            <w:vAlign w:val="center"/>
          </w:tcPr>
          <w:p w14:paraId="5A709597">
            <w:pPr>
              <w:spacing w:line="360" w:lineRule="auto"/>
              <w:jc w:val="center"/>
              <w:rPr>
                <w:rFonts w:hint="eastAsia" w:ascii="宋体" w:hAnsi="宋体" w:cs="宋体"/>
                <w:sz w:val="24"/>
              </w:rPr>
            </w:pPr>
          </w:p>
        </w:tc>
      </w:tr>
      <w:tr w14:paraId="2DCF2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72" w:type="dxa"/>
            <w:gridSpan w:val="2"/>
            <w:noWrap w:val="0"/>
            <w:vAlign w:val="center"/>
          </w:tcPr>
          <w:p w14:paraId="4C1BED3C">
            <w:pPr>
              <w:spacing w:line="360" w:lineRule="auto"/>
              <w:jc w:val="center"/>
              <w:rPr>
                <w:rFonts w:hint="eastAsia" w:ascii="宋体" w:hAnsi="宋体" w:cs="宋体"/>
                <w:sz w:val="24"/>
              </w:rPr>
            </w:pPr>
            <w:r>
              <w:rPr>
                <w:rFonts w:hint="eastAsia" w:ascii="宋体" w:hAnsi="宋体" w:cs="宋体"/>
                <w:sz w:val="24"/>
                <w:highlight w:val="white"/>
              </w:rPr>
              <w:t>投标报价得分D=D1+D2</w:t>
            </w:r>
          </w:p>
        </w:tc>
        <w:tc>
          <w:tcPr>
            <w:tcW w:w="837" w:type="dxa"/>
            <w:noWrap w:val="0"/>
            <w:vAlign w:val="center"/>
          </w:tcPr>
          <w:p w14:paraId="37EC0D97">
            <w:pPr>
              <w:spacing w:line="360" w:lineRule="auto"/>
              <w:ind w:right="370" w:rightChars="176"/>
              <w:jc w:val="center"/>
              <w:rPr>
                <w:rFonts w:hint="eastAsia" w:ascii="宋体" w:hAnsi="宋体" w:cs="宋体"/>
                <w:sz w:val="24"/>
              </w:rPr>
            </w:pPr>
          </w:p>
        </w:tc>
        <w:tc>
          <w:tcPr>
            <w:tcW w:w="963" w:type="dxa"/>
            <w:noWrap w:val="0"/>
            <w:vAlign w:val="center"/>
          </w:tcPr>
          <w:p w14:paraId="17810353">
            <w:pPr>
              <w:spacing w:line="360" w:lineRule="auto"/>
              <w:jc w:val="center"/>
              <w:rPr>
                <w:rFonts w:hint="eastAsia" w:ascii="宋体" w:hAnsi="宋体" w:cs="宋体"/>
                <w:sz w:val="24"/>
              </w:rPr>
            </w:pPr>
          </w:p>
        </w:tc>
        <w:tc>
          <w:tcPr>
            <w:tcW w:w="962" w:type="dxa"/>
            <w:noWrap w:val="0"/>
            <w:vAlign w:val="center"/>
          </w:tcPr>
          <w:p w14:paraId="41CBBD8A">
            <w:pPr>
              <w:spacing w:line="360" w:lineRule="auto"/>
              <w:jc w:val="center"/>
              <w:rPr>
                <w:rFonts w:hint="eastAsia" w:ascii="宋体" w:hAnsi="宋体" w:cs="宋体"/>
                <w:sz w:val="24"/>
              </w:rPr>
            </w:pPr>
          </w:p>
        </w:tc>
        <w:tc>
          <w:tcPr>
            <w:tcW w:w="913" w:type="dxa"/>
            <w:noWrap w:val="0"/>
            <w:vAlign w:val="center"/>
          </w:tcPr>
          <w:p w14:paraId="73EB4E79">
            <w:pPr>
              <w:spacing w:line="360" w:lineRule="auto"/>
              <w:jc w:val="center"/>
              <w:rPr>
                <w:rFonts w:hint="eastAsia" w:ascii="宋体" w:hAnsi="宋体" w:cs="宋体"/>
                <w:sz w:val="24"/>
              </w:rPr>
            </w:pPr>
          </w:p>
        </w:tc>
        <w:tc>
          <w:tcPr>
            <w:tcW w:w="1000" w:type="dxa"/>
            <w:noWrap w:val="0"/>
            <w:vAlign w:val="center"/>
          </w:tcPr>
          <w:p w14:paraId="7CF2C53F">
            <w:pPr>
              <w:spacing w:line="360" w:lineRule="auto"/>
              <w:jc w:val="center"/>
              <w:rPr>
                <w:rFonts w:hint="eastAsia" w:ascii="宋体" w:hAnsi="宋体" w:cs="宋体"/>
                <w:sz w:val="24"/>
              </w:rPr>
            </w:pPr>
          </w:p>
        </w:tc>
        <w:tc>
          <w:tcPr>
            <w:tcW w:w="1237" w:type="dxa"/>
            <w:noWrap w:val="0"/>
            <w:vAlign w:val="center"/>
          </w:tcPr>
          <w:p w14:paraId="058D6784">
            <w:pPr>
              <w:spacing w:line="360" w:lineRule="auto"/>
              <w:jc w:val="center"/>
              <w:rPr>
                <w:rFonts w:hint="eastAsia" w:ascii="宋体" w:hAnsi="宋体" w:cs="宋体"/>
                <w:sz w:val="24"/>
              </w:rPr>
            </w:pPr>
          </w:p>
        </w:tc>
        <w:tc>
          <w:tcPr>
            <w:tcW w:w="1034" w:type="dxa"/>
            <w:noWrap w:val="0"/>
            <w:vAlign w:val="center"/>
          </w:tcPr>
          <w:p w14:paraId="6477A5EC">
            <w:pPr>
              <w:spacing w:line="360" w:lineRule="auto"/>
              <w:jc w:val="center"/>
              <w:rPr>
                <w:rFonts w:hint="eastAsia" w:ascii="宋体" w:hAnsi="宋体" w:cs="宋体"/>
                <w:sz w:val="24"/>
              </w:rPr>
            </w:pPr>
          </w:p>
        </w:tc>
      </w:tr>
    </w:tbl>
    <w:p w14:paraId="4B1ED1CF">
      <w:pPr>
        <w:spacing w:line="360" w:lineRule="auto"/>
        <w:rPr>
          <w:rFonts w:hint="eastAsia" w:ascii="宋体" w:hAnsi="宋体" w:cs="宋体"/>
          <w:sz w:val="24"/>
        </w:rPr>
      </w:pPr>
    </w:p>
    <w:p w14:paraId="78B50FD5">
      <w:pPr>
        <w:spacing w:line="360" w:lineRule="auto"/>
        <w:rPr>
          <w:rFonts w:hint="eastAsia" w:ascii="宋体" w:hAnsi="宋体" w:cs="宋体"/>
          <w:sz w:val="24"/>
        </w:rPr>
      </w:pPr>
      <w:r>
        <w:rPr>
          <w:rFonts w:hint="eastAsia" w:ascii="宋体" w:hAnsi="宋体" w:cs="宋体"/>
          <w:sz w:val="24"/>
          <w:highlight w:val="white"/>
        </w:rPr>
        <w:t>评标委员会全体成员签名：</w:t>
      </w:r>
    </w:p>
    <w:p w14:paraId="503DBAF3">
      <w:pPr>
        <w:pStyle w:val="3"/>
        <w:rPr>
          <w:rFonts w:hint="eastAsia" w:ascii="宋体" w:hAnsi="宋体" w:eastAsia="宋体" w:cs="宋体"/>
          <w:sz w:val="24"/>
          <w:szCs w:val="24"/>
        </w:rPr>
      </w:pPr>
      <w:r>
        <w:rPr>
          <w:rFonts w:ascii="宋体" w:hAnsi="宋体" w:eastAsia="宋体" w:cs="宋体"/>
          <w:sz w:val="24"/>
          <w:szCs w:val="24"/>
          <w:highlight w:val="white"/>
        </w:rPr>
        <w:br w:type="page"/>
      </w:r>
      <w:bookmarkStart w:id="222" w:name="_Toc256000093"/>
      <w:r>
        <w:rPr>
          <w:rFonts w:hint="eastAsia" w:ascii="宋体" w:hAnsi="宋体" w:eastAsia="宋体" w:cs="宋体"/>
          <w:sz w:val="24"/>
          <w:szCs w:val="24"/>
          <w:highlight w:val="white"/>
        </w:rPr>
        <w:t>附表10：其他因素评审记录表</w:t>
      </w:r>
      <w:bookmarkEnd w:id="222"/>
    </w:p>
    <w:p w14:paraId="7DECAF8E">
      <w:pPr>
        <w:spacing w:line="360" w:lineRule="auto"/>
        <w:jc w:val="center"/>
        <w:rPr>
          <w:rFonts w:hint="eastAsia" w:ascii="宋体" w:hAnsi="宋体" w:cs="宋体"/>
          <w:b/>
          <w:sz w:val="24"/>
        </w:rPr>
      </w:pPr>
      <w:r>
        <w:rPr>
          <w:rFonts w:hint="eastAsia" w:ascii="宋体" w:hAnsi="宋体" w:cs="宋体"/>
          <w:b/>
          <w:sz w:val="24"/>
          <w:highlight w:val="white"/>
        </w:rPr>
        <w:t>其他因素评审记录表</w:t>
      </w:r>
    </w:p>
    <w:p w14:paraId="7D174539">
      <w:pPr>
        <w:spacing w:line="360" w:lineRule="auto"/>
        <w:jc w:val="center"/>
        <w:rPr>
          <w:rFonts w:hint="eastAsia" w:ascii="宋体" w:hAnsi="宋体" w:cs="宋体"/>
          <w:b/>
          <w:sz w:val="24"/>
        </w:rPr>
      </w:pPr>
    </w:p>
    <w:p w14:paraId="1C3088AF">
      <w:pPr>
        <w:spacing w:line="360" w:lineRule="auto"/>
        <w:ind w:firstLine="240" w:firstLineChars="100"/>
        <w:rPr>
          <w:rFonts w:hint="eastAsia"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09"/>
        <w:gridCol w:w="1540"/>
        <w:gridCol w:w="852"/>
        <w:gridCol w:w="739"/>
        <w:gridCol w:w="746"/>
        <w:gridCol w:w="748"/>
        <w:gridCol w:w="746"/>
        <w:gridCol w:w="748"/>
        <w:gridCol w:w="746"/>
        <w:gridCol w:w="748"/>
      </w:tblGrid>
      <w:tr w14:paraId="2142E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909" w:type="dxa"/>
            <w:vMerge w:val="restart"/>
            <w:noWrap w:val="0"/>
            <w:vAlign w:val="center"/>
          </w:tcPr>
          <w:p w14:paraId="4B1311FB">
            <w:pPr>
              <w:spacing w:line="360" w:lineRule="auto"/>
              <w:jc w:val="center"/>
              <w:rPr>
                <w:rFonts w:hint="eastAsia" w:ascii="宋体" w:hAnsi="宋体" w:cs="宋体"/>
                <w:sz w:val="24"/>
              </w:rPr>
            </w:pPr>
            <w:r>
              <w:rPr>
                <w:rFonts w:hint="eastAsia" w:ascii="宋体" w:hAnsi="宋体" w:cs="宋体"/>
                <w:sz w:val="24"/>
                <w:highlight w:val="white"/>
              </w:rPr>
              <w:t>序号</w:t>
            </w:r>
          </w:p>
        </w:tc>
        <w:tc>
          <w:tcPr>
            <w:tcW w:w="1540" w:type="dxa"/>
            <w:vMerge w:val="restart"/>
            <w:noWrap w:val="0"/>
            <w:vAlign w:val="center"/>
          </w:tcPr>
          <w:p w14:paraId="4C3B0C88">
            <w:pPr>
              <w:spacing w:line="360" w:lineRule="auto"/>
              <w:jc w:val="center"/>
              <w:rPr>
                <w:rFonts w:hint="eastAsia" w:ascii="宋体" w:hAnsi="宋体" w:cs="宋体"/>
                <w:sz w:val="24"/>
              </w:rPr>
            </w:pPr>
            <w:r>
              <w:rPr>
                <w:rFonts w:hint="eastAsia" w:ascii="宋体" w:hAnsi="宋体" w:cs="宋体"/>
                <w:sz w:val="24"/>
                <w:highlight w:val="white"/>
              </w:rPr>
              <w:t>评分因素</w:t>
            </w:r>
          </w:p>
        </w:tc>
        <w:tc>
          <w:tcPr>
            <w:tcW w:w="852" w:type="dxa"/>
            <w:vMerge w:val="restart"/>
            <w:noWrap w:val="0"/>
            <w:vAlign w:val="center"/>
          </w:tcPr>
          <w:p w14:paraId="606B80C9">
            <w:pPr>
              <w:spacing w:line="360" w:lineRule="auto"/>
              <w:jc w:val="center"/>
              <w:rPr>
                <w:rFonts w:hint="eastAsia" w:ascii="宋体" w:hAnsi="宋体" w:cs="宋体"/>
                <w:sz w:val="24"/>
              </w:rPr>
            </w:pPr>
            <w:r>
              <w:rPr>
                <w:rFonts w:hint="eastAsia" w:ascii="宋体" w:hAnsi="宋体" w:cs="宋体"/>
                <w:sz w:val="24"/>
                <w:highlight w:val="white"/>
              </w:rPr>
              <w:t>分值</w:t>
            </w:r>
          </w:p>
        </w:tc>
        <w:tc>
          <w:tcPr>
            <w:tcW w:w="5221" w:type="dxa"/>
            <w:gridSpan w:val="7"/>
            <w:noWrap w:val="0"/>
            <w:vAlign w:val="center"/>
          </w:tcPr>
          <w:p w14:paraId="1E2517DF">
            <w:pPr>
              <w:spacing w:line="360" w:lineRule="auto"/>
              <w:jc w:val="center"/>
              <w:rPr>
                <w:rFonts w:hint="eastAsia" w:ascii="宋体" w:hAnsi="宋体" w:cs="宋体"/>
                <w:sz w:val="24"/>
              </w:rPr>
            </w:pPr>
            <w:r>
              <w:rPr>
                <w:rFonts w:hint="eastAsia" w:ascii="宋体" w:hAnsi="宋体" w:cs="宋体"/>
                <w:sz w:val="24"/>
                <w:highlight w:val="white"/>
              </w:rPr>
              <w:t>投标人名称及评审意见</w:t>
            </w:r>
          </w:p>
        </w:tc>
      </w:tr>
      <w:tr w14:paraId="393A50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909" w:type="dxa"/>
            <w:vMerge w:val="continue"/>
            <w:noWrap w:val="0"/>
            <w:vAlign w:val="center"/>
          </w:tcPr>
          <w:p w14:paraId="41B0E1E4">
            <w:pPr>
              <w:spacing w:line="360" w:lineRule="auto"/>
              <w:rPr>
                <w:rFonts w:hint="eastAsia" w:ascii="宋体" w:hAnsi="宋体" w:cs="宋体"/>
                <w:sz w:val="24"/>
              </w:rPr>
            </w:pPr>
          </w:p>
        </w:tc>
        <w:tc>
          <w:tcPr>
            <w:tcW w:w="1540" w:type="dxa"/>
            <w:vMerge w:val="continue"/>
            <w:noWrap w:val="0"/>
            <w:vAlign w:val="center"/>
          </w:tcPr>
          <w:p w14:paraId="1A9492B7">
            <w:pPr>
              <w:spacing w:line="360" w:lineRule="auto"/>
              <w:rPr>
                <w:rFonts w:hint="eastAsia" w:ascii="宋体" w:hAnsi="宋体" w:cs="宋体"/>
                <w:sz w:val="24"/>
              </w:rPr>
            </w:pPr>
          </w:p>
        </w:tc>
        <w:tc>
          <w:tcPr>
            <w:tcW w:w="852" w:type="dxa"/>
            <w:vMerge w:val="continue"/>
            <w:noWrap w:val="0"/>
            <w:vAlign w:val="center"/>
          </w:tcPr>
          <w:p w14:paraId="64C8903D">
            <w:pPr>
              <w:spacing w:line="360" w:lineRule="auto"/>
              <w:rPr>
                <w:rFonts w:hint="eastAsia" w:ascii="宋体" w:hAnsi="宋体" w:cs="宋体"/>
                <w:sz w:val="24"/>
              </w:rPr>
            </w:pPr>
          </w:p>
        </w:tc>
        <w:tc>
          <w:tcPr>
            <w:tcW w:w="739" w:type="dxa"/>
            <w:noWrap w:val="0"/>
            <w:vAlign w:val="center"/>
          </w:tcPr>
          <w:p w14:paraId="4A8ED086">
            <w:pPr>
              <w:spacing w:line="360" w:lineRule="auto"/>
              <w:jc w:val="center"/>
              <w:rPr>
                <w:rFonts w:hint="eastAsia" w:ascii="宋体" w:hAnsi="宋体" w:cs="宋体"/>
                <w:sz w:val="24"/>
              </w:rPr>
            </w:pPr>
          </w:p>
        </w:tc>
        <w:tc>
          <w:tcPr>
            <w:tcW w:w="746" w:type="dxa"/>
            <w:noWrap w:val="0"/>
            <w:vAlign w:val="center"/>
          </w:tcPr>
          <w:p w14:paraId="43E63A92">
            <w:pPr>
              <w:spacing w:line="360" w:lineRule="auto"/>
              <w:jc w:val="center"/>
              <w:rPr>
                <w:rFonts w:hint="eastAsia" w:ascii="宋体" w:hAnsi="宋体" w:cs="宋体"/>
                <w:sz w:val="24"/>
              </w:rPr>
            </w:pPr>
          </w:p>
        </w:tc>
        <w:tc>
          <w:tcPr>
            <w:tcW w:w="748" w:type="dxa"/>
            <w:noWrap w:val="0"/>
            <w:vAlign w:val="center"/>
          </w:tcPr>
          <w:p w14:paraId="42470273">
            <w:pPr>
              <w:spacing w:line="360" w:lineRule="auto"/>
              <w:jc w:val="center"/>
              <w:rPr>
                <w:rFonts w:hint="eastAsia" w:ascii="宋体" w:hAnsi="宋体" w:cs="宋体"/>
                <w:sz w:val="24"/>
              </w:rPr>
            </w:pPr>
          </w:p>
        </w:tc>
        <w:tc>
          <w:tcPr>
            <w:tcW w:w="746" w:type="dxa"/>
            <w:noWrap w:val="0"/>
            <w:vAlign w:val="center"/>
          </w:tcPr>
          <w:p w14:paraId="007A5C76">
            <w:pPr>
              <w:spacing w:line="360" w:lineRule="auto"/>
              <w:jc w:val="center"/>
              <w:rPr>
                <w:rFonts w:hint="eastAsia" w:ascii="宋体" w:hAnsi="宋体" w:cs="宋体"/>
                <w:sz w:val="24"/>
              </w:rPr>
            </w:pPr>
          </w:p>
        </w:tc>
        <w:tc>
          <w:tcPr>
            <w:tcW w:w="748" w:type="dxa"/>
            <w:noWrap w:val="0"/>
            <w:vAlign w:val="center"/>
          </w:tcPr>
          <w:p w14:paraId="4540D011">
            <w:pPr>
              <w:spacing w:line="360" w:lineRule="auto"/>
              <w:jc w:val="center"/>
              <w:rPr>
                <w:rFonts w:hint="eastAsia" w:ascii="宋体" w:hAnsi="宋体" w:cs="宋体"/>
                <w:sz w:val="24"/>
              </w:rPr>
            </w:pPr>
          </w:p>
        </w:tc>
        <w:tc>
          <w:tcPr>
            <w:tcW w:w="746" w:type="dxa"/>
            <w:noWrap w:val="0"/>
            <w:vAlign w:val="center"/>
          </w:tcPr>
          <w:p w14:paraId="020200DB">
            <w:pPr>
              <w:spacing w:line="360" w:lineRule="auto"/>
              <w:jc w:val="center"/>
              <w:rPr>
                <w:rFonts w:hint="eastAsia" w:ascii="宋体" w:hAnsi="宋体" w:cs="宋体"/>
                <w:sz w:val="24"/>
              </w:rPr>
            </w:pPr>
          </w:p>
        </w:tc>
        <w:tc>
          <w:tcPr>
            <w:tcW w:w="748" w:type="dxa"/>
            <w:noWrap w:val="0"/>
            <w:vAlign w:val="center"/>
          </w:tcPr>
          <w:p w14:paraId="402F5886">
            <w:pPr>
              <w:spacing w:line="360" w:lineRule="auto"/>
              <w:jc w:val="center"/>
              <w:rPr>
                <w:rFonts w:hint="eastAsia" w:ascii="宋体" w:hAnsi="宋体" w:cs="宋体"/>
                <w:sz w:val="24"/>
              </w:rPr>
            </w:pPr>
          </w:p>
        </w:tc>
      </w:tr>
      <w:tr w14:paraId="1457C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909" w:type="dxa"/>
            <w:noWrap w:val="0"/>
            <w:vAlign w:val="center"/>
          </w:tcPr>
          <w:p w14:paraId="0134EABA">
            <w:pPr>
              <w:spacing w:line="360" w:lineRule="auto"/>
              <w:jc w:val="center"/>
              <w:rPr>
                <w:rFonts w:hint="eastAsia" w:ascii="宋体" w:hAnsi="宋体" w:cs="宋体"/>
                <w:sz w:val="24"/>
              </w:rPr>
            </w:pPr>
            <w:r>
              <w:rPr>
                <w:rFonts w:hint="eastAsia" w:ascii="宋体" w:hAnsi="宋体" w:cs="宋体"/>
                <w:sz w:val="24"/>
                <w:highlight w:val="white"/>
              </w:rPr>
              <w:t>1</w:t>
            </w:r>
          </w:p>
        </w:tc>
        <w:tc>
          <w:tcPr>
            <w:tcW w:w="1540" w:type="dxa"/>
            <w:noWrap w:val="0"/>
            <w:vAlign w:val="center"/>
          </w:tcPr>
          <w:p w14:paraId="6216FDE7">
            <w:pPr>
              <w:spacing w:line="360" w:lineRule="auto"/>
              <w:jc w:val="center"/>
              <w:rPr>
                <w:rFonts w:hint="eastAsia" w:ascii="宋体" w:hAnsi="宋体" w:cs="宋体"/>
                <w:sz w:val="24"/>
              </w:rPr>
            </w:pPr>
            <w:r>
              <w:rPr>
                <w:rFonts w:hint="eastAsia" w:ascii="宋体" w:hAnsi="宋体" w:cs="宋体"/>
                <w:sz w:val="24"/>
                <w:highlight w:val="white"/>
              </w:rPr>
              <w:t>……</w:t>
            </w:r>
          </w:p>
        </w:tc>
        <w:tc>
          <w:tcPr>
            <w:tcW w:w="852" w:type="dxa"/>
            <w:noWrap w:val="0"/>
            <w:vAlign w:val="center"/>
          </w:tcPr>
          <w:p w14:paraId="5B3F25E3">
            <w:pPr>
              <w:spacing w:line="360" w:lineRule="auto"/>
              <w:jc w:val="center"/>
              <w:rPr>
                <w:rFonts w:hint="eastAsia" w:ascii="宋体" w:hAnsi="宋体" w:cs="宋体"/>
                <w:sz w:val="24"/>
              </w:rPr>
            </w:pPr>
            <w:r>
              <w:rPr>
                <w:rFonts w:hint="eastAsia" w:ascii="宋体" w:hAnsi="宋体" w:cs="宋体"/>
                <w:sz w:val="24"/>
                <w:highlight w:val="white"/>
              </w:rPr>
              <w:t>……</w:t>
            </w:r>
          </w:p>
        </w:tc>
        <w:tc>
          <w:tcPr>
            <w:tcW w:w="739" w:type="dxa"/>
            <w:noWrap w:val="0"/>
            <w:vAlign w:val="center"/>
          </w:tcPr>
          <w:p w14:paraId="511D38DA">
            <w:pPr>
              <w:spacing w:line="360" w:lineRule="auto"/>
              <w:jc w:val="center"/>
              <w:rPr>
                <w:rFonts w:hint="eastAsia" w:ascii="宋体" w:hAnsi="宋体" w:cs="宋体"/>
                <w:sz w:val="24"/>
              </w:rPr>
            </w:pPr>
          </w:p>
        </w:tc>
        <w:tc>
          <w:tcPr>
            <w:tcW w:w="746" w:type="dxa"/>
            <w:noWrap w:val="0"/>
            <w:vAlign w:val="center"/>
          </w:tcPr>
          <w:p w14:paraId="7DB6DFDC">
            <w:pPr>
              <w:spacing w:line="360" w:lineRule="auto"/>
              <w:jc w:val="center"/>
              <w:rPr>
                <w:rFonts w:hint="eastAsia" w:ascii="宋体" w:hAnsi="宋体" w:cs="宋体"/>
                <w:sz w:val="24"/>
              </w:rPr>
            </w:pPr>
          </w:p>
        </w:tc>
        <w:tc>
          <w:tcPr>
            <w:tcW w:w="748" w:type="dxa"/>
            <w:noWrap w:val="0"/>
            <w:vAlign w:val="center"/>
          </w:tcPr>
          <w:p w14:paraId="4062B671">
            <w:pPr>
              <w:spacing w:line="360" w:lineRule="auto"/>
              <w:jc w:val="center"/>
              <w:rPr>
                <w:rFonts w:hint="eastAsia" w:ascii="宋体" w:hAnsi="宋体" w:cs="宋体"/>
                <w:sz w:val="24"/>
              </w:rPr>
            </w:pPr>
          </w:p>
        </w:tc>
        <w:tc>
          <w:tcPr>
            <w:tcW w:w="746" w:type="dxa"/>
            <w:noWrap w:val="0"/>
            <w:vAlign w:val="center"/>
          </w:tcPr>
          <w:p w14:paraId="522C1ADB">
            <w:pPr>
              <w:spacing w:line="360" w:lineRule="auto"/>
              <w:jc w:val="center"/>
              <w:rPr>
                <w:rFonts w:hint="eastAsia" w:ascii="宋体" w:hAnsi="宋体" w:cs="宋体"/>
                <w:sz w:val="24"/>
              </w:rPr>
            </w:pPr>
          </w:p>
        </w:tc>
        <w:tc>
          <w:tcPr>
            <w:tcW w:w="748" w:type="dxa"/>
            <w:noWrap w:val="0"/>
            <w:vAlign w:val="center"/>
          </w:tcPr>
          <w:p w14:paraId="7FE939CB">
            <w:pPr>
              <w:spacing w:line="360" w:lineRule="auto"/>
              <w:jc w:val="center"/>
              <w:rPr>
                <w:rFonts w:hint="eastAsia" w:ascii="宋体" w:hAnsi="宋体" w:cs="宋体"/>
                <w:sz w:val="24"/>
              </w:rPr>
            </w:pPr>
          </w:p>
        </w:tc>
        <w:tc>
          <w:tcPr>
            <w:tcW w:w="746" w:type="dxa"/>
            <w:noWrap w:val="0"/>
            <w:vAlign w:val="center"/>
          </w:tcPr>
          <w:p w14:paraId="5499BF42">
            <w:pPr>
              <w:spacing w:line="360" w:lineRule="auto"/>
              <w:jc w:val="center"/>
              <w:rPr>
                <w:rFonts w:hint="eastAsia" w:ascii="宋体" w:hAnsi="宋体" w:cs="宋体"/>
                <w:sz w:val="24"/>
              </w:rPr>
            </w:pPr>
          </w:p>
        </w:tc>
        <w:tc>
          <w:tcPr>
            <w:tcW w:w="748" w:type="dxa"/>
            <w:noWrap w:val="0"/>
            <w:vAlign w:val="center"/>
          </w:tcPr>
          <w:p w14:paraId="56A097BE">
            <w:pPr>
              <w:spacing w:line="360" w:lineRule="auto"/>
              <w:jc w:val="center"/>
              <w:rPr>
                <w:rFonts w:hint="eastAsia" w:ascii="宋体" w:hAnsi="宋体" w:cs="宋体"/>
                <w:sz w:val="24"/>
              </w:rPr>
            </w:pPr>
          </w:p>
        </w:tc>
      </w:tr>
      <w:tr w14:paraId="181674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909" w:type="dxa"/>
            <w:noWrap w:val="0"/>
            <w:vAlign w:val="center"/>
          </w:tcPr>
          <w:p w14:paraId="76FF1F92">
            <w:pPr>
              <w:spacing w:line="360" w:lineRule="auto"/>
              <w:jc w:val="center"/>
              <w:rPr>
                <w:rFonts w:hint="eastAsia" w:ascii="宋体" w:hAnsi="宋体" w:cs="宋体"/>
                <w:sz w:val="24"/>
              </w:rPr>
            </w:pPr>
            <w:r>
              <w:rPr>
                <w:rFonts w:hint="eastAsia" w:ascii="宋体" w:hAnsi="宋体" w:cs="宋体"/>
                <w:sz w:val="24"/>
                <w:highlight w:val="white"/>
              </w:rPr>
              <w:t>2</w:t>
            </w:r>
          </w:p>
        </w:tc>
        <w:tc>
          <w:tcPr>
            <w:tcW w:w="1540" w:type="dxa"/>
            <w:noWrap w:val="0"/>
            <w:vAlign w:val="center"/>
          </w:tcPr>
          <w:p w14:paraId="0B84BF5C">
            <w:pPr>
              <w:spacing w:line="360" w:lineRule="auto"/>
              <w:jc w:val="center"/>
              <w:rPr>
                <w:rFonts w:hint="eastAsia" w:ascii="宋体" w:hAnsi="宋体" w:cs="宋体"/>
                <w:sz w:val="24"/>
              </w:rPr>
            </w:pPr>
            <w:r>
              <w:rPr>
                <w:rFonts w:hint="eastAsia" w:ascii="宋体" w:hAnsi="宋体" w:cs="宋体"/>
                <w:sz w:val="24"/>
                <w:highlight w:val="white"/>
              </w:rPr>
              <w:t>……</w:t>
            </w:r>
          </w:p>
        </w:tc>
        <w:tc>
          <w:tcPr>
            <w:tcW w:w="852" w:type="dxa"/>
            <w:noWrap w:val="0"/>
            <w:vAlign w:val="center"/>
          </w:tcPr>
          <w:p w14:paraId="08386184">
            <w:pPr>
              <w:spacing w:line="360" w:lineRule="auto"/>
              <w:jc w:val="center"/>
              <w:rPr>
                <w:rFonts w:hint="eastAsia" w:ascii="宋体" w:hAnsi="宋体" w:cs="宋体"/>
                <w:sz w:val="24"/>
              </w:rPr>
            </w:pPr>
            <w:r>
              <w:rPr>
                <w:rFonts w:hint="eastAsia" w:ascii="宋体" w:hAnsi="宋体" w:cs="宋体"/>
                <w:sz w:val="24"/>
                <w:highlight w:val="white"/>
              </w:rPr>
              <w:t>……</w:t>
            </w:r>
          </w:p>
        </w:tc>
        <w:tc>
          <w:tcPr>
            <w:tcW w:w="739" w:type="dxa"/>
            <w:noWrap w:val="0"/>
            <w:vAlign w:val="center"/>
          </w:tcPr>
          <w:p w14:paraId="4E650703">
            <w:pPr>
              <w:spacing w:line="360" w:lineRule="auto"/>
              <w:jc w:val="center"/>
              <w:rPr>
                <w:rFonts w:hint="eastAsia" w:ascii="宋体" w:hAnsi="宋体" w:cs="宋体"/>
                <w:sz w:val="24"/>
              </w:rPr>
            </w:pPr>
          </w:p>
        </w:tc>
        <w:tc>
          <w:tcPr>
            <w:tcW w:w="746" w:type="dxa"/>
            <w:noWrap w:val="0"/>
            <w:vAlign w:val="center"/>
          </w:tcPr>
          <w:p w14:paraId="3A4DFBAE">
            <w:pPr>
              <w:spacing w:line="360" w:lineRule="auto"/>
              <w:jc w:val="center"/>
              <w:rPr>
                <w:rFonts w:hint="eastAsia" w:ascii="宋体" w:hAnsi="宋体" w:cs="宋体"/>
                <w:sz w:val="24"/>
              </w:rPr>
            </w:pPr>
          </w:p>
        </w:tc>
        <w:tc>
          <w:tcPr>
            <w:tcW w:w="748" w:type="dxa"/>
            <w:noWrap w:val="0"/>
            <w:vAlign w:val="center"/>
          </w:tcPr>
          <w:p w14:paraId="23FD9ED3">
            <w:pPr>
              <w:spacing w:line="360" w:lineRule="auto"/>
              <w:jc w:val="center"/>
              <w:rPr>
                <w:rFonts w:hint="eastAsia" w:ascii="宋体" w:hAnsi="宋体" w:cs="宋体"/>
                <w:sz w:val="24"/>
              </w:rPr>
            </w:pPr>
          </w:p>
        </w:tc>
        <w:tc>
          <w:tcPr>
            <w:tcW w:w="746" w:type="dxa"/>
            <w:noWrap w:val="0"/>
            <w:vAlign w:val="center"/>
          </w:tcPr>
          <w:p w14:paraId="3520EE1E">
            <w:pPr>
              <w:spacing w:line="360" w:lineRule="auto"/>
              <w:jc w:val="center"/>
              <w:rPr>
                <w:rFonts w:hint="eastAsia" w:ascii="宋体" w:hAnsi="宋体" w:cs="宋体"/>
                <w:sz w:val="24"/>
              </w:rPr>
            </w:pPr>
          </w:p>
        </w:tc>
        <w:tc>
          <w:tcPr>
            <w:tcW w:w="748" w:type="dxa"/>
            <w:noWrap w:val="0"/>
            <w:vAlign w:val="center"/>
          </w:tcPr>
          <w:p w14:paraId="703F35CE">
            <w:pPr>
              <w:spacing w:line="360" w:lineRule="auto"/>
              <w:jc w:val="center"/>
              <w:rPr>
                <w:rFonts w:hint="eastAsia" w:ascii="宋体" w:hAnsi="宋体" w:cs="宋体"/>
                <w:sz w:val="24"/>
              </w:rPr>
            </w:pPr>
          </w:p>
        </w:tc>
        <w:tc>
          <w:tcPr>
            <w:tcW w:w="746" w:type="dxa"/>
            <w:noWrap w:val="0"/>
            <w:vAlign w:val="center"/>
          </w:tcPr>
          <w:p w14:paraId="44518AF9">
            <w:pPr>
              <w:spacing w:line="360" w:lineRule="auto"/>
              <w:jc w:val="center"/>
              <w:rPr>
                <w:rFonts w:hint="eastAsia" w:ascii="宋体" w:hAnsi="宋体" w:cs="宋体"/>
                <w:sz w:val="24"/>
              </w:rPr>
            </w:pPr>
          </w:p>
        </w:tc>
        <w:tc>
          <w:tcPr>
            <w:tcW w:w="748" w:type="dxa"/>
            <w:noWrap w:val="0"/>
            <w:vAlign w:val="center"/>
          </w:tcPr>
          <w:p w14:paraId="37D1D424">
            <w:pPr>
              <w:spacing w:line="360" w:lineRule="auto"/>
              <w:jc w:val="center"/>
              <w:rPr>
                <w:rFonts w:hint="eastAsia" w:ascii="宋体" w:hAnsi="宋体" w:cs="宋体"/>
                <w:sz w:val="24"/>
              </w:rPr>
            </w:pPr>
          </w:p>
        </w:tc>
      </w:tr>
      <w:tr w14:paraId="4BC7AB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909" w:type="dxa"/>
            <w:noWrap w:val="0"/>
            <w:vAlign w:val="center"/>
          </w:tcPr>
          <w:p w14:paraId="1EEB8722">
            <w:pPr>
              <w:spacing w:line="360" w:lineRule="auto"/>
              <w:jc w:val="center"/>
              <w:rPr>
                <w:rFonts w:hint="eastAsia" w:ascii="宋体" w:hAnsi="宋体" w:cs="宋体"/>
                <w:sz w:val="24"/>
              </w:rPr>
            </w:pPr>
            <w:r>
              <w:rPr>
                <w:rFonts w:hint="eastAsia" w:ascii="宋体" w:hAnsi="宋体" w:cs="宋体"/>
                <w:sz w:val="24"/>
                <w:highlight w:val="white"/>
              </w:rPr>
              <w:t>3</w:t>
            </w:r>
          </w:p>
        </w:tc>
        <w:tc>
          <w:tcPr>
            <w:tcW w:w="1540" w:type="dxa"/>
            <w:noWrap w:val="0"/>
            <w:vAlign w:val="center"/>
          </w:tcPr>
          <w:p w14:paraId="1FB4C3F7">
            <w:pPr>
              <w:spacing w:line="360" w:lineRule="auto"/>
              <w:jc w:val="center"/>
              <w:rPr>
                <w:rFonts w:hint="eastAsia" w:ascii="宋体" w:hAnsi="宋体" w:cs="宋体"/>
                <w:sz w:val="24"/>
              </w:rPr>
            </w:pPr>
            <w:r>
              <w:rPr>
                <w:rFonts w:hint="eastAsia" w:ascii="宋体" w:hAnsi="宋体" w:cs="宋体"/>
                <w:sz w:val="24"/>
                <w:highlight w:val="white"/>
              </w:rPr>
              <w:t>……</w:t>
            </w:r>
          </w:p>
        </w:tc>
        <w:tc>
          <w:tcPr>
            <w:tcW w:w="852" w:type="dxa"/>
            <w:noWrap w:val="0"/>
            <w:vAlign w:val="center"/>
          </w:tcPr>
          <w:p w14:paraId="43C2ACF7">
            <w:pPr>
              <w:spacing w:line="360" w:lineRule="auto"/>
              <w:jc w:val="center"/>
              <w:rPr>
                <w:rFonts w:hint="eastAsia" w:ascii="宋体" w:hAnsi="宋体" w:cs="宋体"/>
                <w:sz w:val="24"/>
              </w:rPr>
            </w:pPr>
            <w:r>
              <w:rPr>
                <w:rFonts w:hint="eastAsia" w:ascii="宋体" w:hAnsi="宋体" w:cs="宋体"/>
                <w:sz w:val="24"/>
                <w:highlight w:val="white"/>
              </w:rPr>
              <w:t>……</w:t>
            </w:r>
          </w:p>
        </w:tc>
        <w:tc>
          <w:tcPr>
            <w:tcW w:w="739" w:type="dxa"/>
            <w:noWrap w:val="0"/>
            <w:vAlign w:val="center"/>
          </w:tcPr>
          <w:p w14:paraId="730F3709">
            <w:pPr>
              <w:spacing w:line="360" w:lineRule="auto"/>
              <w:jc w:val="center"/>
              <w:rPr>
                <w:rFonts w:hint="eastAsia" w:ascii="宋体" w:hAnsi="宋体" w:cs="宋体"/>
                <w:sz w:val="24"/>
              </w:rPr>
            </w:pPr>
          </w:p>
        </w:tc>
        <w:tc>
          <w:tcPr>
            <w:tcW w:w="746" w:type="dxa"/>
            <w:noWrap w:val="0"/>
            <w:vAlign w:val="center"/>
          </w:tcPr>
          <w:p w14:paraId="407907E6">
            <w:pPr>
              <w:spacing w:line="360" w:lineRule="auto"/>
              <w:jc w:val="center"/>
              <w:rPr>
                <w:rFonts w:hint="eastAsia" w:ascii="宋体" w:hAnsi="宋体" w:cs="宋体"/>
                <w:sz w:val="24"/>
              </w:rPr>
            </w:pPr>
          </w:p>
        </w:tc>
        <w:tc>
          <w:tcPr>
            <w:tcW w:w="748" w:type="dxa"/>
            <w:noWrap w:val="0"/>
            <w:vAlign w:val="center"/>
          </w:tcPr>
          <w:p w14:paraId="68EF3DB6">
            <w:pPr>
              <w:spacing w:line="360" w:lineRule="auto"/>
              <w:jc w:val="center"/>
              <w:rPr>
                <w:rFonts w:hint="eastAsia" w:ascii="宋体" w:hAnsi="宋体" w:cs="宋体"/>
                <w:sz w:val="24"/>
              </w:rPr>
            </w:pPr>
          </w:p>
        </w:tc>
        <w:tc>
          <w:tcPr>
            <w:tcW w:w="746" w:type="dxa"/>
            <w:noWrap w:val="0"/>
            <w:vAlign w:val="center"/>
          </w:tcPr>
          <w:p w14:paraId="6476CF36">
            <w:pPr>
              <w:spacing w:line="360" w:lineRule="auto"/>
              <w:jc w:val="center"/>
              <w:rPr>
                <w:rFonts w:hint="eastAsia" w:ascii="宋体" w:hAnsi="宋体" w:cs="宋体"/>
                <w:sz w:val="24"/>
              </w:rPr>
            </w:pPr>
          </w:p>
        </w:tc>
        <w:tc>
          <w:tcPr>
            <w:tcW w:w="748" w:type="dxa"/>
            <w:noWrap w:val="0"/>
            <w:vAlign w:val="center"/>
          </w:tcPr>
          <w:p w14:paraId="06B5F757">
            <w:pPr>
              <w:spacing w:line="360" w:lineRule="auto"/>
              <w:jc w:val="center"/>
              <w:rPr>
                <w:rFonts w:hint="eastAsia" w:ascii="宋体" w:hAnsi="宋体" w:cs="宋体"/>
                <w:sz w:val="24"/>
              </w:rPr>
            </w:pPr>
          </w:p>
        </w:tc>
        <w:tc>
          <w:tcPr>
            <w:tcW w:w="746" w:type="dxa"/>
            <w:noWrap w:val="0"/>
            <w:vAlign w:val="center"/>
          </w:tcPr>
          <w:p w14:paraId="45432E8E">
            <w:pPr>
              <w:spacing w:line="360" w:lineRule="auto"/>
              <w:jc w:val="center"/>
              <w:rPr>
                <w:rFonts w:hint="eastAsia" w:ascii="宋体" w:hAnsi="宋体" w:cs="宋体"/>
                <w:sz w:val="24"/>
              </w:rPr>
            </w:pPr>
          </w:p>
        </w:tc>
        <w:tc>
          <w:tcPr>
            <w:tcW w:w="748" w:type="dxa"/>
            <w:noWrap w:val="0"/>
            <w:vAlign w:val="center"/>
          </w:tcPr>
          <w:p w14:paraId="1896AB0C">
            <w:pPr>
              <w:spacing w:line="360" w:lineRule="auto"/>
              <w:jc w:val="center"/>
              <w:rPr>
                <w:rFonts w:hint="eastAsia" w:ascii="宋体" w:hAnsi="宋体" w:cs="宋体"/>
                <w:sz w:val="24"/>
              </w:rPr>
            </w:pPr>
          </w:p>
        </w:tc>
      </w:tr>
      <w:tr w14:paraId="0CF5CD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909" w:type="dxa"/>
            <w:noWrap w:val="0"/>
            <w:vAlign w:val="center"/>
          </w:tcPr>
          <w:p w14:paraId="11A5DABE">
            <w:pPr>
              <w:spacing w:line="360" w:lineRule="auto"/>
              <w:jc w:val="center"/>
              <w:rPr>
                <w:rFonts w:hint="eastAsia" w:ascii="宋体" w:hAnsi="宋体" w:cs="宋体"/>
                <w:sz w:val="24"/>
              </w:rPr>
            </w:pPr>
            <w:r>
              <w:rPr>
                <w:rFonts w:hint="eastAsia" w:ascii="宋体" w:hAnsi="宋体" w:cs="宋体"/>
                <w:sz w:val="24"/>
                <w:highlight w:val="white"/>
              </w:rPr>
              <w:t>……</w:t>
            </w:r>
          </w:p>
        </w:tc>
        <w:tc>
          <w:tcPr>
            <w:tcW w:w="1540" w:type="dxa"/>
            <w:noWrap w:val="0"/>
            <w:vAlign w:val="center"/>
          </w:tcPr>
          <w:p w14:paraId="6F9F50E9">
            <w:pPr>
              <w:spacing w:line="360" w:lineRule="auto"/>
              <w:jc w:val="center"/>
              <w:rPr>
                <w:rFonts w:hint="eastAsia" w:ascii="宋体" w:hAnsi="宋体" w:cs="宋体"/>
                <w:sz w:val="24"/>
              </w:rPr>
            </w:pPr>
            <w:r>
              <w:rPr>
                <w:rFonts w:hint="eastAsia" w:ascii="宋体" w:hAnsi="宋体" w:cs="宋体"/>
                <w:sz w:val="24"/>
                <w:highlight w:val="white"/>
              </w:rPr>
              <w:t>……</w:t>
            </w:r>
          </w:p>
        </w:tc>
        <w:tc>
          <w:tcPr>
            <w:tcW w:w="852" w:type="dxa"/>
            <w:noWrap w:val="0"/>
            <w:vAlign w:val="center"/>
          </w:tcPr>
          <w:p w14:paraId="6CE28ABE">
            <w:pPr>
              <w:spacing w:line="360" w:lineRule="auto"/>
              <w:jc w:val="center"/>
              <w:rPr>
                <w:rFonts w:hint="eastAsia" w:ascii="宋体" w:hAnsi="宋体" w:cs="宋体"/>
                <w:sz w:val="24"/>
              </w:rPr>
            </w:pPr>
            <w:r>
              <w:rPr>
                <w:rFonts w:hint="eastAsia" w:ascii="宋体" w:hAnsi="宋体" w:cs="宋体"/>
                <w:sz w:val="24"/>
                <w:highlight w:val="white"/>
              </w:rPr>
              <w:t>……</w:t>
            </w:r>
          </w:p>
        </w:tc>
        <w:tc>
          <w:tcPr>
            <w:tcW w:w="739" w:type="dxa"/>
            <w:noWrap w:val="0"/>
            <w:vAlign w:val="center"/>
          </w:tcPr>
          <w:p w14:paraId="031EDCAE">
            <w:pPr>
              <w:spacing w:line="360" w:lineRule="auto"/>
              <w:jc w:val="center"/>
              <w:rPr>
                <w:rFonts w:hint="eastAsia" w:ascii="宋体" w:hAnsi="宋体" w:cs="宋体"/>
                <w:sz w:val="24"/>
              </w:rPr>
            </w:pPr>
          </w:p>
        </w:tc>
        <w:tc>
          <w:tcPr>
            <w:tcW w:w="746" w:type="dxa"/>
            <w:noWrap w:val="0"/>
            <w:vAlign w:val="center"/>
          </w:tcPr>
          <w:p w14:paraId="2B8D17CC">
            <w:pPr>
              <w:spacing w:line="360" w:lineRule="auto"/>
              <w:jc w:val="center"/>
              <w:rPr>
                <w:rFonts w:hint="eastAsia" w:ascii="宋体" w:hAnsi="宋体" w:cs="宋体"/>
                <w:sz w:val="24"/>
              </w:rPr>
            </w:pPr>
          </w:p>
        </w:tc>
        <w:tc>
          <w:tcPr>
            <w:tcW w:w="748" w:type="dxa"/>
            <w:noWrap w:val="0"/>
            <w:vAlign w:val="center"/>
          </w:tcPr>
          <w:p w14:paraId="2460FD40">
            <w:pPr>
              <w:spacing w:line="360" w:lineRule="auto"/>
              <w:jc w:val="center"/>
              <w:rPr>
                <w:rFonts w:hint="eastAsia" w:ascii="宋体" w:hAnsi="宋体" w:cs="宋体"/>
                <w:sz w:val="24"/>
              </w:rPr>
            </w:pPr>
          </w:p>
        </w:tc>
        <w:tc>
          <w:tcPr>
            <w:tcW w:w="746" w:type="dxa"/>
            <w:noWrap w:val="0"/>
            <w:vAlign w:val="center"/>
          </w:tcPr>
          <w:p w14:paraId="7BEC7935">
            <w:pPr>
              <w:spacing w:line="360" w:lineRule="auto"/>
              <w:jc w:val="center"/>
              <w:rPr>
                <w:rFonts w:hint="eastAsia" w:ascii="宋体" w:hAnsi="宋体" w:cs="宋体"/>
                <w:sz w:val="24"/>
              </w:rPr>
            </w:pPr>
          </w:p>
        </w:tc>
        <w:tc>
          <w:tcPr>
            <w:tcW w:w="748" w:type="dxa"/>
            <w:noWrap w:val="0"/>
            <w:vAlign w:val="center"/>
          </w:tcPr>
          <w:p w14:paraId="59C6758F">
            <w:pPr>
              <w:spacing w:line="360" w:lineRule="auto"/>
              <w:jc w:val="center"/>
              <w:rPr>
                <w:rFonts w:hint="eastAsia" w:ascii="宋体" w:hAnsi="宋体" w:cs="宋体"/>
                <w:sz w:val="24"/>
              </w:rPr>
            </w:pPr>
          </w:p>
        </w:tc>
        <w:tc>
          <w:tcPr>
            <w:tcW w:w="746" w:type="dxa"/>
            <w:noWrap w:val="0"/>
            <w:vAlign w:val="center"/>
          </w:tcPr>
          <w:p w14:paraId="2A312445">
            <w:pPr>
              <w:spacing w:line="360" w:lineRule="auto"/>
              <w:jc w:val="center"/>
              <w:rPr>
                <w:rFonts w:hint="eastAsia" w:ascii="宋体" w:hAnsi="宋体" w:cs="宋体"/>
                <w:sz w:val="24"/>
              </w:rPr>
            </w:pPr>
          </w:p>
        </w:tc>
        <w:tc>
          <w:tcPr>
            <w:tcW w:w="748" w:type="dxa"/>
            <w:noWrap w:val="0"/>
            <w:vAlign w:val="center"/>
          </w:tcPr>
          <w:p w14:paraId="54F603CA">
            <w:pPr>
              <w:spacing w:line="360" w:lineRule="auto"/>
              <w:jc w:val="center"/>
              <w:rPr>
                <w:rFonts w:hint="eastAsia" w:ascii="宋体" w:hAnsi="宋体" w:cs="宋体"/>
                <w:sz w:val="24"/>
              </w:rPr>
            </w:pPr>
          </w:p>
        </w:tc>
      </w:tr>
      <w:tr w14:paraId="3A435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449" w:type="dxa"/>
            <w:gridSpan w:val="2"/>
            <w:noWrap w:val="0"/>
            <w:vAlign w:val="center"/>
          </w:tcPr>
          <w:p w14:paraId="7E5712C7">
            <w:pPr>
              <w:spacing w:line="360" w:lineRule="auto"/>
              <w:jc w:val="center"/>
              <w:rPr>
                <w:rFonts w:hint="eastAsia" w:ascii="宋体" w:hAnsi="宋体" w:cs="宋体"/>
                <w:sz w:val="24"/>
              </w:rPr>
            </w:pPr>
            <w:r>
              <w:rPr>
                <w:rFonts w:hint="eastAsia" w:ascii="宋体" w:hAnsi="宋体" w:cs="宋体"/>
                <w:sz w:val="24"/>
                <w:highlight w:val="white"/>
              </w:rPr>
              <w:t>其他因素得分合计E</w:t>
            </w:r>
          </w:p>
        </w:tc>
        <w:tc>
          <w:tcPr>
            <w:tcW w:w="852" w:type="dxa"/>
            <w:noWrap w:val="0"/>
            <w:vAlign w:val="center"/>
          </w:tcPr>
          <w:p w14:paraId="5413DE18">
            <w:pPr>
              <w:spacing w:line="360" w:lineRule="auto"/>
              <w:jc w:val="center"/>
              <w:rPr>
                <w:rFonts w:hint="eastAsia" w:ascii="宋体" w:hAnsi="宋体" w:cs="宋体"/>
                <w:sz w:val="24"/>
              </w:rPr>
            </w:pPr>
          </w:p>
        </w:tc>
        <w:tc>
          <w:tcPr>
            <w:tcW w:w="739" w:type="dxa"/>
            <w:noWrap w:val="0"/>
            <w:vAlign w:val="center"/>
          </w:tcPr>
          <w:p w14:paraId="159B41A0">
            <w:pPr>
              <w:spacing w:line="360" w:lineRule="auto"/>
              <w:jc w:val="center"/>
              <w:rPr>
                <w:rFonts w:hint="eastAsia" w:ascii="宋体" w:hAnsi="宋体" w:cs="宋体"/>
                <w:sz w:val="24"/>
              </w:rPr>
            </w:pPr>
          </w:p>
        </w:tc>
        <w:tc>
          <w:tcPr>
            <w:tcW w:w="746" w:type="dxa"/>
            <w:noWrap w:val="0"/>
            <w:vAlign w:val="center"/>
          </w:tcPr>
          <w:p w14:paraId="3A8347AB">
            <w:pPr>
              <w:spacing w:line="360" w:lineRule="auto"/>
              <w:jc w:val="center"/>
              <w:rPr>
                <w:rFonts w:hint="eastAsia" w:ascii="宋体" w:hAnsi="宋体" w:cs="宋体"/>
                <w:sz w:val="24"/>
              </w:rPr>
            </w:pPr>
          </w:p>
        </w:tc>
        <w:tc>
          <w:tcPr>
            <w:tcW w:w="748" w:type="dxa"/>
            <w:noWrap w:val="0"/>
            <w:vAlign w:val="center"/>
          </w:tcPr>
          <w:p w14:paraId="1E36B463">
            <w:pPr>
              <w:spacing w:line="360" w:lineRule="auto"/>
              <w:jc w:val="center"/>
              <w:rPr>
                <w:rFonts w:hint="eastAsia" w:ascii="宋体" w:hAnsi="宋体" w:cs="宋体"/>
                <w:sz w:val="24"/>
              </w:rPr>
            </w:pPr>
          </w:p>
        </w:tc>
        <w:tc>
          <w:tcPr>
            <w:tcW w:w="746" w:type="dxa"/>
            <w:noWrap w:val="0"/>
            <w:vAlign w:val="center"/>
          </w:tcPr>
          <w:p w14:paraId="61F20711">
            <w:pPr>
              <w:spacing w:line="360" w:lineRule="auto"/>
              <w:jc w:val="center"/>
              <w:rPr>
                <w:rFonts w:hint="eastAsia" w:ascii="宋体" w:hAnsi="宋体" w:cs="宋体"/>
                <w:sz w:val="24"/>
              </w:rPr>
            </w:pPr>
          </w:p>
        </w:tc>
        <w:tc>
          <w:tcPr>
            <w:tcW w:w="748" w:type="dxa"/>
            <w:noWrap w:val="0"/>
            <w:vAlign w:val="center"/>
          </w:tcPr>
          <w:p w14:paraId="39CDF4B6">
            <w:pPr>
              <w:spacing w:line="360" w:lineRule="auto"/>
              <w:jc w:val="center"/>
              <w:rPr>
                <w:rFonts w:hint="eastAsia" w:ascii="宋体" w:hAnsi="宋体" w:cs="宋体"/>
                <w:sz w:val="24"/>
              </w:rPr>
            </w:pPr>
          </w:p>
        </w:tc>
        <w:tc>
          <w:tcPr>
            <w:tcW w:w="746" w:type="dxa"/>
            <w:noWrap w:val="0"/>
            <w:vAlign w:val="center"/>
          </w:tcPr>
          <w:p w14:paraId="40B57361">
            <w:pPr>
              <w:spacing w:line="360" w:lineRule="auto"/>
              <w:jc w:val="center"/>
              <w:rPr>
                <w:rFonts w:hint="eastAsia" w:ascii="宋体" w:hAnsi="宋体" w:cs="宋体"/>
                <w:sz w:val="24"/>
              </w:rPr>
            </w:pPr>
          </w:p>
        </w:tc>
        <w:tc>
          <w:tcPr>
            <w:tcW w:w="748" w:type="dxa"/>
            <w:noWrap w:val="0"/>
            <w:vAlign w:val="center"/>
          </w:tcPr>
          <w:p w14:paraId="064932E2">
            <w:pPr>
              <w:spacing w:line="360" w:lineRule="auto"/>
              <w:jc w:val="center"/>
              <w:rPr>
                <w:rFonts w:hint="eastAsia" w:ascii="宋体" w:hAnsi="宋体" w:cs="宋体"/>
                <w:sz w:val="24"/>
              </w:rPr>
            </w:pPr>
          </w:p>
        </w:tc>
      </w:tr>
    </w:tbl>
    <w:p w14:paraId="75FF0215">
      <w:pPr>
        <w:spacing w:line="360" w:lineRule="auto"/>
        <w:ind w:firstLine="240" w:firstLineChars="100"/>
        <w:rPr>
          <w:rFonts w:hint="eastAsia" w:ascii="宋体" w:hAnsi="宋体" w:cs="宋体"/>
          <w:sz w:val="24"/>
        </w:rPr>
      </w:pPr>
      <w:r>
        <w:rPr>
          <w:rFonts w:hint="eastAsia" w:ascii="宋体" w:hAnsi="宋体" w:cs="宋体"/>
          <w:sz w:val="24"/>
          <w:highlight w:val="white"/>
        </w:rPr>
        <w:t>评标委员会成员签名：</w:t>
      </w:r>
    </w:p>
    <w:p w14:paraId="38803330">
      <w:pPr>
        <w:pStyle w:val="3"/>
        <w:rPr>
          <w:rFonts w:hint="eastAsia" w:ascii="宋体" w:hAnsi="宋体" w:eastAsia="宋体" w:cs="宋体"/>
          <w:sz w:val="24"/>
          <w:szCs w:val="24"/>
        </w:rPr>
      </w:pPr>
      <w:r>
        <w:rPr>
          <w:rFonts w:ascii="宋体" w:hAnsi="宋体" w:eastAsia="宋体" w:cs="宋体"/>
          <w:sz w:val="24"/>
          <w:szCs w:val="24"/>
          <w:highlight w:val="white"/>
        </w:rPr>
        <w:br w:type="page"/>
      </w:r>
      <w:bookmarkStart w:id="223" w:name="_Toc256000094"/>
      <w:r>
        <w:rPr>
          <w:rFonts w:hint="eastAsia" w:ascii="宋体" w:hAnsi="宋体" w:eastAsia="宋体" w:cs="宋体"/>
          <w:sz w:val="24"/>
          <w:szCs w:val="24"/>
          <w:highlight w:val="white"/>
        </w:rPr>
        <w:t>附表11：详细评审评分汇总表</w:t>
      </w:r>
      <w:bookmarkEnd w:id="223"/>
    </w:p>
    <w:p w14:paraId="065E4F01">
      <w:pPr>
        <w:spacing w:line="360" w:lineRule="auto"/>
        <w:jc w:val="center"/>
        <w:rPr>
          <w:rFonts w:hint="eastAsia" w:ascii="宋体" w:hAnsi="宋体" w:cs="宋体"/>
          <w:b/>
          <w:sz w:val="24"/>
        </w:rPr>
      </w:pPr>
      <w:r>
        <w:rPr>
          <w:rFonts w:hint="eastAsia" w:ascii="宋体" w:hAnsi="宋体" w:cs="宋体"/>
          <w:b/>
          <w:sz w:val="24"/>
          <w:highlight w:val="white"/>
        </w:rPr>
        <w:t>详细评审评分汇总表</w:t>
      </w:r>
    </w:p>
    <w:p w14:paraId="4D1ACB41">
      <w:pPr>
        <w:spacing w:line="360" w:lineRule="auto"/>
        <w:jc w:val="center"/>
        <w:rPr>
          <w:rFonts w:hint="eastAsia" w:ascii="宋体" w:hAnsi="宋体" w:cs="宋体"/>
          <w:b/>
          <w:sz w:val="24"/>
        </w:rPr>
      </w:pPr>
    </w:p>
    <w:p w14:paraId="1ACD847F">
      <w:pPr>
        <w:spacing w:line="360" w:lineRule="auto"/>
        <w:rPr>
          <w:rFonts w:hint="eastAsia"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
        <w:gridCol w:w="1965"/>
        <w:gridCol w:w="970"/>
        <w:gridCol w:w="709"/>
        <w:gridCol w:w="749"/>
        <w:gridCol w:w="854"/>
        <w:gridCol w:w="974"/>
        <w:gridCol w:w="856"/>
        <w:gridCol w:w="974"/>
        <w:gridCol w:w="1067"/>
      </w:tblGrid>
      <w:tr w14:paraId="563088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vMerge w:val="restart"/>
            <w:noWrap w:val="0"/>
            <w:vAlign w:val="center"/>
          </w:tcPr>
          <w:p w14:paraId="2AD85449">
            <w:pPr>
              <w:spacing w:line="360" w:lineRule="auto"/>
              <w:jc w:val="center"/>
              <w:rPr>
                <w:rFonts w:hint="eastAsia" w:ascii="宋体" w:hAnsi="宋体" w:cs="宋体"/>
                <w:sz w:val="24"/>
              </w:rPr>
            </w:pPr>
            <w:r>
              <w:rPr>
                <w:rFonts w:hint="eastAsia" w:ascii="宋体" w:hAnsi="宋体" w:cs="宋体"/>
                <w:sz w:val="24"/>
                <w:highlight w:val="white"/>
              </w:rPr>
              <w:t>序号</w:t>
            </w:r>
          </w:p>
        </w:tc>
        <w:tc>
          <w:tcPr>
            <w:tcW w:w="1965" w:type="dxa"/>
            <w:vMerge w:val="restart"/>
            <w:noWrap w:val="0"/>
            <w:vAlign w:val="center"/>
          </w:tcPr>
          <w:p w14:paraId="4913EC12">
            <w:pPr>
              <w:spacing w:line="360" w:lineRule="auto"/>
              <w:jc w:val="center"/>
              <w:rPr>
                <w:rFonts w:hint="eastAsia" w:ascii="宋体" w:hAnsi="宋体" w:cs="宋体"/>
                <w:sz w:val="24"/>
              </w:rPr>
            </w:pPr>
            <w:r>
              <w:rPr>
                <w:rFonts w:hint="eastAsia" w:ascii="宋体" w:hAnsi="宋体" w:cs="宋体"/>
                <w:sz w:val="24"/>
                <w:highlight w:val="white"/>
              </w:rPr>
              <w:t>评分因素</w:t>
            </w:r>
          </w:p>
        </w:tc>
        <w:tc>
          <w:tcPr>
            <w:tcW w:w="970" w:type="dxa"/>
            <w:vMerge w:val="restart"/>
            <w:noWrap w:val="0"/>
            <w:vAlign w:val="center"/>
          </w:tcPr>
          <w:p w14:paraId="19CCE307">
            <w:pPr>
              <w:spacing w:line="360" w:lineRule="auto"/>
              <w:jc w:val="center"/>
              <w:rPr>
                <w:rFonts w:hint="eastAsia" w:ascii="宋体" w:hAnsi="宋体" w:cs="宋体"/>
                <w:sz w:val="24"/>
              </w:rPr>
            </w:pPr>
            <w:r>
              <w:rPr>
                <w:rFonts w:hint="eastAsia" w:ascii="宋体" w:hAnsi="宋体" w:cs="宋体"/>
                <w:sz w:val="24"/>
                <w:highlight w:val="white"/>
              </w:rPr>
              <w:t>分值</w:t>
            </w:r>
          </w:p>
          <w:p w14:paraId="6EED4A53">
            <w:pPr>
              <w:spacing w:line="360" w:lineRule="auto"/>
              <w:jc w:val="center"/>
              <w:rPr>
                <w:rFonts w:hint="eastAsia" w:ascii="宋体" w:hAnsi="宋体" w:cs="宋体"/>
                <w:sz w:val="24"/>
              </w:rPr>
            </w:pPr>
            <w:r>
              <w:rPr>
                <w:rFonts w:hint="eastAsia" w:ascii="宋体" w:hAnsi="宋体" w:cs="宋体"/>
                <w:sz w:val="24"/>
                <w:highlight w:val="white"/>
              </w:rPr>
              <w:t>代码</w:t>
            </w:r>
          </w:p>
        </w:tc>
        <w:tc>
          <w:tcPr>
            <w:tcW w:w="6183" w:type="dxa"/>
            <w:gridSpan w:val="7"/>
            <w:noWrap w:val="0"/>
            <w:vAlign w:val="center"/>
          </w:tcPr>
          <w:p w14:paraId="46FD0AC7">
            <w:pPr>
              <w:spacing w:line="360" w:lineRule="auto"/>
              <w:jc w:val="center"/>
              <w:rPr>
                <w:rFonts w:hint="eastAsia" w:ascii="宋体" w:hAnsi="宋体" w:cs="宋体"/>
                <w:sz w:val="24"/>
              </w:rPr>
            </w:pPr>
            <w:r>
              <w:rPr>
                <w:rFonts w:hint="eastAsia" w:ascii="宋体" w:hAnsi="宋体" w:cs="宋体"/>
                <w:sz w:val="24"/>
                <w:highlight w:val="white"/>
              </w:rPr>
              <w:t>投标人名称及其得分</w:t>
            </w:r>
          </w:p>
        </w:tc>
      </w:tr>
      <w:tr w14:paraId="157843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vMerge w:val="continue"/>
            <w:noWrap w:val="0"/>
            <w:vAlign w:val="center"/>
          </w:tcPr>
          <w:p w14:paraId="78868557">
            <w:pPr>
              <w:spacing w:line="360" w:lineRule="auto"/>
              <w:rPr>
                <w:rFonts w:hint="eastAsia" w:ascii="宋体" w:hAnsi="宋体" w:cs="宋体"/>
                <w:sz w:val="24"/>
              </w:rPr>
            </w:pPr>
          </w:p>
        </w:tc>
        <w:tc>
          <w:tcPr>
            <w:tcW w:w="1965" w:type="dxa"/>
            <w:vMerge w:val="continue"/>
            <w:noWrap w:val="0"/>
            <w:vAlign w:val="center"/>
          </w:tcPr>
          <w:p w14:paraId="56962F59">
            <w:pPr>
              <w:spacing w:line="360" w:lineRule="auto"/>
              <w:rPr>
                <w:rFonts w:hint="eastAsia" w:ascii="宋体" w:hAnsi="宋体" w:cs="宋体"/>
                <w:sz w:val="24"/>
              </w:rPr>
            </w:pPr>
          </w:p>
        </w:tc>
        <w:tc>
          <w:tcPr>
            <w:tcW w:w="970" w:type="dxa"/>
            <w:vMerge w:val="continue"/>
            <w:noWrap w:val="0"/>
            <w:vAlign w:val="center"/>
          </w:tcPr>
          <w:p w14:paraId="35EAA34C">
            <w:pPr>
              <w:spacing w:line="360" w:lineRule="auto"/>
              <w:rPr>
                <w:rFonts w:hint="eastAsia" w:ascii="宋体" w:hAnsi="宋体" w:cs="宋体"/>
                <w:sz w:val="24"/>
              </w:rPr>
            </w:pPr>
          </w:p>
        </w:tc>
        <w:tc>
          <w:tcPr>
            <w:tcW w:w="709" w:type="dxa"/>
            <w:noWrap w:val="0"/>
            <w:vAlign w:val="center"/>
          </w:tcPr>
          <w:p w14:paraId="2A22D27C">
            <w:pPr>
              <w:spacing w:line="360" w:lineRule="auto"/>
              <w:jc w:val="center"/>
              <w:rPr>
                <w:rFonts w:hint="eastAsia" w:ascii="宋体" w:hAnsi="宋体" w:cs="宋体"/>
                <w:sz w:val="24"/>
              </w:rPr>
            </w:pPr>
          </w:p>
        </w:tc>
        <w:tc>
          <w:tcPr>
            <w:tcW w:w="749" w:type="dxa"/>
            <w:noWrap w:val="0"/>
            <w:vAlign w:val="center"/>
          </w:tcPr>
          <w:p w14:paraId="58FDA51E">
            <w:pPr>
              <w:spacing w:line="360" w:lineRule="auto"/>
              <w:jc w:val="center"/>
              <w:rPr>
                <w:rFonts w:hint="eastAsia" w:ascii="宋体" w:hAnsi="宋体" w:cs="宋体"/>
                <w:sz w:val="24"/>
              </w:rPr>
            </w:pPr>
          </w:p>
        </w:tc>
        <w:tc>
          <w:tcPr>
            <w:tcW w:w="854" w:type="dxa"/>
            <w:noWrap w:val="0"/>
            <w:vAlign w:val="center"/>
          </w:tcPr>
          <w:p w14:paraId="2BF10153">
            <w:pPr>
              <w:spacing w:line="360" w:lineRule="auto"/>
              <w:jc w:val="center"/>
              <w:rPr>
                <w:rFonts w:hint="eastAsia" w:ascii="宋体" w:hAnsi="宋体" w:cs="宋体"/>
                <w:sz w:val="24"/>
              </w:rPr>
            </w:pPr>
          </w:p>
        </w:tc>
        <w:tc>
          <w:tcPr>
            <w:tcW w:w="974" w:type="dxa"/>
            <w:noWrap w:val="0"/>
            <w:vAlign w:val="center"/>
          </w:tcPr>
          <w:p w14:paraId="51F2310C">
            <w:pPr>
              <w:spacing w:line="360" w:lineRule="auto"/>
              <w:jc w:val="center"/>
              <w:rPr>
                <w:rFonts w:hint="eastAsia" w:ascii="宋体" w:hAnsi="宋体" w:cs="宋体"/>
                <w:sz w:val="24"/>
              </w:rPr>
            </w:pPr>
          </w:p>
        </w:tc>
        <w:tc>
          <w:tcPr>
            <w:tcW w:w="856" w:type="dxa"/>
            <w:noWrap w:val="0"/>
            <w:vAlign w:val="center"/>
          </w:tcPr>
          <w:p w14:paraId="63ACE3AE">
            <w:pPr>
              <w:spacing w:line="360" w:lineRule="auto"/>
              <w:jc w:val="center"/>
              <w:rPr>
                <w:rFonts w:hint="eastAsia" w:ascii="宋体" w:hAnsi="宋体" w:cs="宋体"/>
                <w:sz w:val="24"/>
              </w:rPr>
            </w:pPr>
          </w:p>
        </w:tc>
        <w:tc>
          <w:tcPr>
            <w:tcW w:w="974" w:type="dxa"/>
            <w:noWrap w:val="0"/>
            <w:vAlign w:val="center"/>
          </w:tcPr>
          <w:p w14:paraId="33CB6A10">
            <w:pPr>
              <w:spacing w:line="360" w:lineRule="auto"/>
              <w:jc w:val="center"/>
              <w:rPr>
                <w:rFonts w:hint="eastAsia" w:ascii="宋体" w:hAnsi="宋体" w:cs="宋体"/>
                <w:sz w:val="24"/>
              </w:rPr>
            </w:pPr>
          </w:p>
        </w:tc>
        <w:tc>
          <w:tcPr>
            <w:tcW w:w="1067" w:type="dxa"/>
            <w:noWrap w:val="0"/>
            <w:vAlign w:val="center"/>
          </w:tcPr>
          <w:p w14:paraId="300E4586">
            <w:pPr>
              <w:spacing w:line="360" w:lineRule="auto"/>
              <w:jc w:val="center"/>
              <w:rPr>
                <w:rFonts w:hint="eastAsia" w:ascii="宋体" w:hAnsi="宋体" w:cs="宋体"/>
                <w:sz w:val="24"/>
              </w:rPr>
            </w:pPr>
          </w:p>
        </w:tc>
      </w:tr>
      <w:tr w14:paraId="05F14A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noWrap w:val="0"/>
            <w:vAlign w:val="center"/>
          </w:tcPr>
          <w:p w14:paraId="226C6AEA">
            <w:pPr>
              <w:spacing w:line="360" w:lineRule="auto"/>
              <w:jc w:val="center"/>
              <w:rPr>
                <w:rFonts w:hint="eastAsia" w:ascii="宋体" w:hAnsi="宋体" w:cs="宋体"/>
                <w:sz w:val="24"/>
              </w:rPr>
            </w:pPr>
            <w:r>
              <w:rPr>
                <w:rFonts w:hint="eastAsia" w:ascii="宋体" w:hAnsi="宋体" w:cs="宋体"/>
                <w:sz w:val="24"/>
                <w:highlight w:val="white"/>
              </w:rPr>
              <w:t>1</w:t>
            </w:r>
          </w:p>
        </w:tc>
        <w:tc>
          <w:tcPr>
            <w:tcW w:w="1965" w:type="dxa"/>
            <w:noWrap w:val="0"/>
            <w:vAlign w:val="center"/>
          </w:tcPr>
          <w:p w14:paraId="5E75D4BC">
            <w:pPr>
              <w:spacing w:line="360" w:lineRule="auto"/>
              <w:jc w:val="center"/>
              <w:rPr>
                <w:rFonts w:hint="eastAsia" w:ascii="宋体" w:hAnsi="宋体" w:cs="宋体"/>
                <w:sz w:val="24"/>
              </w:rPr>
            </w:pPr>
            <w:r>
              <w:rPr>
                <w:rFonts w:hint="eastAsia" w:ascii="宋体" w:hAnsi="宋体" w:cs="宋体"/>
                <w:sz w:val="24"/>
                <w:highlight w:val="white"/>
              </w:rPr>
              <w:t>承包人建议书</w:t>
            </w:r>
          </w:p>
        </w:tc>
        <w:tc>
          <w:tcPr>
            <w:tcW w:w="970" w:type="dxa"/>
            <w:noWrap w:val="0"/>
            <w:vAlign w:val="center"/>
          </w:tcPr>
          <w:p w14:paraId="10AB5975">
            <w:pPr>
              <w:spacing w:line="360" w:lineRule="auto"/>
              <w:jc w:val="center"/>
              <w:rPr>
                <w:rFonts w:hint="eastAsia" w:ascii="宋体" w:hAnsi="宋体" w:cs="宋体"/>
                <w:sz w:val="24"/>
              </w:rPr>
            </w:pPr>
            <w:r>
              <w:rPr>
                <w:rFonts w:hint="eastAsia" w:ascii="宋体" w:hAnsi="宋体" w:cs="宋体"/>
                <w:sz w:val="24"/>
                <w:highlight w:val="white"/>
              </w:rPr>
              <w:t>A</w:t>
            </w:r>
          </w:p>
        </w:tc>
        <w:tc>
          <w:tcPr>
            <w:tcW w:w="709" w:type="dxa"/>
            <w:noWrap w:val="0"/>
            <w:vAlign w:val="center"/>
          </w:tcPr>
          <w:p w14:paraId="47373A8B">
            <w:pPr>
              <w:spacing w:line="360" w:lineRule="auto"/>
              <w:jc w:val="center"/>
              <w:rPr>
                <w:rFonts w:hint="eastAsia" w:ascii="宋体" w:hAnsi="宋体" w:cs="宋体"/>
                <w:sz w:val="24"/>
              </w:rPr>
            </w:pPr>
          </w:p>
        </w:tc>
        <w:tc>
          <w:tcPr>
            <w:tcW w:w="749" w:type="dxa"/>
            <w:noWrap w:val="0"/>
            <w:vAlign w:val="center"/>
          </w:tcPr>
          <w:p w14:paraId="032E9E77">
            <w:pPr>
              <w:spacing w:line="360" w:lineRule="auto"/>
              <w:jc w:val="center"/>
              <w:rPr>
                <w:rFonts w:hint="eastAsia" w:ascii="宋体" w:hAnsi="宋体" w:cs="宋体"/>
                <w:sz w:val="24"/>
              </w:rPr>
            </w:pPr>
          </w:p>
        </w:tc>
        <w:tc>
          <w:tcPr>
            <w:tcW w:w="854" w:type="dxa"/>
            <w:noWrap w:val="0"/>
            <w:vAlign w:val="center"/>
          </w:tcPr>
          <w:p w14:paraId="18EDF9E6">
            <w:pPr>
              <w:spacing w:line="360" w:lineRule="auto"/>
              <w:jc w:val="center"/>
              <w:rPr>
                <w:rFonts w:hint="eastAsia" w:ascii="宋体" w:hAnsi="宋体" w:cs="宋体"/>
                <w:sz w:val="24"/>
              </w:rPr>
            </w:pPr>
          </w:p>
        </w:tc>
        <w:tc>
          <w:tcPr>
            <w:tcW w:w="974" w:type="dxa"/>
            <w:noWrap w:val="0"/>
            <w:vAlign w:val="center"/>
          </w:tcPr>
          <w:p w14:paraId="5D2C67C9">
            <w:pPr>
              <w:spacing w:line="360" w:lineRule="auto"/>
              <w:jc w:val="center"/>
              <w:rPr>
                <w:rFonts w:hint="eastAsia" w:ascii="宋体" w:hAnsi="宋体" w:cs="宋体"/>
                <w:sz w:val="24"/>
              </w:rPr>
            </w:pPr>
          </w:p>
        </w:tc>
        <w:tc>
          <w:tcPr>
            <w:tcW w:w="856" w:type="dxa"/>
            <w:noWrap w:val="0"/>
            <w:vAlign w:val="center"/>
          </w:tcPr>
          <w:p w14:paraId="724A32A1">
            <w:pPr>
              <w:spacing w:line="360" w:lineRule="auto"/>
              <w:jc w:val="center"/>
              <w:rPr>
                <w:rFonts w:hint="eastAsia" w:ascii="宋体" w:hAnsi="宋体" w:cs="宋体"/>
                <w:sz w:val="24"/>
              </w:rPr>
            </w:pPr>
          </w:p>
        </w:tc>
        <w:tc>
          <w:tcPr>
            <w:tcW w:w="974" w:type="dxa"/>
            <w:noWrap w:val="0"/>
            <w:vAlign w:val="center"/>
          </w:tcPr>
          <w:p w14:paraId="12B24FD4">
            <w:pPr>
              <w:spacing w:line="360" w:lineRule="auto"/>
              <w:jc w:val="center"/>
              <w:rPr>
                <w:rFonts w:hint="eastAsia" w:ascii="宋体" w:hAnsi="宋体" w:cs="宋体"/>
                <w:sz w:val="24"/>
              </w:rPr>
            </w:pPr>
          </w:p>
        </w:tc>
        <w:tc>
          <w:tcPr>
            <w:tcW w:w="1067" w:type="dxa"/>
            <w:noWrap w:val="0"/>
            <w:vAlign w:val="center"/>
          </w:tcPr>
          <w:p w14:paraId="0BE9657E">
            <w:pPr>
              <w:spacing w:line="360" w:lineRule="auto"/>
              <w:jc w:val="center"/>
              <w:rPr>
                <w:rFonts w:hint="eastAsia" w:ascii="宋体" w:hAnsi="宋体" w:cs="宋体"/>
                <w:sz w:val="24"/>
              </w:rPr>
            </w:pPr>
          </w:p>
        </w:tc>
      </w:tr>
      <w:tr w14:paraId="42E02C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noWrap w:val="0"/>
            <w:vAlign w:val="center"/>
          </w:tcPr>
          <w:p w14:paraId="22B070AE">
            <w:pPr>
              <w:spacing w:line="360" w:lineRule="auto"/>
              <w:jc w:val="center"/>
              <w:rPr>
                <w:rFonts w:hint="eastAsia" w:ascii="宋体" w:hAnsi="宋体" w:cs="宋体"/>
                <w:sz w:val="24"/>
              </w:rPr>
            </w:pPr>
            <w:r>
              <w:rPr>
                <w:rFonts w:hint="eastAsia" w:ascii="宋体" w:hAnsi="宋体" w:cs="宋体"/>
                <w:sz w:val="24"/>
                <w:highlight w:val="white"/>
              </w:rPr>
              <w:t>2</w:t>
            </w:r>
          </w:p>
        </w:tc>
        <w:tc>
          <w:tcPr>
            <w:tcW w:w="1965" w:type="dxa"/>
            <w:noWrap w:val="0"/>
            <w:vAlign w:val="center"/>
          </w:tcPr>
          <w:p w14:paraId="38CF54BA">
            <w:pPr>
              <w:spacing w:line="360" w:lineRule="auto"/>
              <w:jc w:val="center"/>
              <w:rPr>
                <w:rFonts w:hint="eastAsia" w:ascii="宋体" w:hAnsi="宋体" w:cs="宋体"/>
                <w:sz w:val="24"/>
              </w:rPr>
            </w:pPr>
            <w:r>
              <w:rPr>
                <w:rFonts w:hint="eastAsia" w:ascii="宋体" w:hAnsi="宋体" w:cs="宋体"/>
                <w:sz w:val="24"/>
                <w:highlight w:val="white"/>
              </w:rPr>
              <w:t>资信业绩</w:t>
            </w:r>
          </w:p>
        </w:tc>
        <w:tc>
          <w:tcPr>
            <w:tcW w:w="970" w:type="dxa"/>
            <w:noWrap w:val="0"/>
            <w:vAlign w:val="center"/>
          </w:tcPr>
          <w:p w14:paraId="6441A1B6">
            <w:pPr>
              <w:spacing w:line="360" w:lineRule="auto"/>
              <w:jc w:val="center"/>
              <w:rPr>
                <w:rFonts w:hint="eastAsia" w:ascii="宋体" w:hAnsi="宋体" w:cs="宋体"/>
                <w:sz w:val="24"/>
              </w:rPr>
            </w:pPr>
            <w:r>
              <w:rPr>
                <w:rFonts w:hint="eastAsia" w:ascii="宋体" w:hAnsi="宋体" w:cs="宋体"/>
                <w:sz w:val="24"/>
                <w:highlight w:val="white"/>
              </w:rPr>
              <w:t>B</w:t>
            </w:r>
          </w:p>
        </w:tc>
        <w:tc>
          <w:tcPr>
            <w:tcW w:w="709" w:type="dxa"/>
            <w:noWrap w:val="0"/>
            <w:vAlign w:val="center"/>
          </w:tcPr>
          <w:p w14:paraId="3B797428">
            <w:pPr>
              <w:spacing w:line="360" w:lineRule="auto"/>
              <w:jc w:val="center"/>
              <w:rPr>
                <w:rFonts w:hint="eastAsia" w:ascii="宋体" w:hAnsi="宋体" w:cs="宋体"/>
                <w:sz w:val="24"/>
              </w:rPr>
            </w:pPr>
          </w:p>
        </w:tc>
        <w:tc>
          <w:tcPr>
            <w:tcW w:w="749" w:type="dxa"/>
            <w:noWrap w:val="0"/>
            <w:vAlign w:val="center"/>
          </w:tcPr>
          <w:p w14:paraId="0F9D1D0F">
            <w:pPr>
              <w:spacing w:line="360" w:lineRule="auto"/>
              <w:jc w:val="center"/>
              <w:rPr>
                <w:rFonts w:hint="eastAsia" w:ascii="宋体" w:hAnsi="宋体" w:cs="宋体"/>
                <w:sz w:val="24"/>
              </w:rPr>
            </w:pPr>
          </w:p>
        </w:tc>
        <w:tc>
          <w:tcPr>
            <w:tcW w:w="854" w:type="dxa"/>
            <w:noWrap w:val="0"/>
            <w:vAlign w:val="center"/>
          </w:tcPr>
          <w:p w14:paraId="3CA8C822">
            <w:pPr>
              <w:spacing w:line="360" w:lineRule="auto"/>
              <w:jc w:val="center"/>
              <w:rPr>
                <w:rFonts w:hint="eastAsia" w:ascii="宋体" w:hAnsi="宋体" w:cs="宋体"/>
                <w:sz w:val="24"/>
              </w:rPr>
            </w:pPr>
          </w:p>
        </w:tc>
        <w:tc>
          <w:tcPr>
            <w:tcW w:w="974" w:type="dxa"/>
            <w:noWrap w:val="0"/>
            <w:vAlign w:val="center"/>
          </w:tcPr>
          <w:p w14:paraId="21EC0015">
            <w:pPr>
              <w:spacing w:line="360" w:lineRule="auto"/>
              <w:jc w:val="center"/>
              <w:rPr>
                <w:rFonts w:hint="eastAsia" w:ascii="宋体" w:hAnsi="宋体" w:cs="宋体"/>
                <w:sz w:val="24"/>
              </w:rPr>
            </w:pPr>
          </w:p>
        </w:tc>
        <w:tc>
          <w:tcPr>
            <w:tcW w:w="856" w:type="dxa"/>
            <w:noWrap w:val="0"/>
            <w:vAlign w:val="center"/>
          </w:tcPr>
          <w:p w14:paraId="53961BFB">
            <w:pPr>
              <w:spacing w:line="360" w:lineRule="auto"/>
              <w:jc w:val="center"/>
              <w:rPr>
                <w:rFonts w:hint="eastAsia" w:ascii="宋体" w:hAnsi="宋体" w:cs="宋体"/>
                <w:sz w:val="24"/>
              </w:rPr>
            </w:pPr>
          </w:p>
        </w:tc>
        <w:tc>
          <w:tcPr>
            <w:tcW w:w="974" w:type="dxa"/>
            <w:noWrap w:val="0"/>
            <w:vAlign w:val="center"/>
          </w:tcPr>
          <w:p w14:paraId="4EAA6D3E">
            <w:pPr>
              <w:spacing w:line="360" w:lineRule="auto"/>
              <w:jc w:val="center"/>
              <w:rPr>
                <w:rFonts w:hint="eastAsia" w:ascii="宋体" w:hAnsi="宋体" w:cs="宋体"/>
                <w:sz w:val="24"/>
              </w:rPr>
            </w:pPr>
          </w:p>
        </w:tc>
        <w:tc>
          <w:tcPr>
            <w:tcW w:w="1067" w:type="dxa"/>
            <w:noWrap w:val="0"/>
            <w:vAlign w:val="center"/>
          </w:tcPr>
          <w:p w14:paraId="7E19544B">
            <w:pPr>
              <w:spacing w:line="360" w:lineRule="auto"/>
              <w:jc w:val="center"/>
              <w:rPr>
                <w:rFonts w:hint="eastAsia" w:ascii="宋体" w:hAnsi="宋体" w:cs="宋体"/>
                <w:sz w:val="24"/>
              </w:rPr>
            </w:pPr>
          </w:p>
        </w:tc>
      </w:tr>
      <w:tr w14:paraId="6043C5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noWrap w:val="0"/>
            <w:vAlign w:val="center"/>
          </w:tcPr>
          <w:p w14:paraId="697C5A22">
            <w:pPr>
              <w:spacing w:line="360" w:lineRule="auto"/>
              <w:jc w:val="center"/>
              <w:rPr>
                <w:rFonts w:hint="eastAsia" w:ascii="宋体" w:hAnsi="宋体" w:cs="宋体"/>
                <w:sz w:val="24"/>
              </w:rPr>
            </w:pPr>
          </w:p>
        </w:tc>
        <w:tc>
          <w:tcPr>
            <w:tcW w:w="1965" w:type="dxa"/>
            <w:noWrap w:val="0"/>
            <w:vAlign w:val="center"/>
          </w:tcPr>
          <w:p w14:paraId="14467240">
            <w:pPr>
              <w:spacing w:line="360" w:lineRule="auto"/>
              <w:jc w:val="center"/>
              <w:rPr>
                <w:rFonts w:hint="eastAsia" w:ascii="宋体" w:hAnsi="宋体" w:cs="宋体"/>
                <w:sz w:val="24"/>
              </w:rPr>
            </w:pPr>
            <w:r>
              <w:rPr>
                <w:rFonts w:hint="eastAsia" w:ascii="宋体" w:hAnsi="宋体" w:cs="宋体"/>
                <w:sz w:val="24"/>
                <w:highlight w:val="white"/>
              </w:rPr>
              <w:t>承包人实施方案</w:t>
            </w:r>
          </w:p>
        </w:tc>
        <w:tc>
          <w:tcPr>
            <w:tcW w:w="970" w:type="dxa"/>
            <w:noWrap w:val="0"/>
            <w:vAlign w:val="center"/>
          </w:tcPr>
          <w:p w14:paraId="5052E040">
            <w:pPr>
              <w:spacing w:line="360" w:lineRule="auto"/>
              <w:jc w:val="center"/>
              <w:rPr>
                <w:rFonts w:hint="eastAsia" w:ascii="宋体" w:hAnsi="宋体" w:cs="宋体"/>
                <w:sz w:val="24"/>
              </w:rPr>
            </w:pPr>
            <w:r>
              <w:rPr>
                <w:rFonts w:hint="eastAsia" w:ascii="宋体" w:hAnsi="宋体" w:cs="宋体"/>
                <w:sz w:val="24"/>
                <w:highlight w:val="white"/>
              </w:rPr>
              <w:t>C</w:t>
            </w:r>
          </w:p>
        </w:tc>
        <w:tc>
          <w:tcPr>
            <w:tcW w:w="709" w:type="dxa"/>
            <w:noWrap w:val="0"/>
            <w:vAlign w:val="center"/>
          </w:tcPr>
          <w:p w14:paraId="01AF611D">
            <w:pPr>
              <w:spacing w:line="360" w:lineRule="auto"/>
              <w:jc w:val="center"/>
              <w:rPr>
                <w:rFonts w:hint="eastAsia" w:ascii="宋体" w:hAnsi="宋体" w:cs="宋体"/>
                <w:sz w:val="24"/>
              </w:rPr>
            </w:pPr>
          </w:p>
        </w:tc>
        <w:tc>
          <w:tcPr>
            <w:tcW w:w="749" w:type="dxa"/>
            <w:noWrap w:val="0"/>
            <w:vAlign w:val="center"/>
          </w:tcPr>
          <w:p w14:paraId="5667CCBF">
            <w:pPr>
              <w:spacing w:line="360" w:lineRule="auto"/>
              <w:jc w:val="center"/>
              <w:rPr>
                <w:rFonts w:hint="eastAsia" w:ascii="宋体" w:hAnsi="宋体" w:cs="宋体"/>
                <w:sz w:val="24"/>
              </w:rPr>
            </w:pPr>
          </w:p>
        </w:tc>
        <w:tc>
          <w:tcPr>
            <w:tcW w:w="854" w:type="dxa"/>
            <w:noWrap w:val="0"/>
            <w:vAlign w:val="center"/>
          </w:tcPr>
          <w:p w14:paraId="6BB5CEE4">
            <w:pPr>
              <w:spacing w:line="360" w:lineRule="auto"/>
              <w:jc w:val="center"/>
              <w:rPr>
                <w:rFonts w:hint="eastAsia" w:ascii="宋体" w:hAnsi="宋体" w:cs="宋体"/>
                <w:sz w:val="24"/>
              </w:rPr>
            </w:pPr>
          </w:p>
        </w:tc>
        <w:tc>
          <w:tcPr>
            <w:tcW w:w="974" w:type="dxa"/>
            <w:noWrap w:val="0"/>
            <w:vAlign w:val="center"/>
          </w:tcPr>
          <w:p w14:paraId="66511648">
            <w:pPr>
              <w:spacing w:line="360" w:lineRule="auto"/>
              <w:jc w:val="center"/>
              <w:rPr>
                <w:rFonts w:hint="eastAsia" w:ascii="宋体" w:hAnsi="宋体" w:cs="宋体"/>
                <w:sz w:val="24"/>
              </w:rPr>
            </w:pPr>
          </w:p>
        </w:tc>
        <w:tc>
          <w:tcPr>
            <w:tcW w:w="856" w:type="dxa"/>
            <w:noWrap w:val="0"/>
            <w:vAlign w:val="center"/>
          </w:tcPr>
          <w:p w14:paraId="7D2A6801">
            <w:pPr>
              <w:spacing w:line="360" w:lineRule="auto"/>
              <w:jc w:val="center"/>
              <w:rPr>
                <w:rFonts w:hint="eastAsia" w:ascii="宋体" w:hAnsi="宋体" w:cs="宋体"/>
                <w:sz w:val="24"/>
              </w:rPr>
            </w:pPr>
          </w:p>
        </w:tc>
        <w:tc>
          <w:tcPr>
            <w:tcW w:w="974" w:type="dxa"/>
            <w:noWrap w:val="0"/>
            <w:vAlign w:val="center"/>
          </w:tcPr>
          <w:p w14:paraId="5F04B208">
            <w:pPr>
              <w:spacing w:line="360" w:lineRule="auto"/>
              <w:jc w:val="center"/>
              <w:rPr>
                <w:rFonts w:hint="eastAsia" w:ascii="宋体" w:hAnsi="宋体" w:cs="宋体"/>
                <w:sz w:val="24"/>
              </w:rPr>
            </w:pPr>
          </w:p>
        </w:tc>
        <w:tc>
          <w:tcPr>
            <w:tcW w:w="1067" w:type="dxa"/>
            <w:noWrap w:val="0"/>
            <w:vAlign w:val="center"/>
          </w:tcPr>
          <w:p w14:paraId="065C5E53">
            <w:pPr>
              <w:spacing w:line="360" w:lineRule="auto"/>
              <w:jc w:val="center"/>
              <w:rPr>
                <w:rFonts w:hint="eastAsia" w:ascii="宋体" w:hAnsi="宋体" w:cs="宋体"/>
                <w:sz w:val="24"/>
              </w:rPr>
            </w:pPr>
          </w:p>
        </w:tc>
      </w:tr>
      <w:tr w14:paraId="552C9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noWrap w:val="0"/>
            <w:vAlign w:val="center"/>
          </w:tcPr>
          <w:p w14:paraId="457C1666">
            <w:pPr>
              <w:spacing w:line="360" w:lineRule="auto"/>
              <w:jc w:val="center"/>
              <w:rPr>
                <w:rFonts w:hint="eastAsia" w:ascii="宋体" w:hAnsi="宋体" w:cs="宋体"/>
                <w:sz w:val="24"/>
              </w:rPr>
            </w:pPr>
            <w:r>
              <w:rPr>
                <w:rFonts w:hint="eastAsia" w:ascii="宋体" w:hAnsi="宋体" w:cs="宋体"/>
                <w:sz w:val="24"/>
                <w:highlight w:val="white"/>
              </w:rPr>
              <w:t>3</w:t>
            </w:r>
          </w:p>
        </w:tc>
        <w:tc>
          <w:tcPr>
            <w:tcW w:w="1965" w:type="dxa"/>
            <w:noWrap w:val="0"/>
            <w:vAlign w:val="center"/>
          </w:tcPr>
          <w:p w14:paraId="44AD8A29">
            <w:pPr>
              <w:spacing w:line="360" w:lineRule="auto"/>
              <w:jc w:val="center"/>
              <w:rPr>
                <w:rFonts w:hint="eastAsia" w:ascii="宋体" w:hAnsi="宋体" w:cs="宋体"/>
                <w:sz w:val="24"/>
              </w:rPr>
            </w:pPr>
            <w:r>
              <w:rPr>
                <w:rFonts w:hint="eastAsia" w:ascii="宋体" w:hAnsi="宋体" w:cs="宋体"/>
                <w:sz w:val="24"/>
                <w:highlight w:val="white"/>
              </w:rPr>
              <w:t>投标报价</w:t>
            </w:r>
          </w:p>
        </w:tc>
        <w:tc>
          <w:tcPr>
            <w:tcW w:w="970" w:type="dxa"/>
            <w:noWrap w:val="0"/>
            <w:vAlign w:val="center"/>
          </w:tcPr>
          <w:p w14:paraId="6324F5D4">
            <w:pPr>
              <w:spacing w:line="360" w:lineRule="auto"/>
              <w:jc w:val="center"/>
              <w:rPr>
                <w:rFonts w:hint="eastAsia" w:ascii="宋体" w:hAnsi="宋体" w:cs="宋体"/>
                <w:sz w:val="24"/>
              </w:rPr>
            </w:pPr>
            <w:r>
              <w:rPr>
                <w:rFonts w:hint="eastAsia" w:ascii="宋体" w:hAnsi="宋体" w:cs="宋体"/>
                <w:sz w:val="24"/>
                <w:highlight w:val="white"/>
              </w:rPr>
              <w:t>D</w:t>
            </w:r>
          </w:p>
        </w:tc>
        <w:tc>
          <w:tcPr>
            <w:tcW w:w="709" w:type="dxa"/>
            <w:noWrap w:val="0"/>
            <w:vAlign w:val="center"/>
          </w:tcPr>
          <w:p w14:paraId="132F07A4">
            <w:pPr>
              <w:spacing w:line="360" w:lineRule="auto"/>
              <w:jc w:val="center"/>
              <w:rPr>
                <w:rFonts w:hint="eastAsia" w:ascii="宋体" w:hAnsi="宋体" w:cs="宋体"/>
                <w:sz w:val="24"/>
              </w:rPr>
            </w:pPr>
          </w:p>
        </w:tc>
        <w:tc>
          <w:tcPr>
            <w:tcW w:w="749" w:type="dxa"/>
            <w:noWrap w:val="0"/>
            <w:vAlign w:val="center"/>
          </w:tcPr>
          <w:p w14:paraId="3639EBA6">
            <w:pPr>
              <w:spacing w:line="360" w:lineRule="auto"/>
              <w:jc w:val="center"/>
              <w:rPr>
                <w:rFonts w:hint="eastAsia" w:ascii="宋体" w:hAnsi="宋体" w:cs="宋体"/>
                <w:sz w:val="24"/>
              </w:rPr>
            </w:pPr>
          </w:p>
        </w:tc>
        <w:tc>
          <w:tcPr>
            <w:tcW w:w="854" w:type="dxa"/>
            <w:noWrap w:val="0"/>
            <w:vAlign w:val="center"/>
          </w:tcPr>
          <w:p w14:paraId="798204D3">
            <w:pPr>
              <w:spacing w:line="360" w:lineRule="auto"/>
              <w:jc w:val="center"/>
              <w:rPr>
                <w:rFonts w:hint="eastAsia" w:ascii="宋体" w:hAnsi="宋体" w:cs="宋体"/>
                <w:sz w:val="24"/>
              </w:rPr>
            </w:pPr>
          </w:p>
        </w:tc>
        <w:tc>
          <w:tcPr>
            <w:tcW w:w="974" w:type="dxa"/>
            <w:noWrap w:val="0"/>
            <w:vAlign w:val="center"/>
          </w:tcPr>
          <w:p w14:paraId="05963CCA">
            <w:pPr>
              <w:spacing w:line="360" w:lineRule="auto"/>
              <w:jc w:val="center"/>
              <w:rPr>
                <w:rFonts w:hint="eastAsia" w:ascii="宋体" w:hAnsi="宋体" w:cs="宋体"/>
                <w:sz w:val="24"/>
              </w:rPr>
            </w:pPr>
          </w:p>
        </w:tc>
        <w:tc>
          <w:tcPr>
            <w:tcW w:w="856" w:type="dxa"/>
            <w:noWrap w:val="0"/>
            <w:vAlign w:val="center"/>
          </w:tcPr>
          <w:p w14:paraId="484DCF41">
            <w:pPr>
              <w:spacing w:line="360" w:lineRule="auto"/>
              <w:jc w:val="center"/>
              <w:rPr>
                <w:rFonts w:hint="eastAsia" w:ascii="宋体" w:hAnsi="宋体" w:cs="宋体"/>
                <w:sz w:val="24"/>
              </w:rPr>
            </w:pPr>
          </w:p>
        </w:tc>
        <w:tc>
          <w:tcPr>
            <w:tcW w:w="974" w:type="dxa"/>
            <w:noWrap w:val="0"/>
            <w:vAlign w:val="center"/>
          </w:tcPr>
          <w:p w14:paraId="2F103B6F">
            <w:pPr>
              <w:spacing w:line="360" w:lineRule="auto"/>
              <w:jc w:val="center"/>
              <w:rPr>
                <w:rFonts w:hint="eastAsia" w:ascii="宋体" w:hAnsi="宋体" w:cs="宋体"/>
                <w:sz w:val="24"/>
              </w:rPr>
            </w:pPr>
          </w:p>
        </w:tc>
        <w:tc>
          <w:tcPr>
            <w:tcW w:w="1067" w:type="dxa"/>
            <w:noWrap w:val="0"/>
            <w:vAlign w:val="center"/>
          </w:tcPr>
          <w:p w14:paraId="40757B34">
            <w:pPr>
              <w:spacing w:line="360" w:lineRule="auto"/>
              <w:jc w:val="center"/>
              <w:rPr>
                <w:rFonts w:hint="eastAsia" w:ascii="宋体" w:hAnsi="宋体" w:cs="宋体"/>
                <w:sz w:val="24"/>
              </w:rPr>
            </w:pPr>
          </w:p>
        </w:tc>
      </w:tr>
      <w:tr w14:paraId="7F1749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415" w:type="dxa"/>
            <w:noWrap w:val="0"/>
            <w:vAlign w:val="center"/>
          </w:tcPr>
          <w:p w14:paraId="71163374">
            <w:pPr>
              <w:spacing w:line="360" w:lineRule="auto"/>
              <w:jc w:val="center"/>
              <w:rPr>
                <w:rFonts w:hint="eastAsia" w:ascii="宋体" w:hAnsi="宋体" w:cs="宋体"/>
                <w:sz w:val="24"/>
              </w:rPr>
            </w:pPr>
            <w:r>
              <w:rPr>
                <w:rFonts w:hint="eastAsia" w:ascii="宋体" w:hAnsi="宋体" w:cs="宋体"/>
                <w:sz w:val="24"/>
                <w:highlight w:val="white"/>
              </w:rPr>
              <w:t>4</w:t>
            </w:r>
          </w:p>
        </w:tc>
        <w:tc>
          <w:tcPr>
            <w:tcW w:w="1965" w:type="dxa"/>
            <w:noWrap w:val="0"/>
            <w:vAlign w:val="center"/>
          </w:tcPr>
          <w:p w14:paraId="214F2AE3">
            <w:pPr>
              <w:spacing w:line="360" w:lineRule="auto"/>
              <w:jc w:val="center"/>
              <w:rPr>
                <w:rFonts w:hint="eastAsia" w:ascii="宋体" w:hAnsi="宋体" w:cs="宋体"/>
                <w:sz w:val="24"/>
              </w:rPr>
            </w:pPr>
            <w:r>
              <w:rPr>
                <w:rFonts w:hint="eastAsia" w:ascii="宋体" w:hAnsi="宋体" w:cs="宋体"/>
                <w:sz w:val="24"/>
                <w:highlight w:val="white"/>
              </w:rPr>
              <w:t>其他因素</w:t>
            </w:r>
          </w:p>
        </w:tc>
        <w:tc>
          <w:tcPr>
            <w:tcW w:w="970" w:type="dxa"/>
            <w:noWrap w:val="0"/>
            <w:vAlign w:val="center"/>
          </w:tcPr>
          <w:p w14:paraId="4FAF9B47">
            <w:pPr>
              <w:spacing w:line="360" w:lineRule="auto"/>
              <w:jc w:val="center"/>
              <w:rPr>
                <w:rFonts w:hint="eastAsia" w:ascii="宋体" w:hAnsi="宋体" w:cs="宋体"/>
                <w:sz w:val="24"/>
              </w:rPr>
            </w:pPr>
            <w:r>
              <w:rPr>
                <w:rFonts w:hint="eastAsia" w:ascii="宋体" w:hAnsi="宋体" w:cs="宋体"/>
                <w:sz w:val="24"/>
                <w:highlight w:val="white"/>
              </w:rPr>
              <w:t>E</w:t>
            </w:r>
          </w:p>
        </w:tc>
        <w:tc>
          <w:tcPr>
            <w:tcW w:w="709" w:type="dxa"/>
            <w:noWrap w:val="0"/>
            <w:vAlign w:val="center"/>
          </w:tcPr>
          <w:p w14:paraId="0C61DF42">
            <w:pPr>
              <w:spacing w:line="360" w:lineRule="auto"/>
              <w:jc w:val="center"/>
              <w:rPr>
                <w:rFonts w:hint="eastAsia" w:ascii="宋体" w:hAnsi="宋体" w:cs="宋体"/>
                <w:sz w:val="24"/>
              </w:rPr>
            </w:pPr>
          </w:p>
        </w:tc>
        <w:tc>
          <w:tcPr>
            <w:tcW w:w="749" w:type="dxa"/>
            <w:noWrap w:val="0"/>
            <w:vAlign w:val="center"/>
          </w:tcPr>
          <w:p w14:paraId="590D8092">
            <w:pPr>
              <w:spacing w:line="360" w:lineRule="auto"/>
              <w:jc w:val="center"/>
              <w:rPr>
                <w:rFonts w:hint="eastAsia" w:ascii="宋体" w:hAnsi="宋体" w:cs="宋体"/>
                <w:sz w:val="24"/>
              </w:rPr>
            </w:pPr>
          </w:p>
        </w:tc>
        <w:tc>
          <w:tcPr>
            <w:tcW w:w="854" w:type="dxa"/>
            <w:noWrap w:val="0"/>
            <w:vAlign w:val="center"/>
          </w:tcPr>
          <w:p w14:paraId="4B50032C">
            <w:pPr>
              <w:spacing w:line="360" w:lineRule="auto"/>
              <w:jc w:val="center"/>
              <w:rPr>
                <w:rFonts w:hint="eastAsia" w:ascii="宋体" w:hAnsi="宋体" w:cs="宋体"/>
                <w:sz w:val="24"/>
              </w:rPr>
            </w:pPr>
          </w:p>
        </w:tc>
        <w:tc>
          <w:tcPr>
            <w:tcW w:w="974" w:type="dxa"/>
            <w:noWrap w:val="0"/>
            <w:vAlign w:val="center"/>
          </w:tcPr>
          <w:p w14:paraId="4AB6FD6D">
            <w:pPr>
              <w:spacing w:line="360" w:lineRule="auto"/>
              <w:jc w:val="center"/>
              <w:rPr>
                <w:rFonts w:hint="eastAsia" w:ascii="宋体" w:hAnsi="宋体" w:cs="宋体"/>
                <w:sz w:val="24"/>
              </w:rPr>
            </w:pPr>
          </w:p>
        </w:tc>
        <w:tc>
          <w:tcPr>
            <w:tcW w:w="856" w:type="dxa"/>
            <w:noWrap w:val="0"/>
            <w:vAlign w:val="center"/>
          </w:tcPr>
          <w:p w14:paraId="21FD4D8E">
            <w:pPr>
              <w:spacing w:line="360" w:lineRule="auto"/>
              <w:jc w:val="center"/>
              <w:rPr>
                <w:rFonts w:hint="eastAsia" w:ascii="宋体" w:hAnsi="宋体" w:cs="宋体"/>
                <w:sz w:val="24"/>
              </w:rPr>
            </w:pPr>
          </w:p>
        </w:tc>
        <w:tc>
          <w:tcPr>
            <w:tcW w:w="974" w:type="dxa"/>
            <w:noWrap w:val="0"/>
            <w:vAlign w:val="center"/>
          </w:tcPr>
          <w:p w14:paraId="4CE0F18A">
            <w:pPr>
              <w:spacing w:line="360" w:lineRule="auto"/>
              <w:jc w:val="center"/>
              <w:rPr>
                <w:rFonts w:hint="eastAsia" w:ascii="宋体" w:hAnsi="宋体" w:cs="宋体"/>
                <w:sz w:val="24"/>
              </w:rPr>
            </w:pPr>
          </w:p>
        </w:tc>
        <w:tc>
          <w:tcPr>
            <w:tcW w:w="1067" w:type="dxa"/>
            <w:noWrap w:val="0"/>
            <w:vAlign w:val="center"/>
          </w:tcPr>
          <w:p w14:paraId="171BD588">
            <w:pPr>
              <w:spacing w:line="360" w:lineRule="auto"/>
              <w:jc w:val="center"/>
              <w:rPr>
                <w:rFonts w:hint="eastAsia" w:ascii="宋体" w:hAnsi="宋体" w:cs="宋体"/>
                <w:sz w:val="24"/>
              </w:rPr>
            </w:pPr>
          </w:p>
        </w:tc>
      </w:tr>
      <w:tr w14:paraId="50B52D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dxa"/>
          <w:wAfter w:w="0" w:type="dxa"/>
          <w:trHeight w:val="57" w:hRule="atLeast"/>
          <w:jc w:val="center"/>
        </w:trPr>
        <w:tc>
          <w:tcPr>
            <w:tcW w:w="3350" w:type="dxa"/>
            <w:gridSpan w:val="3"/>
            <w:noWrap w:val="0"/>
            <w:vAlign w:val="center"/>
          </w:tcPr>
          <w:p w14:paraId="5E214972">
            <w:pPr>
              <w:spacing w:line="360" w:lineRule="auto"/>
              <w:jc w:val="center"/>
              <w:rPr>
                <w:rFonts w:hint="eastAsia" w:ascii="宋体" w:hAnsi="宋体" w:cs="宋体"/>
                <w:sz w:val="24"/>
              </w:rPr>
            </w:pPr>
            <w:r>
              <w:rPr>
                <w:rFonts w:hint="eastAsia" w:ascii="宋体" w:hAnsi="宋体" w:cs="宋体"/>
                <w:sz w:val="24"/>
                <w:highlight w:val="white"/>
              </w:rPr>
              <w:t>详细评审得分合计</w:t>
            </w:r>
          </w:p>
        </w:tc>
        <w:tc>
          <w:tcPr>
            <w:tcW w:w="709" w:type="dxa"/>
            <w:noWrap w:val="0"/>
            <w:vAlign w:val="center"/>
          </w:tcPr>
          <w:p w14:paraId="62BD5C93">
            <w:pPr>
              <w:spacing w:line="360" w:lineRule="auto"/>
              <w:jc w:val="center"/>
              <w:rPr>
                <w:rFonts w:hint="eastAsia" w:ascii="宋体" w:hAnsi="宋体" w:cs="宋体"/>
                <w:sz w:val="24"/>
              </w:rPr>
            </w:pPr>
          </w:p>
        </w:tc>
        <w:tc>
          <w:tcPr>
            <w:tcW w:w="749" w:type="dxa"/>
            <w:noWrap w:val="0"/>
            <w:vAlign w:val="center"/>
          </w:tcPr>
          <w:p w14:paraId="1F6BD034">
            <w:pPr>
              <w:spacing w:line="360" w:lineRule="auto"/>
              <w:jc w:val="center"/>
              <w:rPr>
                <w:rFonts w:hint="eastAsia" w:ascii="宋体" w:hAnsi="宋体" w:cs="宋体"/>
                <w:sz w:val="24"/>
              </w:rPr>
            </w:pPr>
          </w:p>
        </w:tc>
        <w:tc>
          <w:tcPr>
            <w:tcW w:w="854" w:type="dxa"/>
            <w:noWrap w:val="0"/>
            <w:vAlign w:val="center"/>
          </w:tcPr>
          <w:p w14:paraId="182E4CB2">
            <w:pPr>
              <w:spacing w:line="360" w:lineRule="auto"/>
              <w:jc w:val="center"/>
              <w:rPr>
                <w:rFonts w:hint="eastAsia" w:ascii="宋体" w:hAnsi="宋体" w:cs="宋体"/>
                <w:sz w:val="24"/>
              </w:rPr>
            </w:pPr>
          </w:p>
        </w:tc>
        <w:tc>
          <w:tcPr>
            <w:tcW w:w="974" w:type="dxa"/>
            <w:noWrap w:val="0"/>
            <w:vAlign w:val="center"/>
          </w:tcPr>
          <w:p w14:paraId="6387731B">
            <w:pPr>
              <w:spacing w:line="360" w:lineRule="auto"/>
              <w:jc w:val="center"/>
              <w:rPr>
                <w:rFonts w:hint="eastAsia" w:ascii="宋体" w:hAnsi="宋体" w:cs="宋体"/>
                <w:sz w:val="24"/>
              </w:rPr>
            </w:pPr>
          </w:p>
        </w:tc>
        <w:tc>
          <w:tcPr>
            <w:tcW w:w="856" w:type="dxa"/>
            <w:noWrap w:val="0"/>
            <w:vAlign w:val="center"/>
          </w:tcPr>
          <w:p w14:paraId="7C908274">
            <w:pPr>
              <w:spacing w:line="360" w:lineRule="auto"/>
              <w:jc w:val="center"/>
              <w:rPr>
                <w:rFonts w:hint="eastAsia" w:ascii="宋体" w:hAnsi="宋体" w:cs="宋体"/>
                <w:sz w:val="24"/>
              </w:rPr>
            </w:pPr>
          </w:p>
        </w:tc>
        <w:tc>
          <w:tcPr>
            <w:tcW w:w="974" w:type="dxa"/>
            <w:noWrap w:val="0"/>
            <w:vAlign w:val="center"/>
          </w:tcPr>
          <w:p w14:paraId="7370B98A">
            <w:pPr>
              <w:spacing w:line="360" w:lineRule="auto"/>
              <w:jc w:val="center"/>
              <w:rPr>
                <w:rFonts w:hint="eastAsia" w:ascii="宋体" w:hAnsi="宋体" w:cs="宋体"/>
                <w:sz w:val="24"/>
              </w:rPr>
            </w:pPr>
          </w:p>
        </w:tc>
        <w:tc>
          <w:tcPr>
            <w:tcW w:w="1067" w:type="dxa"/>
            <w:noWrap w:val="0"/>
            <w:vAlign w:val="center"/>
          </w:tcPr>
          <w:p w14:paraId="682FD184">
            <w:pPr>
              <w:spacing w:line="360" w:lineRule="auto"/>
              <w:jc w:val="center"/>
              <w:rPr>
                <w:rFonts w:hint="eastAsia" w:ascii="宋体" w:hAnsi="宋体" w:cs="宋体"/>
                <w:sz w:val="24"/>
              </w:rPr>
            </w:pPr>
          </w:p>
        </w:tc>
      </w:tr>
    </w:tbl>
    <w:p w14:paraId="1C910C70">
      <w:pPr>
        <w:spacing w:line="360" w:lineRule="auto"/>
        <w:rPr>
          <w:rFonts w:hint="eastAsia" w:ascii="宋体" w:hAnsi="宋体" w:cs="宋体"/>
          <w:sz w:val="24"/>
        </w:rPr>
      </w:pPr>
      <w:r>
        <w:rPr>
          <w:rFonts w:hint="eastAsia" w:ascii="宋体" w:hAnsi="宋体" w:cs="宋体"/>
          <w:sz w:val="24"/>
          <w:highlight w:val="white"/>
        </w:rPr>
        <w:t>评标委员会成员签名：</w:t>
      </w:r>
    </w:p>
    <w:p w14:paraId="16C14151">
      <w:pPr>
        <w:pStyle w:val="3"/>
        <w:rPr>
          <w:rFonts w:hint="eastAsia" w:ascii="宋体" w:hAnsi="宋体" w:eastAsia="宋体" w:cs="宋体"/>
          <w:sz w:val="24"/>
          <w:szCs w:val="24"/>
        </w:rPr>
      </w:pPr>
      <w:r>
        <w:rPr>
          <w:rFonts w:ascii="宋体" w:hAnsi="宋体" w:eastAsia="宋体" w:cs="宋体"/>
          <w:sz w:val="24"/>
          <w:szCs w:val="24"/>
          <w:highlight w:val="white"/>
        </w:rPr>
        <w:br w:type="page"/>
      </w:r>
      <w:bookmarkStart w:id="224" w:name="_Toc256000095"/>
      <w:r>
        <w:rPr>
          <w:rFonts w:hint="eastAsia" w:ascii="宋体" w:hAnsi="宋体" w:eastAsia="宋体" w:cs="宋体"/>
          <w:sz w:val="24"/>
          <w:szCs w:val="24"/>
          <w:highlight w:val="white"/>
        </w:rPr>
        <w:t>附表12：评标结果汇总表</w:t>
      </w:r>
      <w:bookmarkEnd w:id="224"/>
    </w:p>
    <w:p w14:paraId="55CA9314">
      <w:pPr>
        <w:spacing w:line="360" w:lineRule="auto"/>
        <w:jc w:val="center"/>
        <w:rPr>
          <w:rFonts w:hint="eastAsia" w:ascii="宋体" w:hAnsi="宋体" w:cs="宋体"/>
          <w:b/>
          <w:sz w:val="24"/>
        </w:rPr>
      </w:pPr>
      <w:r>
        <w:rPr>
          <w:rFonts w:hint="eastAsia" w:ascii="宋体" w:hAnsi="宋体" w:cs="宋体"/>
          <w:b/>
          <w:sz w:val="24"/>
          <w:highlight w:val="white"/>
        </w:rPr>
        <w:t>评标结果汇总表</w:t>
      </w:r>
    </w:p>
    <w:p w14:paraId="4845AD05">
      <w:pPr>
        <w:spacing w:line="360" w:lineRule="auto"/>
        <w:jc w:val="center"/>
        <w:rPr>
          <w:rFonts w:hint="eastAsia" w:ascii="宋体" w:hAnsi="宋体" w:cs="宋体"/>
          <w:b/>
          <w:sz w:val="24"/>
        </w:rPr>
      </w:pPr>
    </w:p>
    <w:p w14:paraId="46A45F1F">
      <w:pPr>
        <w:spacing w:line="360" w:lineRule="auto"/>
        <w:rPr>
          <w:rFonts w:hint="eastAsia" w:ascii="宋体" w:hAnsi="宋体" w:cs="宋体"/>
          <w:sz w:val="24"/>
        </w:rPr>
      </w:pPr>
      <w:r>
        <w:rPr>
          <w:rFonts w:hint="eastAsia" w:ascii="宋体" w:hAnsi="宋体" w:cs="宋体"/>
          <w:sz w:val="24"/>
          <w:highlight w:val="white"/>
        </w:rPr>
        <w:t>工程名称：</w:t>
      </w:r>
      <w:r>
        <w:rPr>
          <w:rFonts w:hint="eastAsia" w:ascii="宋体" w:hAnsi="宋体" w:cs="宋体"/>
          <w:bCs/>
          <w:sz w:val="24"/>
          <w:highlight w:val="white"/>
        </w:rPr>
        <w:t>______（项目名称）设计施工总承包_______标段</w:t>
      </w:r>
    </w:p>
    <w:tbl>
      <w:tblPr>
        <w:tblStyle w:val="33"/>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590"/>
        <w:gridCol w:w="1019"/>
        <w:gridCol w:w="1019"/>
        <w:gridCol w:w="1019"/>
        <w:gridCol w:w="1019"/>
        <w:gridCol w:w="1019"/>
        <w:gridCol w:w="1019"/>
        <w:gridCol w:w="1018"/>
      </w:tblGrid>
      <w:tr w14:paraId="42F2D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vMerge w:val="restart"/>
            <w:noWrap w:val="0"/>
            <w:vAlign w:val="center"/>
          </w:tcPr>
          <w:p w14:paraId="46C32A22">
            <w:pPr>
              <w:spacing w:line="360" w:lineRule="auto"/>
              <w:jc w:val="center"/>
              <w:rPr>
                <w:rFonts w:hint="eastAsia" w:ascii="宋体" w:hAnsi="宋体" w:cs="宋体"/>
                <w:sz w:val="24"/>
              </w:rPr>
            </w:pPr>
            <w:r>
              <w:rPr>
                <w:rFonts w:hint="eastAsia" w:ascii="宋体" w:hAnsi="宋体" w:cs="宋体"/>
                <w:sz w:val="24"/>
                <w:highlight w:val="white"/>
              </w:rPr>
              <w:t>评标委员会成员</w:t>
            </w:r>
          </w:p>
          <w:p w14:paraId="620C8A70">
            <w:pPr>
              <w:spacing w:line="360" w:lineRule="auto"/>
              <w:jc w:val="center"/>
              <w:rPr>
                <w:rFonts w:hint="eastAsia" w:ascii="宋体" w:hAnsi="宋体" w:cs="宋体"/>
                <w:sz w:val="24"/>
              </w:rPr>
            </w:pPr>
            <w:r>
              <w:rPr>
                <w:rFonts w:hint="eastAsia" w:ascii="宋体" w:hAnsi="宋体" w:cs="宋体"/>
                <w:sz w:val="24"/>
                <w:highlight w:val="white"/>
              </w:rPr>
              <w:t>姓名</w:t>
            </w:r>
          </w:p>
        </w:tc>
        <w:tc>
          <w:tcPr>
            <w:tcW w:w="7132" w:type="dxa"/>
            <w:gridSpan w:val="7"/>
            <w:noWrap w:val="0"/>
            <w:vAlign w:val="center"/>
          </w:tcPr>
          <w:p w14:paraId="66307237">
            <w:pPr>
              <w:spacing w:line="360" w:lineRule="auto"/>
              <w:jc w:val="center"/>
              <w:rPr>
                <w:rFonts w:hint="eastAsia" w:ascii="宋体" w:hAnsi="宋体" w:cs="宋体"/>
                <w:sz w:val="24"/>
              </w:rPr>
            </w:pPr>
            <w:r>
              <w:rPr>
                <w:rFonts w:hint="eastAsia" w:ascii="宋体" w:hAnsi="宋体" w:cs="宋体"/>
                <w:sz w:val="24"/>
                <w:highlight w:val="white"/>
              </w:rPr>
              <w:t>投标人名称及其得分</w:t>
            </w:r>
          </w:p>
        </w:tc>
      </w:tr>
      <w:tr w14:paraId="3E31EF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vMerge w:val="continue"/>
            <w:noWrap w:val="0"/>
            <w:vAlign w:val="center"/>
          </w:tcPr>
          <w:p w14:paraId="6F09D65B">
            <w:pPr>
              <w:spacing w:line="360" w:lineRule="auto"/>
              <w:rPr>
                <w:rFonts w:hint="eastAsia" w:ascii="宋体" w:hAnsi="宋体" w:cs="宋体"/>
                <w:sz w:val="24"/>
              </w:rPr>
            </w:pPr>
          </w:p>
        </w:tc>
        <w:tc>
          <w:tcPr>
            <w:tcW w:w="1019" w:type="dxa"/>
            <w:noWrap w:val="0"/>
            <w:vAlign w:val="center"/>
          </w:tcPr>
          <w:p w14:paraId="5383B224">
            <w:pPr>
              <w:spacing w:line="360" w:lineRule="auto"/>
              <w:jc w:val="center"/>
              <w:rPr>
                <w:rFonts w:hint="eastAsia" w:ascii="宋体" w:hAnsi="宋体" w:cs="宋体"/>
                <w:sz w:val="24"/>
              </w:rPr>
            </w:pPr>
          </w:p>
        </w:tc>
        <w:tc>
          <w:tcPr>
            <w:tcW w:w="1019" w:type="dxa"/>
            <w:noWrap w:val="0"/>
            <w:vAlign w:val="center"/>
          </w:tcPr>
          <w:p w14:paraId="2CA530A3">
            <w:pPr>
              <w:spacing w:line="360" w:lineRule="auto"/>
              <w:jc w:val="center"/>
              <w:rPr>
                <w:rFonts w:hint="eastAsia" w:ascii="宋体" w:hAnsi="宋体" w:cs="宋体"/>
                <w:sz w:val="24"/>
              </w:rPr>
            </w:pPr>
          </w:p>
        </w:tc>
        <w:tc>
          <w:tcPr>
            <w:tcW w:w="1019" w:type="dxa"/>
            <w:noWrap w:val="0"/>
            <w:vAlign w:val="center"/>
          </w:tcPr>
          <w:p w14:paraId="1496933F">
            <w:pPr>
              <w:spacing w:line="360" w:lineRule="auto"/>
              <w:jc w:val="center"/>
              <w:rPr>
                <w:rFonts w:hint="eastAsia" w:ascii="宋体" w:hAnsi="宋体" w:cs="宋体"/>
                <w:sz w:val="24"/>
              </w:rPr>
            </w:pPr>
          </w:p>
        </w:tc>
        <w:tc>
          <w:tcPr>
            <w:tcW w:w="1019" w:type="dxa"/>
            <w:noWrap w:val="0"/>
            <w:vAlign w:val="center"/>
          </w:tcPr>
          <w:p w14:paraId="0BD094F3">
            <w:pPr>
              <w:spacing w:line="360" w:lineRule="auto"/>
              <w:jc w:val="center"/>
              <w:rPr>
                <w:rFonts w:hint="eastAsia" w:ascii="宋体" w:hAnsi="宋体" w:cs="宋体"/>
                <w:sz w:val="24"/>
              </w:rPr>
            </w:pPr>
          </w:p>
        </w:tc>
        <w:tc>
          <w:tcPr>
            <w:tcW w:w="1019" w:type="dxa"/>
            <w:noWrap w:val="0"/>
            <w:vAlign w:val="center"/>
          </w:tcPr>
          <w:p w14:paraId="27AC7739">
            <w:pPr>
              <w:spacing w:line="360" w:lineRule="auto"/>
              <w:jc w:val="center"/>
              <w:rPr>
                <w:rFonts w:hint="eastAsia" w:ascii="宋体" w:hAnsi="宋体" w:cs="宋体"/>
                <w:sz w:val="24"/>
              </w:rPr>
            </w:pPr>
          </w:p>
        </w:tc>
        <w:tc>
          <w:tcPr>
            <w:tcW w:w="1019" w:type="dxa"/>
            <w:noWrap w:val="0"/>
            <w:vAlign w:val="center"/>
          </w:tcPr>
          <w:p w14:paraId="763C4E42">
            <w:pPr>
              <w:spacing w:line="360" w:lineRule="auto"/>
              <w:jc w:val="center"/>
              <w:rPr>
                <w:rFonts w:hint="eastAsia" w:ascii="宋体" w:hAnsi="宋体" w:cs="宋体"/>
                <w:sz w:val="24"/>
              </w:rPr>
            </w:pPr>
          </w:p>
        </w:tc>
        <w:tc>
          <w:tcPr>
            <w:tcW w:w="1018" w:type="dxa"/>
            <w:noWrap w:val="0"/>
            <w:vAlign w:val="center"/>
          </w:tcPr>
          <w:p w14:paraId="378E69D8">
            <w:pPr>
              <w:spacing w:line="360" w:lineRule="auto"/>
              <w:jc w:val="center"/>
              <w:rPr>
                <w:rFonts w:hint="eastAsia" w:ascii="宋体" w:hAnsi="宋体" w:cs="宋体"/>
                <w:sz w:val="24"/>
              </w:rPr>
            </w:pPr>
          </w:p>
        </w:tc>
      </w:tr>
      <w:tr w14:paraId="3DEBC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0272B31A">
            <w:pPr>
              <w:spacing w:line="360" w:lineRule="auto"/>
              <w:rPr>
                <w:rFonts w:hint="eastAsia" w:ascii="宋体" w:hAnsi="宋体" w:cs="宋体"/>
                <w:sz w:val="24"/>
              </w:rPr>
            </w:pPr>
          </w:p>
        </w:tc>
        <w:tc>
          <w:tcPr>
            <w:tcW w:w="1019" w:type="dxa"/>
            <w:noWrap w:val="0"/>
            <w:vAlign w:val="center"/>
          </w:tcPr>
          <w:p w14:paraId="41C16D29">
            <w:pPr>
              <w:spacing w:line="360" w:lineRule="auto"/>
              <w:jc w:val="center"/>
              <w:rPr>
                <w:rFonts w:hint="eastAsia" w:ascii="宋体" w:hAnsi="宋体" w:cs="宋体"/>
                <w:sz w:val="24"/>
              </w:rPr>
            </w:pPr>
          </w:p>
        </w:tc>
        <w:tc>
          <w:tcPr>
            <w:tcW w:w="1019" w:type="dxa"/>
            <w:noWrap w:val="0"/>
            <w:vAlign w:val="center"/>
          </w:tcPr>
          <w:p w14:paraId="734F766B">
            <w:pPr>
              <w:spacing w:line="360" w:lineRule="auto"/>
              <w:jc w:val="center"/>
              <w:rPr>
                <w:rFonts w:hint="eastAsia" w:ascii="宋体" w:hAnsi="宋体" w:cs="宋体"/>
                <w:sz w:val="24"/>
              </w:rPr>
            </w:pPr>
          </w:p>
        </w:tc>
        <w:tc>
          <w:tcPr>
            <w:tcW w:w="1019" w:type="dxa"/>
            <w:noWrap w:val="0"/>
            <w:vAlign w:val="center"/>
          </w:tcPr>
          <w:p w14:paraId="57D99112">
            <w:pPr>
              <w:spacing w:line="360" w:lineRule="auto"/>
              <w:jc w:val="center"/>
              <w:rPr>
                <w:rFonts w:hint="eastAsia" w:ascii="宋体" w:hAnsi="宋体" w:cs="宋体"/>
                <w:sz w:val="24"/>
              </w:rPr>
            </w:pPr>
          </w:p>
        </w:tc>
        <w:tc>
          <w:tcPr>
            <w:tcW w:w="1019" w:type="dxa"/>
            <w:noWrap w:val="0"/>
            <w:vAlign w:val="center"/>
          </w:tcPr>
          <w:p w14:paraId="7EA4F408">
            <w:pPr>
              <w:spacing w:line="360" w:lineRule="auto"/>
              <w:jc w:val="center"/>
              <w:rPr>
                <w:rFonts w:hint="eastAsia" w:ascii="宋体" w:hAnsi="宋体" w:cs="宋体"/>
                <w:sz w:val="24"/>
              </w:rPr>
            </w:pPr>
          </w:p>
        </w:tc>
        <w:tc>
          <w:tcPr>
            <w:tcW w:w="1019" w:type="dxa"/>
            <w:noWrap w:val="0"/>
            <w:vAlign w:val="center"/>
          </w:tcPr>
          <w:p w14:paraId="1E7C18E1">
            <w:pPr>
              <w:spacing w:line="360" w:lineRule="auto"/>
              <w:jc w:val="center"/>
              <w:rPr>
                <w:rFonts w:hint="eastAsia" w:ascii="宋体" w:hAnsi="宋体" w:cs="宋体"/>
                <w:sz w:val="24"/>
              </w:rPr>
            </w:pPr>
          </w:p>
        </w:tc>
        <w:tc>
          <w:tcPr>
            <w:tcW w:w="1019" w:type="dxa"/>
            <w:noWrap w:val="0"/>
            <w:vAlign w:val="center"/>
          </w:tcPr>
          <w:p w14:paraId="65A0A21F">
            <w:pPr>
              <w:spacing w:line="360" w:lineRule="auto"/>
              <w:jc w:val="center"/>
              <w:rPr>
                <w:rFonts w:hint="eastAsia" w:ascii="宋体" w:hAnsi="宋体" w:cs="宋体"/>
                <w:sz w:val="24"/>
              </w:rPr>
            </w:pPr>
          </w:p>
        </w:tc>
        <w:tc>
          <w:tcPr>
            <w:tcW w:w="1018" w:type="dxa"/>
            <w:noWrap w:val="0"/>
            <w:vAlign w:val="center"/>
          </w:tcPr>
          <w:p w14:paraId="24EBBF83">
            <w:pPr>
              <w:spacing w:line="360" w:lineRule="auto"/>
              <w:jc w:val="center"/>
              <w:rPr>
                <w:rFonts w:hint="eastAsia" w:ascii="宋体" w:hAnsi="宋体" w:cs="宋体"/>
                <w:sz w:val="24"/>
              </w:rPr>
            </w:pPr>
          </w:p>
        </w:tc>
      </w:tr>
      <w:tr w14:paraId="072E07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6341368B">
            <w:pPr>
              <w:spacing w:line="360" w:lineRule="auto"/>
              <w:rPr>
                <w:rFonts w:hint="eastAsia" w:ascii="宋体" w:hAnsi="宋体" w:cs="宋体"/>
                <w:sz w:val="24"/>
              </w:rPr>
            </w:pPr>
          </w:p>
        </w:tc>
        <w:tc>
          <w:tcPr>
            <w:tcW w:w="1019" w:type="dxa"/>
            <w:noWrap w:val="0"/>
            <w:vAlign w:val="center"/>
          </w:tcPr>
          <w:p w14:paraId="56CC0990">
            <w:pPr>
              <w:spacing w:line="360" w:lineRule="auto"/>
              <w:jc w:val="center"/>
              <w:rPr>
                <w:rFonts w:hint="eastAsia" w:ascii="宋体" w:hAnsi="宋体" w:cs="宋体"/>
                <w:sz w:val="24"/>
              </w:rPr>
            </w:pPr>
          </w:p>
        </w:tc>
        <w:tc>
          <w:tcPr>
            <w:tcW w:w="1019" w:type="dxa"/>
            <w:noWrap w:val="0"/>
            <w:vAlign w:val="center"/>
          </w:tcPr>
          <w:p w14:paraId="441626EC">
            <w:pPr>
              <w:spacing w:line="360" w:lineRule="auto"/>
              <w:jc w:val="center"/>
              <w:rPr>
                <w:rFonts w:hint="eastAsia" w:ascii="宋体" w:hAnsi="宋体" w:cs="宋体"/>
                <w:sz w:val="24"/>
              </w:rPr>
            </w:pPr>
          </w:p>
        </w:tc>
        <w:tc>
          <w:tcPr>
            <w:tcW w:w="1019" w:type="dxa"/>
            <w:noWrap w:val="0"/>
            <w:vAlign w:val="center"/>
          </w:tcPr>
          <w:p w14:paraId="4BB9EC36">
            <w:pPr>
              <w:spacing w:line="360" w:lineRule="auto"/>
              <w:jc w:val="center"/>
              <w:rPr>
                <w:rFonts w:hint="eastAsia" w:ascii="宋体" w:hAnsi="宋体" w:cs="宋体"/>
                <w:sz w:val="24"/>
              </w:rPr>
            </w:pPr>
          </w:p>
        </w:tc>
        <w:tc>
          <w:tcPr>
            <w:tcW w:w="1019" w:type="dxa"/>
            <w:noWrap w:val="0"/>
            <w:vAlign w:val="center"/>
          </w:tcPr>
          <w:p w14:paraId="7899A733">
            <w:pPr>
              <w:spacing w:line="360" w:lineRule="auto"/>
              <w:jc w:val="center"/>
              <w:rPr>
                <w:rFonts w:hint="eastAsia" w:ascii="宋体" w:hAnsi="宋体" w:cs="宋体"/>
                <w:sz w:val="24"/>
              </w:rPr>
            </w:pPr>
          </w:p>
        </w:tc>
        <w:tc>
          <w:tcPr>
            <w:tcW w:w="1019" w:type="dxa"/>
            <w:noWrap w:val="0"/>
            <w:vAlign w:val="center"/>
          </w:tcPr>
          <w:p w14:paraId="2EF20D02">
            <w:pPr>
              <w:spacing w:line="360" w:lineRule="auto"/>
              <w:jc w:val="center"/>
              <w:rPr>
                <w:rFonts w:hint="eastAsia" w:ascii="宋体" w:hAnsi="宋体" w:cs="宋体"/>
                <w:sz w:val="24"/>
              </w:rPr>
            </w:pPr>
          </w:p>
        </w:tc>
        <w:tc>
          <w:tcPr>
            <w:tcW w:w="1019" w:type="dxa"/>
            <w:noWrap w:val="0"/>
            <w:vAlign w:val="center"/>
          </w:tcPr>
          <w:p w14:paraId="360A9313">
            <w:pPr>
              <w:spacing w:line="360" w:lineRule="auto"/>
              <w:jc w:val="center"/>
              <w:rPr>
                <w:rFonts w:hint="eastAsia" w:ascii="宋体" w:hAnsi="宋体" w:cs="宋体"/>
                <w:sz w:val="24"/>
              </w:rPr>
            </w:pPr>
          </w:p>
        </w:tc>
        <w:tc>
          <w:tcPr>
            <w:tcW w:w="1018" w:type="dxa"/>
            <w:noWrap w:val="0"/>
            <w:vAlign w:val="center"/>
          </w:tcPr>
          <w:p w14:paraId="26D1606A">
            <w:pPr>
              <w:spacing w:line="360" w:lineRule="auto"/>
              <w:jc w:val="center"/>
              <w:rPr>
                <w:rFonts w:hint="eastAsia" w:ascii="宋体" w:hAnsi="宋体" w:cs="宋体"/>
                <w:sz w:val="24"/>
              </w:rPr>
            </w:pPr>
          </w:p>
        </w:tc>
      </w:tr>
      <w:tr w14:paraId="6A4467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4D7B05F0">
            <w:pPr>
              <w:spacing w:line="360" w:lineRule="auto"/>
              <w:rPr>
                <w:rFonts w:hint="eastAsia" w:ascii="宋体" w:hAnsi="宋体" w:cs="宋体"/>
                <w:sz w:val="24"/>
              </w:rPr>
            </w:pPr>
          </w:p>
        </w:tc>
        <w:tc>
          <w:tcPr>
            <w:tcW w:w="1019" w:type="dxa"/>
            <w:noWrap w:val="0"/>
            <w:vAlign w:val="center"/>
          </w:tcPr>
          <w:p w14:paraId="769EF2CC">
            <w:pPr>
              <w:spacing w:line="360" w:lineRule="auto"/>
              <w:jc w:val="center"/>
              <w:rPr>
                <w:rFonts w:hint="eastAsia" w:ascii="宋体" w:hAnsi="宋体" w:cs="宋体"/>
                <w:sz w:val="24"/>
              </w:rPr>
            </w:pPr>
          </w:p>
        </w:tc>
        <w:tc>
          <w:tcPr>
            <w:tcW w:w="1019" w:type="dxa"/>
            <w:noWrap w:val="0"/>
            <w:vAlign w:val="center"/>
          </w:tcPr>
          <w:p w14:paraId="5B4BEBED">
            <w:pPr>
              <w:spacing w:line="360" w:lineRule="auto"/>
              <w:jc w:val="center"/>
              <w:rPr>
                <w:rFonts w:hint="eastAsia" w:ascii="宋体" w:hAnsi="宋体" w:cs="宋体"/>
                <w:sz w:val="24"/>
              </w:rPr>
            </w:pPr>
          </w:p>
        </w:tc>
        <w:tc>
          <w:tcPr>
            <w:tcW w:w="1019" w:type="dxa"/>
            <w:noWrap w:val="0"/>
            <w:vAlign w:val="center"/>
          </w:tcPr>
          <w:p w14:paraId="6E207453">
            <w:pPr>
              <w:spacing w:line="360" w:lineRule="auto"/>
              <w:jc w:val="center"/>
              <w:rPr>
                <w:rFonts w:hint="eastAsia" w:ascii="宋体" w:hAnsi="宋体" w:cs="宋体"/>
                <w:sz w:val="24"/>
              </w:rPr>
            </w:pPr>
          </w:p>
        </w:tc>
        <w:tc>
          <w:tcPr>
            <w:tcW w:w="1019" w:type="dxa"/>
            <w:noWrap w:val="0"/>
            <w:vAlign w:val="center"/>
          </w:tcPr>
          <w:p w14:paraId="42074B1F">
            <w:pPr>
              <w:spacing w:line="360" w:lineRule="auto"/>
              <w:jc w:val="center"/>
              <w:rPr>
                <w:rFonts w:hint="eastAsia" w:ascii="宋体" w:hAnsi="宋体" w:cs="宋体"/>
                <w:sz w:val="24"/>
              </w:rPr>
            </w:pPr>
          </w:p>
        </w:tc>
        <w:tc>
          <w:tcPr>
            <w:tcW w:w="1019" w:type="dxa"/>
            <w:noWrap w:val="0"/>
            <w:vAlign w:val="center"/>
          </w:tcPr>
          <w:p w14:paraId="5F01EC51">
            <w:pPr>
              <w:spacing w:line="360" w:lineRule="auto"/>
              <w:jc w:val="center"/>
              <w:rPr>
                <w:rFonts w:hint="eastAsia" w:ascii="宋体" w:hAnsi="宋体" w:cs="宋体"/>
                <w:sz w:val="24"/>
              </w:rPr>
            </w:pPr>
          </w:p>
        </w:tc>
        <w:tc>
          <w:tcPr>
            <w:tcW w:w="1019" w:type="dxa"/>
            <w:noWrap w:val="0"/>
            <w:vAlign w:val="center"/>
          </w:tcPr>
          <w:p w14:paraId="38DD83F8">
            <w:pPr>
              <w:spacing w:line="360" w:lineRule="auto"/>
              <w:jc w:val="center"/>
              <w:rPr>
                <w:rFonts w:hint="eastAsia" w:ascii="宋体" w:hAnsi="宋体" w:cs="宋体"/>
                <w:sz w:val="24"/>
              </w:rPr>
            </w:pPr>
          </w:p>
        </w:tc>
        <w:tc>
          <w:tcPr>
            <w:tcW w:w="1018" w:type="dxa"/>
            <w:noWrap w:val="0"/>
            <w:vAlign w:val="center"/>
          </w:tcPr>
          <w:p w14:paraId="505E8B3E">
            <w:pPr>
              <w:spacing w:line="360" w:lineRule="auto"/>
              <w:jc w:val="center"/>
              <w:rPr>
                <w:rFonts w:hint="eastAsia" w:ascii="宋体" w:hAnsi="宋体" w:cs="宋体"/>
                <w:sz w:val="24"/>
              </w:rPr>
            </w:pPr>
          </w:p>
        </w:tc>
      </w:tr>
      <w:tr w14:paraId="4E5D1F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60B39852">
            <w:pPr>
              <w:spacing w:line="360" w:lineRule="auto"/>
              <w:rPr>
                <w:rFonts w:hint="eastAsia" w:ascii="宋体" w:hAnsi="宋体" w:cs="宋体"/>
                <w:sz w:val="24"/>
              </w:rPr>
            </w:pPr>
          </w:p>
        </w:tc>
        <w:tc>
          <w:tcPr>
            <w:tcW w:w="1019" w:type="dxa"/>
            <w:noWrap w:val="0"/>
            <w:vAlign w:val="center"/>
          </w:tcPr>
          <w:p w14:paraId="0FBD3187">
            <w:pPr>
              <w:spacing w:line="360" w:lineRule="auto"/>
              <w:jc w:val="center"/>
              <w:rPr>
                <w:rFonts w:hint="eastAsia" w:ascii="宋体" w:hAnsi="宋体" w:cs="宋体"/>
                <w:sz w:val="24"/>
              </w:rPr>
            </w:pPr>
          </w:p>
        </w:tc>
        <w:tc>
          <w:tcPr>
            <w:tcW w:w="1019" w:type="dxa"/>
            <w:noWrap w:val="0"/>
            <w:vAlign w:val="center"/>
          </w:tcPr>
          <w:p w14:paraId="30A1D86F">
            <w:pPr>
              <w:spacing w:line="360" w:lineRule="auto"/>
              <w:jc w:val="center"/>
              <w:rPr>
                <w:rFonts w:hint="eastAsia" w:ascii="宋体" w:hAnsi="宋体" w:cs="宋体"/>
                <w:sz w:val="24"/>
              </w:rPr>
            </w:pPr>
          </w:p>
        </w:tc>
        <w:tc>
          <w:tcPr>
            <w:tcW w:w="1019" w:type="dxa"/>
            <w:noWrap w:val="0"/>
            <w:vAlign w:val="center"/>
          </w:tcPr>
          <w:p w14:paraId="624EE1EA">
            <w:pPr>
              <w:spacing w:line="360" w:lineRule="auto"/>
              <w:jc w:val="center"/>
              <w:rPr>
                <w:rFonts w:hint="eastAsia" w:ascii="宋体" w:hAnsi="宋体" w:cs="宋体"/>
                <w:sz w:val="24"/>
              </w:rPr>
            </w:pPr>
          </w:p>
        </w:tc>
        <w:tc>
          <w:tcPr>
            <w:tcW w:w="1019" w:type="dxa"/>
            <w:noWrap w:val="0"/>
            <w:vAlign w:val="center"/>
          </w:tcPr>
          <w:p w14:paraId="5D37A332">
            <w:pPr>
              <w:spacing w:line="360" w:lineRule="auto"/>
              <w:jc w:val="center"/>
              <w:rPr>
                <w:rFonts w:hint="eastAsia" w:ascii="宋体" w:hAnsi="宋体" w:cs="宋体"/>
                <w:sz w:val="24"/>
              </w:rPr>
            </w:pPr>
          </w:p>
        </w:tc>
        <w:tc>
          <w:tcPr>
            <w:tcW w:w="1019" w:type="dxa"/>
            <w:noWrap w:val="0"/>
            <w:vAlign w:val="center"/>
          </w:tcPr>
          <w:p w14:paraId="70FA1DC7">
            <w:pPr>
              <w:spacing w:line="360" w:lineRule="auto"/>
              <w:jc w:val="center"/>
              <w:rPr>
                <w:rFonts w:hint="eastAsia" w:ascii="宋体" w:hAnsi="宋体" w:cs="宋体"/>
                <w:sz w:val="24"/>
              </w:rPr>
            </w:pPr>
          </w:p>
        </w:tc>
        <w:tc>
          <w:tcPr>
            <w:tcW w:w="1019" w:type="dxa"/>
            <w:noWrap w:val="0"/>
            <w:vAlign w:val="center"/>
          </w:tcPr>
          <w:p w14:paraId="10E4D59F">
            <w:pPr>
              <w:spacing w:line="360" w:lineRule="auto"/>
              <w:jc w:val="center"/>
              <w:rPr>
                <w:rFonts w:hint="eastAsia" w:ascii="宋体" w:hAnsi="宋体" w:cs="宋体"/>
                <w:sz w:val="24"/>
              </w:rPr>
            </w:pPr>
          </w:p>
        </w:tc>
        <w:tc>
          <w:tcPr>
            <w:tcW w:w="1018" w:type="dxa"/>
            <w:noWrap w:val="0"/>
            <w:vAlign w:val="center"/>
          </w:tcPr>
          <w:p w14:paraId="513E615C">
            <w:pPr>
              <w:spacing w:line="360" w:lineRule="auto"/>
              <w:jc w:val="center"/>
              <w:rPr>
                <w:rFonts w:hint="eastAsia" w:ascii="宋体" w:hAnsi="宋体" w:cs="宋体"/>
                <w:sz w:val="24"/>
              </w:rPr>
            </w:pPr>
          </w:p>
        </w:tc>
      </w:tr>
      <w:tr w14:paraId="04D665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1C29032C">
            <w:pPr>
              <w:spacing w:line="360" w:lineRule="auto"/>
              <w:rPr>
                <w:rFonts w:hint="eastAsia" w:ascii="宋体" w:hAnsi="宋体" w:cs="宋体"/>
                <w:sz w:val="24"/>
              </w:rPr>
            </w:pPr>
          </w:p>
        </w:tc>
        <w:tc>
          <w:tcPr>
            <w:tcW w:w="1019" w:type="dxa"/>
            <w:noWrap w:val="0"/>
            <w:vAlign w:val="center"/>
          </w:tcPr>
          <w:p w14:paraId="3B231A44">
            <w:pPr>
              <w:spacing w:line="360" w:lineRule="auto"/>
              <w:jc w:val="center"/>
              <w:rPr>
                <w:rFonts w:hint="eastAsia" w:ascii="宋体" w:hAnsi="宋体" w:cs="宋体"/>
                <w:sz w:val="24"/>
              </w:rPr>
            </w:pPr>
          </w:p>
        </w:tc>
        <w:tc>
          <w:tcPr>
            <w:tcW w:w="1019" w:type="dxa"/>
            <w:noWrap w:val="0"/>
            <w:vAlign w:val="center"/>
          </w:tcPr>
          <w:p w14:paraId="65E06A6A">
            <w:pPr>
              <w:spacing w:line="360" w:lineRule="auto"/>
              <w:jc w:val="center"/>
              <w:rPr>
                <w:rFonts w:hint="eastAsia" w:ascii="宋体" w:hAnsi="宋体" w:cs="宋体"/>
                <w:sz w:val="24"/>
              </w:rPr>
            </w:pPr>
          </w:p>
        </w:tc>
        <w:tc>
          <w:tcPr>
            <w:tcW w:w="1019" w:type="dxa"/>
            <w:noWrap w:val="0"/>
            <w:vAlign w:val="center"/>
          </w:tcPr>
          <w:p w14:paraId="73949807">
            <w:pPr>
              <w:spacing w:line="360" w:lineRule="auto"/>
              <w:jc w:val="center"/>
              <w:rPr>
                <w:rFonts w:hint="eastAsia" w:ascii="宋体" w:hAnsi="宋体" w:cs="宋体"/>
                <w:sz w:val="24"/>
              </w:rPr>
            </w:pPr>
          </w:p>
        </w:tc>
        <w:tc>
          <w:tcPr>
            <w:tcW w:w="1019" w:type="dxa"/>
            <w:noWrap w:val="0"/>
            <w:vAlign w:val="center"/>
          </w:tcPr>
          <w:p w14:paraId="0705AEA4">
            <w:pPr>
              <w:spacing w:line="360" w:lineRule="auto"/>
              <w:jc w:val="center"/>
              <w:rPr>
                <w:rFonts w:hint="eastAsia" w:ascii="宋体" w:hAnsi="宋体" w:cs="宋体"/>
                <w:sz w:val="24"/>
              </w:rPr>
            </w:pPr>
          </w:p>
        </w:tc>
        <w:tc>
          <w:tcPr>
            <w:tcW w:w="1019" w:type="dxa"/>
            <w:noWrap w:val="0"/>
            <w:vAlign w:val="center"/>
          </w:tcPr>
          <w:p w14:paraId="5CCAFF82">
            <w:pPr>
              <w:spacing w:line="360" w:lineRule="auto"/>
              <w:jc w:val="center"/>
              <w:rPr>
                <w:rFonts w:hint="eastAsia" w:ascii="宋体" w:hAnsi="宋体" w:cs="宋体"/>
                <w:sz w:val="24"/>
              </w:rPr>
            </w:pPr>
          </w:p>
        </w:tc>
        <w:tc>
          <w:tcPr>
            <w:tcW w:w="1019" w:type="dxa"/>
            <w:noWrap w:val="0"/>
            <w:vAlign w:val="center"/>
          </w:tcPr>
          <w:p w14:paraId="37E2F51F">
            <w:pPr>
              <w:spacing w:line="360" w:lineRule="auto"/>
              <w:jc w:val="center"/>
              <w:rPr>
                <w:rFonts w:hint="eastAsia" w:ascii="宋体" w:hAnsi="宋体" w:cs="宋体"/>
                <w:sz w:val="24"/>
              </w:rPr>
            </w:pPr>
          </w:p>
        </w:tc>
        <w:tc>
          <w:tcPr>
            <w:tcW w:w="1018" w:type="dxa"/>
            <w:noWrap w:val="0"/>
            <w:vAlign w:val="center"/>
          </w:tcPr>
          <w:p w14:paraId="1E294903">
            <w:pPr>
              <w:spacing w:line="360" w:lineRule="auto"/>
              <w:jc w:val="center"/>
              <w:rPr>
                <w:rFonts w:hint="eastAsia" w:ascii="宋体" w:hAnsi="宋体" w:cs="宋体"/>
                <w:sz w:val="24"/>
              </w:rPr>
            </w:pPr>
          </w:p>
        </w:tc>
      </w:tr>
      <w:tr w14:paraId="77B7CF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1A3E9CB9">
            <w:pPr>
              <w:spacing w:line="360" w:lineRule="auto"/>
              <w:ind w:firstLine="960" w:firstLineChars="400"/>
              <w:rPr>
                <w:rFonts w:hint="eastAsia" w:ascii="宋体" w:hAnsi="宋体" w:cs="宋体"/>
                <w:sz w:val="24"/>
              </w:rPr>
            </w:pPr>
            <w:r>
              <w:rPr>
                <w:rFonts w:hint="eastAsia" w:ascii="宋体" w:hAnsi="宋体" w:cs="宋体"/>
                <w:sz w:val="24"/>
                <w:highlight w:val="white"/>
              </w:rPr>
              <w:t>……</w:t>
            </w:r>
          </w:p>
        </w:tc>
        <w:tc>
          <w:tcPr>
            <w:tcW w:w="1019" w:type="dxa"/>
            <w:noWrap w:val="0"/>
            <w:vAlign w:val="center"/>
          </w:tcPr>
          <w:p w14:paraId="70AF7346">
            <w:pPr>
              <w:spacing w:line="360" w:lineRule="auto"/>
              <w:jc w:val="center"/>
              <w:rPr>
                <w:rFonts w:hint="eastAsia" w:ascii="宋体" w:hAnsi="宋体" w:cs="宋体"/>
                <w:sz w:val="24"/>
              </w:rPr>
            </w:pPr>
          </w:p>
        </w:tc>
        <w:tc>
          <w:tcPr>
            <w:tcW w:w="1019" w:type="dxa"/>
            <w:noWrap w:val="0"/>
            <w:vAlign w:val="center"/>
          </w:tcPr>
          <w:p w14:paraId="094CFCB4">
            <w:pPr>
              <w:spacing w:line="360" w:lineRule="auto"/>
              <w:jc w:val="center"/>
              <w:rPr>
                <w:rFonts w:hint="eastAsia" w:ascii="宋体" w:hAnsi="宋体" w:cs="宋体"/>
                <w:sz w:val="24"/>
              </w:rPr>
            </w:pPr>
          </w:p>
        </w:tc>
        <w:tc>
          <w:tcPr>
            <w:tcW w:w="1019" w:type="dxa"/>
            <w:noWrap w:val="0"/>
            <w:vAlign w:val="center"/>
          </w:tcPr>
          <w:p w14:paraId="1648E390">
            <w:pPr>
              <w:spacing w:line="360" w:lineRule="auto"/>
              <w:jc w:val="center"/>
              <w:rPr>
                <w:rFonts w:hint="eastAsia" w:ascii="宋体" w:hAnsi="宋体" w:cs="宋体"/>
                <w:sz w:val="24"/>
              </w:rPr>
            </w:pPr>
          </w:p>
        </w:tc>
        <w:tc>
          <w:tcPr>
            <w:tcW w:w="1019" w:type="dxa"/>
            <w:noWrap w:val="0"/>
            <w:vAlign w:val="center"/>
          </w:tcPr>
          <w:p w14:paraId="16F8C1DC">
            <w:pPr>
              <w:spacing w:line="360" w:lineRule="auto"/>
              <w:jc w:val="center"/>
              <w:rPr>
                <w:rFonts w:hint="eastAsia" w:ascii="宋体" w:hAnsi="宋体" w:cs="宋体"/>
                <w:sz w:val="24"/>
              </w:rPr>
            </w:pPr>
          </w:p>
        </w:tc>
        <w:tc>
          <w:tcPr>
            <w:tcW w:w="1019" w:type="dxa"/>
            <w:noWrap w:val="0"/>
            <w:vAlign w:val="center"/>
          </w:tcPr>
          <w:p w14:paraId="5688E213">
            <w:pPr>
              <w:spacing w:line="360" w:lineRule="auto"/>
              <w:jc w:val="center"/>
              <w:rPr>
                <w:rFonts w:hint="eastAsia" w:ascii="宋体" w:hAnsi="宋体" w:cs="宋体"/>
                <w:sz w:val="24"/>
              </w:rPr>
            </w:pPr>
          </w:p>
        </w:tc>
        <w:tc>
          <w:tcPr>
            <w:tcW w:w="1019" w:type="dxa"/>
            <w:noWrap w:val="0"/>
            <w:vAlign w:val="center"/>
          </w:tcPr>
          <w:p w14:paraId="6AB5AEB4">
            <w:pPr>
              <w:spacing w:line="360" w:lineRule="auto"/>
              <w:jc w:val="center"/>
              <w:rPr>
                <w:rFonts w:hint="eastAsia" w:ascii="宋体" w:hAnsi="宋体" w:cs="宋体"/>
                <w:sz w:val="24"/>
              </w:rPr>
            </w:pPr>
          </w:p>
        </w:tc>
        <w:tc>
          <w:tcPr>
            <w:tcW w:w="1018" w:type="dxa"/>
            <w:noWrap w:val="0"/>
            <w:vAlign w:val="center"/>
          </w:tcPr>
          <w:p w14:paraId="534AD773">
            <w:pPr>
              <w:spacing w:line="360" w:lineRule="auto"/>
              <w:jc w:val="center"/>
              <w:rPr>
                <w:rFonts w:hint="eastAsia" w:ascii="宋体" w:hAnsi="宋体" w:cs="宋体"/>
                <w:sz w:val="24"/>
              </w:rPr>
            </w:pPr>
          </w:p>
        </w:tc>
      </w:tr>
      <w:tr w14:paraId="01424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11E6C84A">
            <w:pPr>
              <w:spacing w:line="360" w:lineRule="auto"/>
              <w:jc w:val="center"/>
              <w:rPr>
                <w:rFonts w:hint="eastAsia" w:ascii="宋体" w:hAnsi="宋体" w:cs="宋体"/>
                <w:sz w:val="24"/>
              </w:rPr>
            </w:pPr>
            <w:r>
              <w:rPr>
                <w:rFonts w:hint="eastAsia" w:ascii="宋体" w:hAnsi="宋体" w:cs="宋体"/>
                <w:sz w:val="24"/>
                <w:highlight w:val="white"/>
              </w:rPr>
              <w:t>得分合计</w:t>
            </w:r>
          </w:p>
        </w:tc>
        <w:tc>
          <w:tcPr>
            <w:tcW w:w="1019" w:type="dxa"/>
            <w:noWrap w:val="0"/>
            <w:vAlign w:val="center"/>
          </w:tcPr>
          <w:p w14:paraId="0B47784F">
            <w:pPr>
              <w:spacing w:line="360" w:lineRule="auto"/>
              <w:jc w:val="center"/>
              <w:rPr>
                <w:rFonts w:hint="eastAsia" w:ascii="宋体" w:hAnsi="宋体" w:cs="宋体"/>
                <w:sz w:val="24"/>
              </w:rPr>
            </w:pPr>
          </w:p>
        </w:tc>
        <w:tc>
          <w:tcPr>
            <w:tcW w:w="1019" w:type="dxa"/>
            <w:noWrap w:val="0"/>
            <w:vAlign w:val="center"/>
          </w:tcPr>
          <w:p w14:paraId="0C0B712A">
            <w:pPr>
              <w:spacing w:line="360" w:lineRule="auto"/>
              <w:jc w:val="center"/>
              <w:rPr>
                <w:rFonts w:hint="eastAsia" w:ascii="宋体" w:hAnsi="宋体" w:cs="宋体"/>
                <w:sz w:val="24"/>
              </w:rPr>
            </w:pPr>
          </w:p>
        </w:tc>
        <w:tc>
          <w:tcPr>
            <w:tcW w:w="1019" w:type="dxa"/>
            <w:noWrap w:val="0"/>
            <w:vAlign w:val="center"/>
          </w:tcPr>
          <w:p w14:paraId="5AD0087C">
            <w:pPr>
              <w:spacing w:line="360" w:lineRule="auto"/>
              <w:jc w:val="center"/>
              <w:rPr>
                <w:rFonts w:hint="eastAsia" w:ascii="宋体" w:hAnsi="宋体" w:cs="宋体"/>
                <w:sz w:val="24"/>
              </w:rPr>
            </w:pPr>
          </w:p>
        </w:tc>
        <w:tc>
          <w:tcPr>
            <w:tcW w:w="1019" w:type="dxa"/>
            <w:noWrap w:val="0"/>
            <w:vAlign w:val="center"/>
          </w:tcPr>
          <w:p w14:paraId="564FA183">
            <w:pPr>
              <w:spacing w:line="360" w:lineRule="auto"/>
              <w:jc w:val="center"/>
              <w:rPr>
                <w:rFonts w:hint="eastAsia" w:ascii="宋体" w:hAnsi="宋体" w:cs="宋体"/>
                <w:sz w:val="24"/>
              </w:rPr>
            </w:pPr>
          </w:p>
        </w:tc>
        <w:tc>
          <w:tcPr>
            <w:tcW w:w="1019" w:type="dxa"/>
            <w:noWrap w:val="0"/>
            <w:vAlign w:val="center"/>
          </w:tcPr>
          <w:p w14:paraId="58DBE834">
            <w:pPr>
              <w:spacing w:line="360" w:lineRule="auto"/>
              <w:jc w:val="center"/>
              <w:rPr>
                <w:rFonts w:hint="eastAsia" w:ascii="宋体" w:hAnsi="宋体" w:cs="宋体"/>
                <w:sz w:val="24"/>
              </w:rPr>
            </w:pPr>
          </w:p>
        </w:tc>
        <w:tc>
          <w:tcPr>
            <w:tcW w:w="1019" w:type="dxa"/>
            <w:noWrap w:val="0"/>
            <w:vAlign w:val="center"/>
          </w:tcPr>
          <w:p w14:paraId="5206AC1C">
            <w:pPr>
              <w:spacing w:line="360" w:lineRule="auto"/>
              <w:jc w:val="center"/>
              <w:rPr>
                <w:rFonts w:hint="eastAsia" w:ascii="宋体" w:hAnsi="宋体" w:cs="宋体"/>
                <w:sz w:val="24"/>
              </w:rPr>
            </w:pPr>
          </w:p>
        </w:tc>
        <w:tc>
          <w:tcPr>
            <w:tcW w:w="1018" w:type="dxa"/>
            <w:noWrap w:val="0"/>
            <w:vAlign w:val="center"/>
          </w:tcPr>
          <w:p w14:paraId="41F3B323">
            <w:pPr>
              <w:spacing w:line="360" w:lineRule="auto"/>
              <w:jc w:val="center"/>
              <w:rPr>
                <w:rFonts w:hint="eastAsia" w:ascii="宋体" w:hAnsi="宋体" w:cs="宋体"/>
                <w:sz w:val="24"/>
              </w:rPr>
            </w:pPr>
          </w:p>
        </w:tc>
      </w:tr>
      <w:tr w14:paraId="4C09D6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38704D87">
            <w:pPr>
              <w:spacing w:line="360" w:lineRule="auto"/>
              <w:jc w:val="center"/>
              <w:rPr>
                <w:rFonts w:hint="eastAsia" w:ascii="宋体" w:hAnsi="宋体" w:cs="宋体"/>
                <w:sz w:val="24"/>
              </w:rPr>
            </w:pPr>
            <w:r>
              <w:rPr>
                <w:rFonts w:hint="eastAsia" w:ascii="宋体" w:hAnsi="宋体" w:cs="宋体"/>
                <w:sz w:val="24"/>
                <w:highlight w:val="white"/>
              </w:rPr>
              <w:t>得分平均值</w:t>
            </w:r>
          </w:p>
        </w:tc>
        <w:tc>
          <w:tcPr>
            <w:tcW w:w="1019" w:type="dxa"/>
            <w:noWrap w:val="0"/>
            <w:vAlign w:val="center"/>
          </w:tcPr>
          <w:p w14:paraId="14F31272">
            <w:pPr>
              <w:spacing w:line="360" w:lineRule="auto"/>
              <w:jc w:val="center"/>
              <w:rPr>
                <w:rFonts w:hint="eastAsia" w:ascii="宋体" w:hAnsi="宋体" w:cs="宋体"/>
                <w:sz w:val="24"/>
              </w:rPr>
            </w:pPr>
          </w:p>
        </w:tc>
        <w:tc>
          <w:tcPr>
            <w:tcW w:w="1019" w:type="dxa"/>
            <w:noWrap w:val="0"/>
            <w:vAlign w:val="center"/>
          </w:tcPr>
          <w:p w14:paraId="40F2DD56">
            <w:pPr>
              <w:spacing w:line="360" w:lineRule="auto"/>
              <w:jc w:val="center"/>
              <w:rPr>
                <w:rFonts w:hint="eastAsia" w:ascii="宋体" w:hAnsi="宋体" w:cs="宋体"/>
                <w:sz w:val="24"/>
              </w:rPr>
            </w:pPr>
          </w:p>
        </w:tc>
        <w:tc>
          <w:tcPr>
            <w:tcW w:w="1019" w:type="dxa"/>
            <w:noWrap w:val="0"/>
            <w:vAlign w:val="center"/>
          </w:tcPr>
          <w:p w14:paraId="14D26944">
            <w:pPr>
              <w:spacing w:line="360" w:lineRule="auto"/>
              <w:jc w:val="center"/>
              <w:rPr>
                <w:rFonts w:hint="eastAsia" w:ascii="宋体" w:hAnsi="宋体" w:cs="宋体"/>
                <w:sz w:val="24"/>
              </w:rPr>
            </w:pPr>
          </w:p>
        </w:tc>
        <w:tc>
          <w:tcPr>
            <w:tcW w:w="1019" w:type="dxa"/>
            <w:noWrap w:val="0"/>
            <w:vAlign w:val="center"/>
          </w:tcPr>
          <w:p w14:paraId="15A32BDD">
            <w:pPr>
              <w:spacing w:line="360" w:lineRule="auto"/>
              <w:jc w:val="center"/>
              <w:rPr>
                <w:rFonts w:hint="eastAsia" w:ascii="宋体" w:hAnsi="宋体" w:cs="宋体"/>
                <w:sz w:val="24"/>
              </w:rPr>
            </w:pPr>
          </w:p>
        </w:tc>
        <w:tc>
          <w:tcPr>
            <w:tcW w:w="1019" w:type="dxa"/>
            <w:noWrap w:val="0"/>
            <w:vAlign w:val="center"/>
          </w:tcPr>
          <w:p w14:paraId="6DF82C5B">
            <w:pPr>
              <w:spacing w:line="360" w:lineRule="auto"/>
              <w:jc w:val="center"/>
              <w:rPr>
                <w:rFonts w:hint="eastAsia" w:ascii="宋体" w:hAnsi="宋体" w:cs="宋体"/>
                <w:sz w:val="24"/>
              </w:rPr>
            </w:pPr>
          </w:p>
        </w:tc>
        <w:tc>
          <w:tcPr>
            <w:tcW w:w="1019" w:type="dxa"/>
            <w:noWrap w:val="0"/>
            <w:vAlign w:val="center"/>
          </w:tcPr>
          <w:p w14:paraId="7ED3908C">
            <w:pPr>
              <w:spacing w:line="360" w:lineRule="auto"/>
              <w:jc w:val="center"/>
              <w:rPr>
                <w:rFonts w:hint="eastAsia" w:ascii="宋体" w:hAnsi="宋体" w:cs="宋体"/>
                <w:sz w:val="24"/>
              </w:rPr>
            </w:pPr>
          </w:p>
        </w:tc>
        <w:tc>
          <w:tcPr>
            <w:tcW w:w="1018" w:type="dxa"/>
            <w:noWrap w:val="0"/>
            <w:vAlign w:val="center"/>
          </w:tcPr>
          <w:p w14:paraId="7DDE5C83">
            <w:pPr>
              <w:spacing w:line="360" w:lineRule="auto"/>
              <w:jc w:val="center"/>
              <w:rPr>
                <w:rFonts w:hint="eastAsia" w:ascii="宋体" w:hAnsi="宋体" w:cs="宋体"/>
                <w:sz w:val="24"/>
              </w:rPr>
            </w:pPr>
          </w:p>
        </w:tc>
      </w:tr>
      <w:tr w14:paraId="2D16F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 w:hRule="atLeast"/>
          <w:jc w:val="center"/>
        </w:trPr>
        <w:tc>
          <w:tcPr>
            <w:tcW w:w="2590" w:type="dxa"/>
            <w:noWrap w:val="0"/>
            <w:vAlign w:val="center"/>
          </w:tcPr>
          <w:p w14:paraId="00044AA9">
            <w:pPr>
              <w:spacing w:line="360" w:lineRule="auto"/>
              <w:ind w:right="-25" w:rightChars="-12"/>
              <w:jc w:val="center"/>
              <w:rPr>
                <w:rFonts w:hint="eastAsia" w:ascii="宋体" w:hAnsi="宋体" w:cs="宋体"/>
                <w:sz w:val="24"/>
              </w:rPr>
            </w:pPr>
            <w:r>
              <w:rPr>
                <w:rFonts w:hint="eastAsia" w:ascii="宋体" w:hAnsi="宋体" w:cs="宋体"/>
                <w:sz w:val="24"/>
                <w:highlight w:val="white"/>
              </w:rPr>
              <w:t>投标人排序</w:t>
            </w:r>
          </w:p>
        </w:tc>
        <w:tc>
          <w:tcPr>
            <w:tcW w:w="1019" w:type="dxa"/>
            <w:noWrap w:val="0"/>
            <w:vAlign w:val="center"/>
          </w:tcPr>
          <w:p w14:paraId="2CA92F9C">
            <w:pPr>
              <w:spacing w:line="360" w:lineRule="auto"/>
              <w:jc w:val="center"/>
              <w:rPr>
                <w:rFonts w:hint="eastAsia" w:ascii="宋体" w:hAnsi="宋体" w:cs="宋体"/>
                <w:sz w:val="24"/>
              </w:rPr>
            </w:pPr>
          </w:p>
        </w:tc>
        <w:tc>
          <w:tcPr>
            <w:tcW w:w="1019" w:type="dxa"/>
            <w:noWrap w:val="0"/>
            <w:vAlign w:val="center"/>
          </w:tcPr>
          <w:p w14:paraId="6B45CA35">
            <w:pPr>
              <w:spacing w:line="360" w:lineRule="auto"/>
              <w:jc w:val="center"/>
              <w:rPr>
                <w:rFonts w:hint="eastAsia" w:ascii="宋体" w:hAnsi="宋体" w:cs="宋体"/>
                <w:sz w:val="24"/>
              </w:rPr>
            </w:pPr>
          </w:p>
        </w:tc>
        <w:tc>
          <w:tcPr>
            <w:tcW w:w="1019" w:type="dxa"/>
            <w:noWrap w:val="0"/>
            <w:vAlign w:val="center"/>
          </w:tcPr>
          <w:p w14:paraId="7FF30A11">
            <w:pPr>
              <w:spacing w:line="360" w:lineRule="auto"/>
              <w:jc w:val="center"/>
              <w:rPr>
                <w:rFonts w:hint="eastAsia" w:ascii="宋体" w:hAnsi="宋体" w:cs="宋体"/>
                <w:sz w:val="24"/>
              </w:rPr>
            </w:pPr>
          </w:p>
        </w:tc>
        <w:tc>
          <w:tcPr>
            <w:tcW w:w="1019" w:type="dxa"/>
            <w:noWrap w:val="0"/>
            <w:vAlign w:val="center"/>
          </w:tcPr>
          <w:p w14:paraId="0FA862DD">
            <w:pPr>
              <w:spacing w:line="360" w:lineRule="auto"/>
              <w:jc w:val="center"/>
              <w:rPr>
                <w:rFonts w:hint="eastAsia" w:ascii="宋体" w:hAnsi="宋体" w:cs="宋体"/>
                <w:sz w:val="24"/>
              </w:rPr>
            </w:pPr>
          </w:p>
        </w:tc>
        <w:tc>
          <w:tcPr>
            <w:tcW w:w="1019" w:type="dxa"/>
            <w:noWrap w:val="0"/>
            <w:vAlign w:val="center"/>
          </w:tcPr>
          <w:p w14:paraId="63476AAE">
            <w:pPr>
              <w:spacing w:line="360" w:lineRule="auto"/>
              <w:jc w:val="center"/>
              <w:rPr>
                <w:rFonts w:hint="eastAsia" w:ascii="宋体" w:hAnsi="宋体" w:cs="宋体"/>
                <w:sz w:val="24"/>
              </w:rPr>
            </w:pPr>
          </w:p>
        </w:tc>
        <w:tc>
          <w:tcPr>
            <w:tcW w:w="1019" w:type="dxa"/>
            <w:noWrap w:val="0"/>
            <w:vAlign w:val="center"/>
          </w:tcPr>
          <w:p w14:paraId="5A87740D">
            <w:pPr>
              <w:spacing w:line="360" w:lineRule="auto"/>
              <w:jc w:val="center"/>
              <w:rPr>
                <w:rFonts w:hint="eastAsia" w:ascii="宋体" w:hAnsi="宋体" w:cs="宋体"/>
                <w:sz w:val="24"/>
              </w:rPr>
            </w:pPr>
          </w:p>
        </w:tc>
        <w:tc>
          <w:tcPr>
            <w:tcW w:w="1018" w:type="dxa"/>
            <w:noWrap w:val="0"/>
            <w:vAlign w:val="center"/>
          </w:tcPr>
          <w:p w14:paraId="0AAF96B3">
            <w:pPr>
              <w:spacing w:line="360" w:lineRule="auto"/>
              <w:jc w:val="center"/>
              <w:rPr>
                <w:rFonts w:hint="eastAsia" w:ascii="宋体" w:hAnsi="宋体" w:cs="宋体"/>
                <w:sz w:val="24"/>
              </w:rPr>
            </w:pPr>
          </w:p>
        </w:tc>
      </w:tr>
    </w:tbl>
    <w:p w14:paraId="71174B08">
      <w:pPr>
        <w:spacing w:line="360" w:lineRule="auto"/>
        <w:rPr>
          <w:rFonts w:hint="eastAsia" w:ascii="宋体" w:hAnsi="宋体" w:cs="宋体"/>
          <w:sz w:val="24"/>
        </w:rPr>
      </w:pPr>
      <w:r>
        <w:rPr>
          <w:rFonts w:hint="eastAsia" w:ascii="宋体" w:hAnsi="宋体" w:cs="宋体"/>
          <w:sz w:val="24"/>
          <w:highlight w:val="white"/>
        </w:rPr>
        <w:t>评标委员会全体成员签名：</w:t>
      </w:r>
    </w:p>
    <w:p w14:paraId="1E5FBC77">
      <w:pPr>
        <w:spacing w:line="400" w:lineRule="exact"/>
        <w:ind w:firstLine="420" w:firstLineChars="200"/>
      </w:pPr>
    </w:p>
    <w:p w14:paraId="7C0D189B">
      <w:pPr>
        <w:spacing w:line="400" w:lineRule="exact"/>
        <w:rPr>
          <w:rFonts w:hint="eastAsia"/>
        </w:rPr>
      </w:pPr>
      <w:r>
        <w:rPr>
          <w:highlight w:val="white"/>
        </w:rPr>
        <w:br w:type="page"/>
      </w:r>
    </w:p>
    <w:p w14:paraId="6B330F05">
      <w:pPr>
        <w:pStyle w:val="2"/>
        <w:numPr>
          <w:ilvl w:val="0"/>
          <w:numId w:val="9"/>
        </w:numPr>
        <w:jc w:val="center"/>
        <w:rPr>
          <w:rFonts w:hint="eastAsia" w:ascii="宋体" w:hAnsi="宋体" w:cs="宋体"/>
          <w:bCs w:val="0"/>
          <w:sz w:val="32"/>
          <w:szCs w:val="32"/>
        </w:rPr>
      </w:pPr>
      <w:bookmarkStart w:id="225" w:name="_Toc256000096"/>
      <w:r>
        <w:rPr>
          <w:rFonts w:hint="eastAsia" w:ascii="宋体" w:hAnsi="宋体" w:cs="宋体"/>
          <w:bCs w:val="0"/>
          <w:sz w:val="32"/>
          <w:szCs w:val="32"/>
          <w:highlight w:val="white"/>
        </w:rPr>
        <w:t>合同条款及格式</w:t>
      </w:r>
      <w:bookmarkEnd w:id="225"/>
    </w:p>
    <w:p w14:paraId="61E7A981">
      <w:pPr>
        <w:rPr>
          <w:rFonts w:hint="eastAsia"/>
          <w:highlight w:val="red"/>
        </w:rPr>
      </w:pPr>
      <w:bookmarkStart w:id="226" w:name="EB8d6e2ba705774ae2aeb3fbe30f322b8a"/>
    </w:p>
    <w:bookmarkEnd w:id="226"/>
    <w:p w14:paraId="538211BA">
      <w:pPr>
        <w:pStyle w:val="83"/>
        <w:widowControl/>
        <w:adjustRightInd w:val="0"/>
        <w:snapToGrid w:val="0"/>
        <w:spacing w:after="50" w:line="576" w:lineRule="exact"/>
        <w:jc w:val="center"/>
        <w:outlineLvl w:val="0"/>
        <w:rPr>
          <w:rFonts w:hint="eastAsia" w:ascii="宋体" w:hAnsi="宋体"/>
          <w:b/>
          <w:bCs/>
          <w:kern w:val="44"/>
          <w:sz w:val="28"/>
          <w:szCs w:val="28"/>
          <w:highlight w:val="none"/>
        </w:rPr>
      </w:pPr>
      <w:bookmarkStart w:id="227" w:name="EB8d6e2ba705774ae2aeb3fbe30f322b8a_0"/>
      <w:r>
        <w:rPr>
          <w:rFonts w:hint="eastAsia"/>
          <w:color w:val="000080"/>
          <w:sz w:val="20"/>
          <w:highlight w:val="none"/>
        </w:rPr>
        <w:t xml:space="preserve"> </w:t>
      </w:r>
      <w:bookmarkEnd w:id="227"/>
      <w:r>
        <w:rPr>
          <w:rFonts w:hint="eastAsia" w:ascii="宋体" w:hAnsi="宋体"/>
          <w:b/>
          <w:bCs/>
          <w:kern w:val="44"/>
          <w:sz w:val="28"/>
          <w:szCs w:val="28"/>
          <w:highlight w:val="none"/>
        </w:rPr>
        <w:t>第一部分 合同协议书</w:t>
      </w:r>
    </w:p>
    <w:p w14:paraId="583A20A6">
      <w:pPr>
        <w:pStyle w:val="83"/>
        <w:spacing w:line="576" w:lineRule="exact"/>
        <w:rPr>
          <w:rFonts w:ascii="宋体" w:hAnsi="宋体"/>
          <w:szCs w:val="21"/>
          <w:highlight w:val="none"/>
          <w:u w:val="single"/>
        </w:rPr>
      </w:pPr>
      <w:r>
        <w:rPr>
          <w:rFonts w:hint="eastAsia" w:ascii="宋体" w:hAnsi="宋体"/>
          <w:szCs w:val="21"/>
          <w:highlight w:val="none"/>
        </w:rPr>
        <w:t>发包人（全称）：</w:t>
      </w:r>
      <w:r>
        <w:rPr>
          <w:rFonts w:hint="eastAsia" w:ascii="宋体" w:hAnsi="宋体"/>
          <w:szCs w:val="21"/>
          <w:highlight w:val="none"/>
          <w:u w:val="single"/>
        </w:rPr>
        <w:t xml:space="preserve">                    </w:t>
      </w:r>
    </w:p>
    <w:p w14:paraId="6E682850">
      <w:pPr>
        <w:pStyle w:val="15"/>
        <w:spacing w:line="576" w:lineRule="exact"/>
        <w:rPr>
          <w:rFonts w:ascii="宋体" w:hAnsi="宋体"/>
          <w:szCs w:val="21"/>
          <w:highlight w:val="none"/>
        </w:rPr>
      </w:pPr>
      <w:r>
        <w:rPr>
          <w:rFonts w:hint="eastAsia" w:ascii="宋体" w:hAnsi="宋体"/>
          <w:szCs w:val="21"/>
          <w:highlight w:val="none"/>
        </w:rPr>
        <w:t>承包人（全称）：</w:t>
      </w:r>
      <w:r>
        <w:rPr>
          <w:rFonts w:hint="eastAsia" w:ascii="宋体" w:hAnsi="宋体"/>
          <w:szCs w:val="21"/>
          <w:highlight w:val="none"/>
          <w:u w:val="single"/>
        </w:rPr>
        <w:t xml:space="preserve">                    </w:t>
      </w:r>
    </w:p>
    <w:p w14:paraId="3DF292CD">
      <w:pPr>
        <w:pStyle w:val="83"/>
        <w:spacing w:line="576" w:lineRule="exact"/>
        <w:ind w:firstLine="420" w:firstLineChars="200"/>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szCs w:val="21"/>
          <w:highlight w:val="none"/>
          <w:u w:val="single"/>
        </w:rPr>
        <w:t xml:space="preserve">            </w:t>
      </w:r>
      <w:r>
        <w:rPr>
          <w:rFonts w:hint="eastAsia" w:ascii="宋体" w:hAnsi="宋体"/>
          <w:szCs w:val="21"/>
          <w:highlight w:val="none"/>
        </w:rPr>
        <w:t>的设计施工总承包标段有关事项协商一致，共同达成如下协议：</w:t>
      </w:r>
    </w:p>
    <w:p w14:paraId="55A8214F">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一、工程概况</w:t>
      </w:r>
    </w:p>
    <w:p w14:paraId="1D476359">
      <w:pPr>
        <w:pStyle w:val="83"/>
        <w:spacing w:line="576" w:lineRule="exact"/>
        <w:rPr>
          <w:rFonts w:hint="eastAsia" w:ascii="宋体" w:hAnsi="宋体"/>
          <w:szCs w:val="21"/>
          <w:highlight w:val="none"/>
        </w:rPr>
      </w:pPr>
      <w:r>
        <w:rPr>
          <w:rFonts w:hint="eastAsia" w:ascii="宋体" w:hAnsi="宋体"/>
          <w:szCs w:val="21"/>
          <w:highlight w:val="none"/>
        </w:rPr>
        <w:t>1. 工程名称：</w:t>
      </w:r>
      <w:r>
        <w:rPr>
          <w:rFonts w:hint="eastAsia" w:ascii="宋体" w:hAnsi="宋体"/>
          <w:szCs w:val="21"/>
          <w:highlight w:val="none"/>
          <w:u w:val="single"/>
        </w:rPr>
        <w:t xml:space="preserve">     </w:t>
      </w:r>
      <w:r>
        <w:rPr>
          <w:rFonts w:hint="eastAsia" w:ascii="宋体" w:hAnsi="宋体"/>
          <w:szCs w:val="21"/>
          <w:highlight w:val="none"/>
        </w:rPr>
        <w:t>。</w:t>
      </w:r>
    </w:p>
    <w:p w14:paraId="4F653424">
      <w:pPr>
        <w:pStyle w:val="83"/>
        <w:spacing w:line="576" w:lineRule="exact"/>
        <w:rPr>
          <w:rFonts w:hint="eastAsia" w:ascii="宋体" w:hAnsi="宋体"/>
          <w:szCs w:val="21"/>
          <w:highlight w:val="none"/>
        </w:rPr>
      </w:pPr>
      <w:r>
        <w:rPr>
          <w:rFonts w:hint="eastAsia" w:ascii="宋体" w:hAnsi="宋体"/>
          <w:szCs w:val="21"/>
          <w:highlight w:val="none"/>
        </w:rPr>
        <w:t>2. 工程地点：</w:t>
      </w:r>
      <w:r>
        <w:rPr>
          <w:rFonts w:hint="eastAsia" w:ascii="宋体" w:hAnsi="宋体"/>
          <w:szCs w:val="21"/>
          <w:highlight w:val="none"/>
          <w:u w:val="single"/>
        </w:rPr>
        <w:t xml:space="preserve">      </w:t>
      </w:r>
      <w:r>
        <w:rPr>
          <w:rFonts w:hint="eastAsia" w:ascii="宋体" w:hAnsi="宋体"/>
          <w:szCs w:val="21"/>
          <w:highlight w:val="none"/>
        </w:rPr>
        <w:t>。</w:t>
      </w:r>
    </w:p>
    <w:p w14:paraId="27C51EED">
      <w:pPr>
        <w:pStyle w:val="83"/>
        <w:spacing w:line="576" w:lineRule="exact"/>
        <w:rPr>
          <w:rFonts w:hint="eastAsia" w:ascii="宋体" w:hAnsi="宋体"/>
          <w:szCs w:val="21"/>
          <w:highlight w:val="none"/>
        </w:rPr>
      </w:pPr>
      <w:r>
        <w:rPr>
          <w:rFonts w:hint="eastAsia" w:ascii="宋体" w:hAnsi="宋体"/>
          <w:szCs w:val="21"/>
          <w:highlight w:val="none"/>
        </w:rPr>
        <w:t xml:space="preserve">3. 工程审批、核准或备案文号： </w:t>
      </w:r>
      <w:r>
        <w:rPr>
          <w:rFonts w:hint="eastAsia" w:ascii="宋体" w:hAnsi="宋体"/>
          <w:szCs w:val="21"/>
          <w:highlight w:val="none"/>
          <w:u w:val="single"/>
        </w:rPr>
        <w:t xml:space="preserve">      </w:t>
      </w:r>
      <w:r>
        <w:rPr>
          <w:rFonts w:hint="eastAsia" w:ascii="宋体" w:hAnsi="宋体"/>
          <w:szCs w:val="21"/>
          <w:highlight w:val="none"/>
        </w:rPr>
        <w:t>。</w:t>
      </w:r>
    </w:p>
    <w:p w14:paraId="14500477">
      <w:pPr>
        <w:pStyle w:val="83"/>
        <w:spacing w:line="576" w:lineRule="exact"/>
        <w:rPr>
          <w:rFonts w:hint="eastAsia" w:ascii="宋体" w:hAnsi="宋体"/>
          <w:szCs w:val="21"/>
          <w:highlight w:val="none"/>
        </w:rPr>
      </w:pPr>
      <w:r>
        <w:rPr>
          <w:rFonts w:hint="eastAsia" w:ascii="宋体" w:hAnsi="宋体"/>
          <w:szCs w:val="21"/>
          <w:highlight w:val="none"/>
        </w:rPr>
        <w:t>4. 资金来源：</w:t>
      </w:r>
      <w:r>
        <w:rPr>
          <w:rFonts w:hint="eastAsia" w:ascii="宋体" w:hAnsi="宋体"/>
          <w:szCs w:val="21"/>
          <w:highlight w:val="none"/>
          <w:u w:val="single"/>
        </w:rPr>
        <w:t xml:space="preserve">    </w:t>
      </w:r>
      <w:r>
        <w:rPr>
          <w:rFonts w:hint="eastAsia" w:ascii="宋体" w:hAnsi="宋体"/>
          <w:szCs w:val="21"/>
          <w:highlight w:val="none"/>
        </w:rPr>
        <w:t>。</w:t>
      </w:r>
    </w:p>
    <w:p w14:paraId="24E10773">
      <w:pPr>
        <w:pStyle w:val="83"/>
        <w:spacing w:line="576" w:lineRule="exact"/>
        <w:rPr>
          <w:rFonts w:hint="eastAsia" w:ascii="宋体" w:hAnsi="宋体"/>
          <w:szCs w:val="21"/>
          <w:highlight w:val="none"/>
        </w:rPr>
      </w:pPr>
      <w:r>
        <w:rPr>
          <w:rFonts w:hint="eastAsia" w:ascii="宋体" w:hAnsi="宋体"/>
          <w:szCs w:val="21"/>
          <w:highlight w:val="none"/>
        </w:rPr>
        <w:t>5. 工程内容及规模：</w:t>
      </w:r>
      <w:r>
        <w:rPr>
          <w:rFonts w:hint="eastAsia" w:ascii="宋体" w:hAnsi="宋体"/>
          <w:szCs w:val="21"/>
          <w:highlight w:val="none"/>
          <w:u w:val="single"/>
        </w:rPr>
        <w:t xml:space="preserve">      </w:t>
      </w:r>
      <w:r>
        <w:rPr>
          <w:rFonts w:hint="eastAsia" w:ascii="宋体" w:hAnsi="宋体"/>
          <w:szCs w:val="21"/>
          <w:highlight w:val="none"/>
        </w:rPr>
        <w:t>。</w:t>
      </w:r>
    </w:p>
    <w:p w14:paraId="376CFF6B">
      <w:pPr>
        <w:pStyle w:val="14"/>
        <w:spacing w:before="196" w:line="576" w:lineRule="exact"/>
        <w:rPr>
          <w:rFonts w:ascii="宋体" w:hAnsi="宋体"/>
          <w:szCs w:val="21"/>
          <w:highlight w:val="none"/>
        </w:rPr>
      </w:pPr>
      <w:r>
        <w:rPr>
          <w:rFonts w:hint="eastAsia" w:ascii="宋体" w:hAnsi="宋体"/>
          <w:szCs w:val="21"/>
          <w:highlight w:val="none"/>
        </w:rPr>
        <w:t>6.工程承包范围：</w:t>
      </w:r>
      <w:r>
        <w:rPr>
          <w:rFonts w:hint="eastAsia" w:ascii="宋体" w:hAnsi="宋体"/>
          <w:szCs w:val="21"/>
          <w:highlight w:val="none"/>
          <w:u w:val="single"/>
        </w:rPr>
        <w:t xml:space="preserve">      </w:t>
      </w:r>
      <w:r>
        <w:rPr>
          <w:rFonts w:hint="eastAsia" w:ascii="宋体" w:hAnsi="宋体"/>
          <w:szCs w:val="21"/>
          <w:highlight w:val="none"/>
        </w:rPr>
        <w:t>。</w:t>
      </w:r>
    </w:p>
    <w:p w14:paraId="387ED22E">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二、合同工期</w:t>
      </w:r>
    </w:p>
    <w:p w14:paraId="3DC2266F">
      <w:pPr>
        <w:pStyle w:val="83"/>
        <w:spacing w:line="576" w:lineRule="exact"/>
        <w:rPr>
          <w:rFonts w:hint="eastAsia" w:ascii="宋体" w:hAnsi="宋体"/>
          <w:szCs w:val="21"/>
          <w:highlight w:val="none"/>
        </w:rPr>
      </w:pPr>
      <w:r>
        <w:rPr>
          <w:rFonts w:hint="eastAsia" w:ascii="宋体" w:hAnsi="宋体"/>
          <w:szCs w:val="21"/>
          <w:highlight w:val="none"/>
        </w:rPr>
        <w:t>计划开始设计工作日期：</w:t>
      </w:r>
      <w:r>
        <w:rPr>
          <w:rFonts w:hint="eastAsia" w:ascii="宋体" w:hAnsi="宋体"/>
          <w:szCs w:val="21"/>
          <w:highlight w:val="none"/>
          <w:u w:val="single"/>
        </w:rPr>
        <w:t xml:space="preserve">        </w:t>
      </w:r>
      <w:r>
        <w:rPr>
          <w:rFonts w:hint="eastAsia" w:ascii="宋体" w:hAnsi="宋体"/>
          <w:szCs w:val="21"/>
          <w:highlight w:val="none"/>
        </w:rPr>
        <w:t xml:space="preserve"> 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16C613CC">
      <w:pPr>
        <w:pStyle w:val="83"/>
        <w:spacing w:line="576" w:lineRule="exact"/>
        <w:rPr>
          <w:rFonts w:hint="eastAsia" w:ascii="宋体" w:hAnsi="宋体"/>
          <w:szCs w:val="21"/>
          <w:highlight w:val="none"/>
        </w:rPr>
      </w:pPr>
      <w:r>
        <w:rPr>
          <w:rFonts w:hint="eastAsia" w:ascii="宋体" w:hAnsi="宋体"/>
          <w:szCs w:val="21"/>
          <w:highlight w:val="none"/>
        </w:rPr>
        <w:t>计划开始现场施工日期：以监理人发布开工令为准。</w:t>
      </w:r>
    </w:p>
    <w:p w14:paraId="497D9BE3">
      <w:pPr>
        <w:pStyle w:val="83"/>
        <w:spacing w:line="576" w:lineRule="exact"/>
        <w:rPr>
          <w:rFonts w:hint="eastAsia" w:ascii="宋体" w:hAnsi="宋体"/>
          <w:szCs w:val="21"/>
          <w:highlight w:val="none"/>
        </w:rPr>
      </w:pPr>
      <w:r>
        <w:rPr>
          <w:rFonts w:hint="eastAsia" w:ascii="宋体" w:hAnsi="宋体"/>
          <w:szCs w:val="21"/>
          <w:highlight w:val="none"/>
        </w:rPr>
        <w:t>计划竣工日期：自监理人发布开工令之日起</w:t>
      </w:r>
      <w:r>
        <w:rPr>
          <w:rFonts w:hint="eastAsia" w:ascii="宋体" w:hAnsi="宋体"/>
          <w:szCs w:val="21"/>
          <w:highlight w:val="none"/>
          <w:u w:val="single"/>
          <w:lang w:val="en-US" w:eastAsia="zh-CN"/>
        </w:rPr>
        <w:t xml:space="preserve">    </w:t>
      </w:r>
      <w:r>
        <w:rPr>
          <w:rFonts w:hint="eastAsia" w:ascii="宋体" w:hAnsi="宋体"/>
          <w:szCs w:val="21"/>
          <w:highlight w:val="none"/>
        </w:rPr>
        <w:t>个日历天内竣工。</w:t>
      </w:r>
    </w:p>
    <w:p w14:paraId="04745242">
      <w:pPr>
        <w:pStyle w:val="83"/>
        <w:spacing w:line="576" w:lineRule="exact"/>
        <w:rPr>
          <w:rFonts w:hint="eastAsia" w:ascii="宋体" w:hAnsi="宋体"/>
          <w:szCs w:val="21"/>
          <w:highlight w:val="none"/>
        </w:rPr>
      </w:pPr>
      <w:r>
        <w:rPr>
          <w:rFonts w:hint="eastAsia" w:ascii="宋体" w:hAnsi="宋体"/>
          <w:szCs w:val="21"/>
          <w:highlight w:val="none"/>
        </w:rPr>
        <w:t>工期总日历天数：</w:t>
      </w:r>
      <w:r>
        <w:rPr>
          <w:rFonts w:hint="eastAsia" w:ascii="宋体" w:hAnsi="宋体"/>
          <w:szCs w:val="21"/>
          <w:highlight w:val="none"/>
          <w:u w:val="single"/>
        </w:rPr>
        <w:t xml:space="preserve">       </w:t>
      </w:r>
      <w:r>
        <w:rPr>
          <w:rFonts w:hint="eastAsia" w:ascii="宋体" w:hAnsi="宋体"/>
          <w:szCs w:val="21"/>
          <w:highlight w:val="none"/>
        </w:rPr>
        <w:t>。工期总日历天数与根据前述计划日期计算的工期天数不一致的，以工期总日历天数为准。</w:t>
      </w:r>
    </w:p>
    <w:p w14:paraId="691E446F">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三、质量标准</w:t>
      </w:r>
    </w:p>
    <w:p w14:paraId="7C91523D">
      <w:pPr>
        <w:pStyle w:val="83"/>
        <w:spacing w:line="576" w:lineRule="exact"/>
        <w:rPr>
          <w:rFonts w:hint="eastAsia" w:ascii="宋体" w:hAnsi="宋体"/>
          <w:szCs w:val="21"/>
          <w:highlight w:val="none"/>
        </w:rPr>
      </w:pPr>
      <w:r>
        <w:rPr>
          <w:rFonts w:hint="eastAsia" w:ascii="宋体" w:hAnsi="宋体"/>
          <w:szCs w:val="21"/>
          <w:highlight w:val="none"/>
        </w:rPr>
        <w:t>设计要求的质量标准：</w:t>
      </w:r>
      <w:r>
        <w:rPr>
          <w:rFonts w:hint="eastAsia" w:ascii="宋体" w:hAnsi="宋体"/>
          <w:szCs w:val="21"/>
          <w:highlight w:val="none"/>
          <w:u w:val="single"/>
          <w:lang w:val="en-US" w:eastAsia="zh-CN"/>
        </w:rPr>
        <w:t xml:space="preserve">    </w:t>
      </w:r>
      <w:r>
        <w:rPr>
          <w:rFonts w:hint="eastAsia" w:ascii="宋体" w:hAnsi="宋体"/>
          <w:szCs w:val="21"/>
          <w:highlight w:val="none"/>
        </w:rPr>
        <w:t>。</w:t>
      </w:r>
    </w:p>
    <w:p w14:paraId="19E502A3">
      <w:pPr>
        <w:pStyle w:val="83"/>
        <w:spacing w:line="576" w:lineRule="exact"/>
        <w:rPr>
          <w:rFonts w:hint="eastAsia" w:ascii="宋体" w:hAnsi="宋体"/>
          <w:szCs w:val="21"/>
          <w:highlight w:val="none"/>
        </w:rPr>
      </w:pPr>
      <w:r>
        <w:rPr>
          <w:rFonts w:hint="eastAsia" w:ascii="宋体" w:hAnsi="宋体"/>
          <w:szCs w:val="21"/>
          <w:highlight w:val="none"/>
        </w:rPr>
        <w:t>施工要求的质量标准：</w:t>
      </w:r>
      <w:r>
        <w:rPr>
          <w:rFonts w:hint="eastAsia" w:ascii="宋体" w:hAnsi="宋体"/>
          <w:szCs w:val="21"/>
          <w:highlight w:val="none"/>
          <w:u w:val="single"/>
          <w:lang w:val="en-US" w:eastAsia="zh-CN"/>
        </w:rPr>
        <w:t xml:space="preserve">    </w:t>
      </w:r>
      <w:r>
        <w:rPr>
          <w:rFonts w:hint="eastAsia" w:ascii="宋体" w:hAnsi="宋体"/>
          <w:szCs w:val="21"/>
          <w:highlight w:val="none"/>
        </w:rPr>
        <w:t>。</w:t>
      </w:r>
    </w:p>
    <w:p w14:paraId="051F011E">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四、签约合同价与合同价格形式</w:t>
      </w:r>
    </w:p>
    <w:p w14:paraId="09C38EE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 签约合同价（含税）为：</w:t>
      </w:r>
    </w:p>
    <w:p w14:paraId="3141FAD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人民币（大写) </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元）（合同价为暂定含税价格，最终以审计中心或发包人委托的第三方审计单位审核结算为准）。</w:t>
      </w:r>
    </w:p>
    <w:p w14:paraId="1845D46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具体构成详见价格清单。其中： </w:t>
      </w:r>
    </w:p>
    <w:p w14:paraId="44078FD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 设计费（含税）：</w:t>
      </w:r>
    </w:p>
    <w:p w14:paraId="1D4EEC5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人民币（大写) </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元）；适用税率：</w:t>
      </w:r>
      <w:r>
        <w:rPr>
          <w:rStyle w:val="86"/>
          <w:rFonts w:hint="eastAsia" w:ascii="宋体" w:hAnsi="宋体"/>
          <w:highlight w:val="none"/>
          <w:u w:val="single"/>
        </w:rPr>
        <w:t xml:space="preserve">    </w:t>
      </w:r>
      <w:r>
        <w:rPr>
          <w:rStyle w:val="86"/>
          <w:rFonts w:hint="eastAsia" w:ascii="宋体" w:hAnsi="宋体"/>
          <w:highlight w:val="none"/>
        </w:rPr>
        <w:t>%，税金为人民币（大写)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 xml:space="preserve">元）； </w:t>
      </w:r>
    </w:p>
    <w:p w14:paraId="046F487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 设备购置费（含税）：</w:t>
      </w:r>
    </w:p>
    <w:p w14:paraId="2A69382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人民币（大写) </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元）；适用税率：</w:t>
      </w:r>
      <w:r>
        <w:rPr>
          <w:rStyle w:val="86"/>
          <w:rFonts w:hint="eastAsia" w:ascii="宋体" w:hAnsi="宋体"/>
          <w:highlight w:val="none"/>
          <w:u w:val="single"/>
        </w:rPr>
        <w:t xml:space="preserve">   </w:t>
      </w:r>
      <w:r>
        <w:rPr>
          <w:rStyle w:val="86"/>
          <w:rFonts w:hint="eastAsia" w:ascii="宋体" w:hAnsi="宋体"/>
          <w:highlight w:val="none"/>
        </w:rPr>
        <w:t>%，税金为人民币（大写)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 xml:space="preserve">元）； </w:t>
      </w:r>
    </w:p>
    <w:p w14:paraId="26E965A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 建筑安装工程费（含税）：</w:t>
      </w:r>
    </w:p>
    <w:p w14:paraId="095D649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元）；适用税率：</w:t>
      </w:r>
      <w:r>
        <w:rPr>
          <w:rStyle w:val="86"/>
          <w:rFonts w:hint="eastAsia" w:ascii="宋体" w:hAnsi="宋体"/>
          <w:highlight w:val="none"/>
          <w:u w:val="single"/>
        </w:rPr>
        <w:t xml:space="preserve">   </w:t>
      </w:r>
      <w:r>
        <w:rPr>
          <w:rStyle w:val="86"/>
          <w:rFonts w:hint="eastAsia" w:ascii="宋体" w:hAnsi="宋体"/>
          <w:highlight w:val="none"/>
        </w:rPr>
        <w:t>%，税金为人民币（大写)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 xml:space="preserve">元）； </w:t>
      </w:r>
    </w:p>
    <w:p w14:paraId="7ECB5AB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 暂估价（含税）：</w:t>
      </w:r>
    </w:p>
    <w:p w14:paraId="4043D61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w:t>
      </w:r>
    </w:p>
    <w:p w14:paraId="4B31845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 暂列金额（含税）：</w:t>
      </w:r>
    </w:p>
    <w:p w14:paraId="10D4F61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w:t>
      </w:r>
    </w:p>
    <w:p w14:paraId="4F0E9D3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 双方约定的其他费用（含税）：</w:t>
      </w:r>
    </w:p>
    <w:p w14:paraId="18B63182">
      <w:pPr>
        <w:pStyle w:val="84"/>
        <w:spacing w:line="360" w:lineRule="auto"/>
        <w:ind w:firstLine="420" w:firstLineChars="200"/>
        <w:jc w:val="left"/>
        <w:rPr>
          <w:rStyle w:val="86"/>
          <w:rFonts w:hint="eastAsia" w:ascii="宋体" w:hAnsi="宋体"/>
          <w:highlight w:val="none"/>
        </w:rPr>
      </w:pPr>
      <w:r>
        <w:rPr>
          <w:rStyle w:val="86"/>
          <w:rFonts w:hint="eastAsia" w:ascii="宋体" w:hAnsi="宋体"/>
          <w:highlight w:val="none"/>
        </w:rPr>
        <w:t>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元）；适用税率：</w:t>
      </w:r>
      <w:r>
        <w:rPr>
          <w:rStyle w:val="86"/>
          <w:rFonts w:hint="eastAsia" w:ascii="宋体" w:hAnsi="宋体"/>
          <w:highlight w:val="none"/>
          <w:u w:val="single"/>
        </w:rPr>
        <w:t xml:space="preserve">         </w:t>
      </w:r>
      <w:r>
        <w:rPr>
          <w:rStyle w:val="86"/>
          <w:rFonts w:hint="eastAsia" w:ascii="宋体" w:hAnsi="宋体"/>
          <w:highlight w:val="none"/>
        </w:rPr>
        <w:t>%，税金为人民币（大写)</w:t>
      </w:r>
      <w:r>
        <w:rPr>
          <w:rStyle w:val="86"/>
          <w:rFonts w:hint="eastAsia" w:ascii="宋体" w:hAnsi="宋体"/>
          <w:highlight w:val="none"/>
          <w:u w:val="single"/>
        </w:rPr>
        <w:t xml:space="preserve">                 </w:t>
      </w:r>
      <w:r>
        <w:rPr>
          <w:rStyle w:val="86"/>
          <w:rFonts w:hint="eastAsia" w:ascii="宋体" w:hAnsi="宋体"/>
          <w:highlight w:val="none"/>
        </w:rPr>
        <w:t>（¥</w:t>
      </w:r>
      <w:r>
        <w:rPr>
          <w:rStyle w:val="86"/>
          <w:rFonts w:hint="eastAsia" w:ascii="宋体" w:hAnsi="宋体"/>
          <w:highlight w:val="none"/>
          <w:u w:val="single"/>
        </w:rPr>
        <w:t xml:space="preserve">            </w:t>
      </w:r>
      <w:r>
        <w:rPr>
          <w:rStyle w:val="86"/>
          <w:rFonts w:hint="eastAsia" w:ascii="宋体" w:hAnsi="宋体"/>
          <w:highlight w:val="none"/>
        </w:rPr>
        <w:t>元）。</w:t>
      </w:r>
    </w:p>
    <w:p w14:paraId="1AB004F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 合同价格形式：</w:t>
      </w:r>
    </w:p>
    <w:p w14:paraId="27A6CFF1">
      <w:pPr>
        <w:pStyle w:val="84"/>
        <w:spacing w:line="360" w:lineRule="auto"/>
        <w:ind w:firstLine="420" w:firstLineChars="200"/>
        <w:rPr>
          <w:rStyle w:val="86"/>
          <w:rFonts w:hint="eastAsia" w:ascii="宋体" w:hAnsi="宋体"/>
          <w:highlight w:val="yellow"/>
        </w:rPr>
      </w:pPr>
      <w:r>
        <w:rPr>
          <w:rStyle w:val="86"/>
          <w:rFonts w:hint="eastAsia" w:ascii="宋体" w:hAnsi="宋体"/>
          <w:highlight w:val="yellow"/>
        </w:rPr>
        <w:t>合同价格形式为</w:t>
      </w:r>
      <w:r>
        <w:rPr>
          <w:rStyle w:val="86"/>
          <w:rFonts w:hint="eastAsia" w:ascii="宋体" w:hAnsi="宋体"/>
          <w:highlight w:val="yellow"/>
          <w:u w:val="single"/>
        </w:rPr>
        <w:t xml:space="preserve"> </w:t>
      </w:r>
      <w:r>
        <w:rPr>
          <w:rStyle w:val="86"/>
          <w:rFonts w:hint="eastAsia" w:ascii="宋体" w:hAnsi="宋体"/>
          <w:highlight w:val="yellow"/>
          <w:u w:val="single"/>
          <w:lang w:val="en-US" w:eastAsia="zh-CN"/>
        </w:rPr>
        <w:t xml:space="preserve">         </w:t>
      </w:r>
      <w:r>
        <w:rPr>
          <w:rStyle w:val="86"/>
          <w:rFonts w:hint="eastAsia" w:ascii="宋体" w:hAnsi="宋体"/>
          <w:highlight w:val="yellow"/>
        </w:rPr>
        <w:t>，合同总价最终以审计审定金额为准。</w:t>
      </w:r>
    </w:p>
    <w:p w14:paraId="56925185">
      <w:pPr>
        <w:pStyle w:val="84"/>
        <w:spacing w:line="360" w:lineRule="auto"/>
        <w:ind w:firstLine="420" w:firstLineChars="200"/>
        <w:rPr>
          <w:rStyle w:val="86"/>
          <w:rFonts w:hint="eastAsia" w:ascii="宋体" w:hAnsi="宋体"/>
          <w:highlight w:val="yellow"/>
        </w:rPr>
      </w:pPr>
      <w:r>
        <w:rPr>
          <w:rStyle w:val="86"/>
          <w:rFonts w:hint="eastAsia" w:ascii="宋体" w:hAnsi="宋体"/>
          <w:highlight w:val="yellow"/>
        </w:rPr>
        <w:t>合同当事人对合同价格形式的其他约定：</w:t>
      </w:r>
      <w:r>
        <w:rPr>
          <w:rStyle w:val="86"/>
          <w:rFonts w:hint="eastAsia" w:ascii="宋体" w:hAnsi="宋体"/>
          <w:highlight w:val="yellow"/>
          <w:u w:val="single"/>
        </w:rPr>
        <w:t xml:space="preserve"> </w:t>
      </w:r>
      <w:r>
        <w:rPr>
          <w:rStyle w:val="86"/>
          <w:rFonts w:hint="eastAsia" w:ascii="宋体" w:hAnsi="宋体"/>
          <w:highlight w:val="yellow"/>
          <w:u w:val="single"/>
          <w:lang w:val="en-US" w:eastAsia="zh-CN"/>
        </w:rPr>
        <w:t xml:space="preserve">    </w:t>
      </w:r>
      <w:r>
        <w:rPr>
          <w:rStyle w:val="86"/>
          <w:rFonts w:hint="eastAsia" w:ascii="宋体" w:hAnsi="宋体"/>
          <w:highlight w:val="yellow"/>
        </w:rPr>
        <w:t>。。</w:t>
      </w:r>
    </w:p>
    <w:p w14:paraId="1A895917">
      <w:pPr>
        <w:pStyle w:val="84"/>
        <w:kinsoku w:val="0"/>
        <w:spacing w:line="360" w:lineRule="auto"/>
        <w:ind w:firstLine="420" w:firstLineChars="200"/>
        <w:jc w:val="left"/>
        <w:rPr>
          <w:rStyle w:val="86"/>
          <w:rFonts w:hint="eastAsia" w:ascii="宋体" w:hAnsi="宋体"/>
          <w:highlight w:val="none"/>
        </w:rPr>
      </w:pPr>
      <w:r>
        <w:rPr>
          <w:rStyle w:val="86"/>
          <w:rFonts w:hint="eastAsia" w:ascii="宋体" w:hAnsi="宋体"/>
          <w:highlight w:val="none"/>
        </w:rPr>
        <w:t>合同当事人对合同价格形式的其他约定：</w:t>
      </w:r>
      <w:r>
        <w:rPr>
          <w:rStyle w:val="86"/>
          <w:rFonts w:hint="eastAsia" w:ascii="宋体" w:hAnsi="宋体"/>
          <w:highlight w:val="none"/>
          <w:u w:val="single"/>
        </w:rPr>
        <w:t xml:space="preserve">  </w:t>
      </w:r>
      <w:r>
        <w:rPr>
          <w:rStyle w:val="86"/>
          <w:rFonts w:hint="eastAsia" w:ascii="宋体" w:hAnsi="宋体"/>
          <w:highlight w:val="none"/>
          <w:u w:val="single"/>
          <w:lang w:val="en-US" w:eastAsia="zh-CN"/>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718A67E1">
      <w:pPr>
        <w:pStyle w:val="84"/>
        <w:kinsoku w:val="0"/>
        <w:spacing w:line="360" w:lineRule="auto"/>
        <w:jc w:val="left"/>
        <w:rPr>
          <w:rFonts w:hint="eastAsia" w:ascii="宋体" w:hAnsi="宋体"/>
          <w:b/>
          <w:highlight w:val="none"/>
        </w:rPr>
      </w:pPr>
      <w:r>
        <w:rPr>
          <w:rFonts w:hint="eastAsia" w:ascii="宋体" w:hAnsi="宋体"/>
          <w:b/>
          <w:highlight w:val="none"/>
        </w:rPr>
        <w:t>五、工程总承包项目经理</w:t>
      </w:r>
    </w:p>
    <w:p w14:paraId="1A21CEEF">
      <w:pPr>
        <w:pStyle w:val="83"/>
        <w:spacing w:line="576" w:lineRule="exact"/>
        <w:jc w:val="left"/>
        <w:rPr>
          <w:rFonts w:hint="eastAsia" w:ascii="宋体" w:hAnsi="宋体" w:cs="宋体"/>
          <w:kern w:val="0"/>
          <w:szCs w:val="21"/>
          <w:highlight w:val="none"/>
        </w:rPr>
      </w:pPr>
      <w:r>
        <w:rPr>
          <w:rFonts w:hint="eastAsia" w:ascii="宋体" w:hAnsi="宋体" w:cs="宋体"/>
          <w:szCs w:val="21"/>
          <w:highlight w:val="none"/>
        </w:rPr>
        <w:t>工程总承包项目经理：</w:t>
      </w:r>
      <w:r>
        <w:rPr>
          <w:rFonts w:hint="eastAsia" w:ascii="宋体" w:hAnsi="宋体" w:cs="宋体"/>
          <w:szCs w:val="21"/>
          <w:highlight w:val="none"/>
          <w:u w:val="single"/>
          <w:shd w:val="clear" w:color="auto" w:fill="FFFFFF"/>
        </w:rPr>
        <w:t xml:space="preserve">           </w:t>
      </w:r>
      <w:r>
        <w:rPr>
          <w:rFonts w:hint="eastAsia" w:ascii="宋体" w:hAnsi="宋体" w:cs="宋体"/>
          <w:szCs w:val="21"/>
          <w:highlight w:val="none"/>
          <w:shd w:val="clear" w:color="auto" w:fill="FFFFFF"/>
        </w:rPr>
        <w:t>，</w:t>
      </w:r>
      <w:r>
        <w:rPr>
          <w:rFonts w:hint="eastAsia" w:ascii="宋体" w:hAnsi="宋体" w:cs="宋体"/>
          <w:kern w:val="0"/>
          <w:szCs w:val="21"/>
          <w:highlight w:val="none"/>
        </w:rPr>
        <w:t>项目施工负责人：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502202C5">
      <w:pPr>
        <w:pStyle w:val="83"/>
        <w:spacing w:line="576" w:lineRule="exact"/>
        <w:jc w:val="left"/>
        <w:rPr>
          <w:rFonts w:hint="eastAsia" w:ascii="宋体" w:hAnsi="宋体" w:cs="宋体"/>
          <w:szCs w:val="21"/>
          <w:highlight w:val="none"/>
        </w:rPr>
      </w:pPr>
      <w:r>
        <w:rPr>
          <w:rFonts w:hint="eastAsia" w:ascii="宋体" w:hAnsi="宋体" w:cs="宋体"/>
          <w:kern w:val="0"/>
          <w:szCs w:val="21"/>
          <w:highlight w:val="none"/>
        </w:rPr>
        <w:t>技术负责人：</w:t>
      </w:r>
      <w:r>
        <w:rPr>
          <w:rFonts w:hint="eastAsia" w:ascii="宋体" w:hAnsi="宋体" w:cs="宋体"/>
          <w:szCs w:val="21"/>
          <w:highlight w:val="none"/>
          <w:u w:val="single"/>
          <w:shd w:val="clear" w:color="auto" w:fill="FFFFFF"/>
        </w:rPr>
        <w:t xml:space="preserve">                </w:t>
      </w:r>
      <w:r>
        <w:rPr>
          <w:rFonts w:hint="eastAsia" w:ascii="宋体" w:hAnsi="宋体" w:cs="宋体"/>
          <w:kern w:val="0"/>
          <w:szCs w:val="21"/>
          <w:highlight w:val="none"/>
        </w:rPr>
        <w:t>，设计负责人：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63452A1D">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六、合同文件构成</w:t>
      </w:r>
    </w:p>
    <w:p w14:paraId="057E1C0A">
      <w:pPr>
        <w:pStyle w:val="83"/>
        <w:spacing w:line="576" w:lineRule="exact"/>
        <w:rPr>
          <w:rFonts w:hint="eastAsia" w:ascii="宋体" w:hAnsi="宋体"/>
          <w:szCs w:val="21"/>
          <w:highlight w:val="none"/>
        </w:rPr>
      </w:pPr>
      <w:r>
        <w:rPr>
          <w:rFonts w:hint="eastAsia" w:ascii="宋体" w:hAnsi="宋体"/>
          <w:szCs w:val="21"/>
          <w:highlight w:val="none"/>
        </w:rPr>
        <w:t xml:space="preserve">本协议书与下列文件一起构成合同文件： </w:t>
      </w:r>
    </w:p>
    <w:p w14:paraId="3F2522A8">
      <w:pPr>
        <w:pStyle w:val="83"/>
        <w:spacing w:line="576" w:lineRule="exact"/>
        <w:rPr>
          <w:rFonts w:hint="eastAsia" w:ascii="宋体" w:hAnsi="宋体"/>
          <w:szCs w:val="21"/>
          <w:highlight w:val="none"/>
        </w:rPr>
      </w:pPr>
      <w:r>
        <w:rPr>
          <w:rFonts w:hint="eastAsia" w:ascii="宋体" w:hAnsi="宋体"/>
          <w:szCs w:val="21"/>
          <w:highlight w:val="none"/>
        </w:rPr>
        <w:t>（1） 中标通知书（如果有）；</w:t>
      </w:r>
    </w:p>
    <w:p w14:paraId="4CF0BC15">
      <w:pPr>
        <w:pStyle w:val="83"/>
        <w:spacing w:line="576" w:lineRule="exact"/>
        <w:rPr>
          <w:rFonts w:hint="eastAsia" w:ascii="宋体" w:hAnsi="宋体"/>
          <w:szCs w:val="21"/>
          <w:highlight w:val="none"/>
        </w:rPr>
      </w:pPr>
      <w:r>
        <w:rPr>
          <w:rFonts w:hint="eastAsia" w:ascii="宋体" w:hAnsi="宋体"/>
          <w:szCs w:val="21"/>
          <w:highlight w:val="none"/>
        </w:rPr>
        <w:t>（2） 投标函及投标函附录（如果有）；</w:t>
      </w:r>
    </w:p>
    <w:p w14:paraId="05C404C5">
      <w:pPr>
        <w:pStyle w:val="83"/>
        <w:spacing w:line="576" w:lineRule="exact"/>
        <w:rPr>
          <w:rFonts w:hint="eastAsia" w:ascii="宋体" w:hAnsi="宋体"/>
          <w:szCs w:val="21"/>
          <w:highlight w:val="none"/>
        </w:rPr>
      </w:pPr>
      <w:r>
        <w:rPr>
          <w:rFonts w:hint="eastAsia" w:ascii="宋体" w:hAnsi="宋体"/>
          <w:szCs w:val="21"/>
          <w:highlight w:val="none"/>
        </w:rPr>
        <w:t>（3） 专用合同条件及《发包人要求》等附件；</w:t>
      </w:r>
    </w:p>
    <w:p w14:paraId="7BDC609F">
      <w:pPr>
        <w:pStyle w:val="83"/>
        <w:spacing w:line="576" w:lineRule="exact"/>
        <w:rPr>
          <w:rFonts w:hint="eastAsia" w:ascii="宋体" w:hAnsi="宋体"/>
          <w:szCs w:val="21"/>
          <w:highlight w:val="none"/>
        </w:rPr>
      </w:pPr>
      <w:r>
        <w:rPr>
          <w:rFonts w:hint="eastAsia" w:ascii="宋体" w:hAnsi="宋体"/>
          <w:szCs w:val="21"/>
          <w:highlight w:val="none"/>
        </w:rPr>
        <w:t>（4） 通用合同条件；</w:t>
      </w:r>
    </w:p>
    <w:p w14:paraId="464490AE">
      <w:pPr>
        <w:pStyle w:val="83"/>
        <w:spacing w:line="576" w:lineRule="exact"/>
        <w:rPr>
          <w:rFonts w:hint="eastAsia" w:ascii="宋体" w:hAnsi="宋体"/>
          <w:szCs w:val="21"/>
          <w:highlight w:val="none"/>
        </w:rPr>
      </w:pPr>
      <w:r>
        <w:rPr>
          <w:rFonts w:hint="eastAsia" w:ascii="宋体" w:hAnsi="宋体"/>
          <w:szCs w:val="21"/>
          <w:highlight w:val="none"/>
        </w:rPr>
        <w:t xml:space="preserve">（5） 承包人建议书； </w:t>
      </w:r>
    </w:p>
    <w:p w14:paraId="65A7CD36">
      <w:pPr>
        <w:pStyle w:val="83"/>
        <w:spacing w:line="576" w:lineRule="exact"/>
        <w:rPr>
          <w:rFonts w:hint="eastAsia" w:ascii="宋体" w:hAnsi="宋体"/>
          <w:szCs w:val="21"/>
          <w:highlight w:val="none"/>
        </w:rPr>
      </w:pPr>
      <w:r>
        <w:rPr>
          <w:rFonts w:hint="eastAsia" w:ascii="宋体" w:hAnsi="宋体"/>
          <w:szCs w:val="21"/>
          <w:highlight w:val="none"/>
        </w:rPr>
        <w:t>（6） 价格清单；</w:t>
      </w:r>
    </w:p>
    <w:p w14:paraId="107D959F">
      <w:pPr>
        <w:pStyle w:val="83"/>
        <w:spacing w:line="576" w:lineRule="exact"/>
        <w:rPr>
          <w:rFonts w:hint="eastAsia" w:ascii="宋体" w:hAnsi="宋体"/>
          <w:szCs w:val="21"/>
          <w:highlight w:val="none"/>
        </w:rPr>
      </w:pPr>
      <w:r>
        <w:rPr>
          <w:rFonts w:hint="eastAsia" w:ascii="宋体" w:hAnsi="宋体"/>
          <w:szCs w:val="21"/>
          <w:highlight w:val="none"/>
        </w:rPr>
        <w:t>（7） 双方约定的其他合同文件。</w:t>
      </w:r>
    </w:p>
    <w:p w14:paraId="6484E5B7">
      <w:pPr>
        <w:pStyle w:val="83"/>
        <w:spacing w:line="576" w:lineRule="exact"/>
        <w:rPr>
          <w:rFonts w:hint="eastAsia" w:ascii="宋体" w:hAnsi="宋体"/>
          <w:szCs w:val="21"/>
          <w:highlight w:val="none"/>
        </w:rPr>
      </w:pPr>
      <w:r>
        <w:rPr>
          <w:rFonts w:hint="eastAsia" w:ascii="宋体" w:hAnsi="宋体"/>
          <w:szCs w:val="21"/>
          <w:highlight w:val="none"/>
        </w:rPr>
        <w:t>上述各项合同文件包括双方就该项合同文件所作出的补充和修改，属于同一类内容的合同文件应以最新签署的为准。专用合同条件及其附件须经合同当事人签字或盖章。</w:t>
      </w:r>
    </w:p>
    <w:p w14:paraId="200819AA">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七、承诺</w:t>
      </w:r>
    </w:p>
    <w:p w14:paraId="35187D41">
      <w:pPr>
        <w:pStyle w:val="83"/>
        <w:spacing w:line="576" w:lineRule="exact"/>
        <w:rPr>
          <w:rFonts w:hint="eastAsia" w:ascii="宋体" w:hAnsi="宋体"/>
          <w:szCs w:val="21"/>
          <w:highlight w:val="none"/>
        </w:rPr>
      </w:pPr>
      <w:r>
        <w:rPr>
          <w:rFonts w:hint="eastAsia" w:ascii="宋体" w:hAnsi="宋体"/>
          <w:szCs w:val="21"/>
          <w:highlight w:val="none"/>
        </w:rPr>
        <w:t>1.发包人承诺按照法律规定履行项目审批手续、筹集工程建设资金并按照合同约定的期限和方式支付合同价款。</w:t>
      </w:r>
    </w:p>
    <w:p w14:paraId="17E07C12">
      <w:pPr>
        <w:pStyle w:val="83"/>
        <w:spacing w:line="576" w:lineRule="exact"/>
        <w:rPr>
          <w:rFonts w:hint="eastAsia" w:ascii="宋体" w:hAnsi="宋体"/>
          <w:szCs w:val="21"/>
          <w:highlight w:val="none"/>
        </w:rPr>
      </w:pPr>
      <w:r>
        <w:rPr>
          <w:rFonts w:hint="eastAsia" w:ascii="宋体" w:hAnsi="宋体"/>
          <w:szCs w:val="21"/>
          <w:highlight w:val="none"/>
        </w:rPr>
        <w:t>2.承包人承诺按照法律规定及合同约定组织完成工程的设计、采购和施工等工作，确保工程质量和安全，不进行转包及违法分包，并在缺陷责任期及保修期内承担相应的工程维修责任。</w:t>
      </w:r>
    </w:p>
    <w:p w14:paraId="1EC00245">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八、订立时间</w:t>
      </w:r>
    </w:p>
    <w:p w14:paraId="3F695553">
      <w:pPr>
        <w:pStyle w:val="83"/>
        <w:spacing w:line="576" w:lineRule="exact"/>
        <w:rPr>
          <w:rFonts w:hint="eastAsia" w:ascii="宋体" w:hAnsi="宋体"/>
          <w:szCs w:val="21"/>
          <w:highlight w:val="none"/>
        </w:rPr>
      </w:pPr>
      <w:r>
        <w:rPr>
          <w:rFonts w:hint="eastAsia" w:ascii="宋体" w:hAnsi="宋体"/>
          <w:szCs w:val="21"/>
          <w:highlight w:val="none"/>
        </w:rPr>
        <w:t>本合同于</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日订立。</w:t>
      </w:r>
    </w:p>
    <w:p w14:paraId="07ED5923">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九、订立地点</w:t>
      </w:r>
    </w:p>
    <w:p w14:paraId="7989FCDC">
      <w:pPr>
        <w:pStyle w:val="83"/>
        <w:spacing w:line="576" w:lineRule="exact"/>
        <w:rPr>
          <w:rFonts w:hint="eastAsia" w:ascii="宋体" w:hAnsi="宋体"/>
          <w:szCs w:val="21"/>
          <w:highlight w:val="none"/>
        </w:rPr>
      </w:pPr>
      <w:r>
        <w:rPr>
          <w:rFonts w:hint="eastAsia" w:ascii="宋体" w:hAnsi="宋体"/>
          <w:szCs w:val="21"/>
          <w:highlight w:val="none"/>
        </w:rPr>
        <w:t>本合同在</w:t>
      </w:r>
      <w:r>
        <w:rPr>
          <w:rFonts w:hint="eastAsia" w:ascii="宋体" w:hAnsi="宋体"/>
          <w:szCs w:val="21"/>
          <w:highlight w:val="none"/>
          <w:u w:val="single"/>
        </w:rPr>
        <w:t xml:space="preserve">                        </w:t>
      </w:r>
      <w:r>
        <w:rPr>
          <w:rFonts w:hint="eastAsia" w:ascii="宋体" w:hAnsi="宋体"/>
          <w:szCs w:val="21"/>
          <w:highlight w:val="none"/>
        </w:rPr>
        <w:t>订立。</w:t>
      </w:r>
    </w:p>
    <w:p w14:paraId="111A7007">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十、合同生效</w:t>
      </w:r>
    </w:p>
    <w:p w14:paraId="7C118043">
      <w:pPr>
        <w:pStyle w:val="83"/>
        <w:spacing w:line="576" w:lineRule="exact"/>
        <w:rPr>
          <w:rFonts w:hint="eastAsia" w:ascii="宋体" w:hAnsi="宋体"/>
          <w:szCs w:val="21"/>
          <w:highlight w:val="none"/>
        </w:rPr>
      </w:pPr>
      <w:r>
        <w:rPr>
          <w:rFonts w:hint="eastAsia" w:ascii="宋体" w:hAnsi="宋体"/>
          <w:szCs w:val="21"/>
          <w:highlight w:val="none"/>
        </w:rPr>
        <w:t>本合同经双方签字或盖章后成立，并自</w:t>
      </w:r>
      <w:r>
        <w:rPr>
          <w:rFonts w:hint="eastAsia" w:ascii="宋体" w:hAnsi="宋体"/>
          <w:szCs w:val="21"/>
          <w:highlight w:val="none"/>
          <w:u w:val="single"/>
        </w:rPr>
        <w:t>双方盖章签字之日</w:t>
      </w:r>
      <w:r>
        <w:rPr>
          <w:rFonts w:hint="eastAsia" w:ascii="宋体" w:hAnsi="宋体"/>
          <w:szCs w:val="21"/>
          <w:highlight w:val="none"/>
        </w:rPr>
        <w:t>生效。</w:t>
      </w:r>
    </w:p>
    <w:p w14:paraId="20B4BC4B">
      <w:pPr>
        <w:pStyle w:val="83"/>
        <w:spacing w:before="260" w:after="260" w:line="576" w:lineRule="exact"/>
        <w:jc w:val="left"/>
        <w:outlineLvl w:val="1"/>
        <w:rPr>
          <w:rFonts w:hint="eastAsia" w:ascii="宋体" w:hAnsi="宋体"/>
          <w:b/>
          <w:szCs w:val="21"/>
          <w:highlight w:val="none"/>
        </w:rPr>
      </w:pPr>
      <w:r>
        <w:rPr>
          <w:rFonts w:hint="eastAsia" w:ascii="宋体" w:hAnsi="宋体"/>
          <w:b/>
          <w:szCs w:val="21"/>
          <w:highlight w:val="none"/>
        </w:rPr>
        <w:t>十一、合同份数</w:t>
      </w:r>
    </w:p>
    <w:p w14:paraId="3E5F4863">
      <w:pPr>
        <w:pStyle w:val="83"/>
        <w:spacing w:line="576" w:lineRule="exact"/>
        <w:rPr>
          <w:rFonts w:hint="eastAsia"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份，均具有同等法律效力，发包人执</w:t>
      </w:r>
      <w:r>
        <w:rPr>
          <w:rFonts w:hint="eastAsia" w:ascii="宋体" w:hAnsi="宋体"/>
          <w:szCs w:val="21"/>
          <w:highlight w:val="none"/>
          <w:u w:val="single"/>
        </w:rPr>
        <w:t xml:space="preserve">  </w:t>
      </w:r>
      <w:r>
        <w:rPr>
          <w:rFonts w:hint="eastAsia" w:ascii="宋体" w:hAnsi="宋体"/>
          <w:szCs w:val="21"/>
          <w:highlight w:val="none"/>
        </w:rPr>
        <w:t>份，承包人执</w:t>
      </w:r>
      <w:r>
        <w:rPr>
          <w:rFonts w:hint="eastAsia" w:ascii="宋体" w:hAnsi="宋体"/>
          <w:szCs w:val="21"/>
          <w:highlight w:val="none"/>
          <w:u w:val="single"/>
        </w:rPr>
        <w:t xml:space="preserve">   </w:t>
      </w:r>
      <w:r>
        <w:rPr>
          <w:rFonts w:hint="eastAsia" w:ascii="宋体" w:hAnsi="宋体"/>
          <w:szCs w:val="21"/>
          <w:highlight w:val="none"/>
        </w:rPr>
        <w:t>份。</w:t>
      </w:r>
    </w:p>
    <w:p w14:paraId="17DBB396">
      <w:pPr>
        <w:pStyle w:val="15"/>
        <w:spacing w:after="120"/>
        <w:rPr>
          <w:rFonts w:hint="eastAsia" w:ascii="宋体" w:hAnsi="宋体" w:cs="宋体"/>
          <w:kern w:val="0"/>
          <w:szCs w:val="21"/>
          <w:highlight w:val="none"/>
        </w:rPr>
      </w:pPr>
    </w:p>
    <w:p w14:paraId="6972F9C1">
      <w:pPr>
        <w:pStyle w:val="14"/>
        <w:rPr>
          <w:rFonts w:hint="eastAsia" w:ascii="宋体" w:hAnsi="宋体" w:cs="宋体"/>
          <w:kern w:val="0"/>
          <w:szCs w:val="21"/>
          <w:highlight w:val="none"/>
        </w:rPr>
      </w:pPr>
    </w:p>
    <w:p w14:paraId="33F40B01">
      <w:pPr>
        <w:pStyle w:val="15"/>
        <w:spacing w:after="120"/>
        <w:rPr>
          <w:rFonts w:hint="eastAsia" w:ascii="宋体" w:hAnsi="宋体" w:cs="宋体"/>
          <w:kern w:val="0"/>
          <w:szCs w:val="21"/>
          <w:highlight w:val="none"/>
        </w:rPr>
      </w:pPr>
    </w:p>
    <w:p w14:paraId="23F6D6E3">
      <w:pPr>
        <w:pStyle w:val="15"/>
        <w:spacing w:after="120"/>
        <w:rPr>
          <w:rFonts w:hint="eastAsia" w:ascii="宋体" w:hAnsi="宋体" w:cs="宋体"/>
          <w:kern w:val="0"/>
          <w:szCs w:val="21"/>
          <w:highlight w:val="none"/>
        </w:rPr>
      </w:pPr>
    </w:p>
    <w:p w14:paraId="1D219472">
      <w:pPr>
        <w:pStyle w:val="15"/>
        <w:spacing w:after="120"/>
        <w:rPr>
          <w:rFonts w:hint="eastAsia" w:ascii="宋体" w:hAnsi="宋体" w:cs="宋体"/>
          <w:kern w:val="0"/>
          <w:szCs w:val="21"/>
          <w:highlight w:val="none"/>
        </w:rPr>
      </w:pPr>
    </w:p>
    <w:p w14:paraId="6AC1A98C">
      <w:pPr>
        <w:pStyle w:val="15"/>
        <w:spacing w:after="120"/>
        <w:rPr>
          <w:rFonts w:hint="eastAsia" w:ascii="宋体" w:hAnsi="宋体" w:cs="宋体"/>
          <w:kern w:val="0"/>
          <w:szCs w:val="21"/>
          <w:highlight w:val="none"/>
        </w:rPr>
      </w:pPr>
    </w:p>
    <w:p w14:paraId="7F25B877">
      <w:pPr>
        <w:pStyle w:val="15"/>
        <w:spacing w:after="120"/>
        <w:rPr>
          <w:rFonts w:hint="eastAsia" w:ascii="宋体" w:hAnsi="宋体" w:cs="宋体"/>
          <w:szCs w:val="21"/>
          <w:highlight w:val="none"/>
        </w:rPr>
      </w:pPr>
      <w:r>
        <w:rPr>
          <w:rFonts w:hint="eastAsia" w:ascii="宋体" w:hAnsi="宋体" w:cs="宋体"/>
          <w:kern w:val="0"/>
          <w:szCs w:val="21"/>
          <w:highlight w:val="none"/>
        </w:rPr>
        <w:t>（签署页，此页无正文）</w:t>
      </w:r>
    </w:p>
    <w:tbl>
      <w:tblPr>
        <w:tblStyle w:val="33"/>
        <w:tblW w:w="9072" w:type="dxa"/>
        <w:tblInd w:w="135" w:type="dxa"/>
        <w:tblLayout w:type="fixed"/>
        <w:tblCellMar>
          <w:top w:w="0" w:type="dxa"/>
          <w:left w:w="108" w:type="dxa"/>
          <w:bottom w:w="0" w:type="dxa"/>
          <w:right w:w="108" w:type="dxa"/>
        </w:tblCellMar>
      </w:tblPr>
      <w:tblGrid>
        <w:gridCol w:w="4507"/>
        <w:gridCol w:w="4565"/>
      </w:tblGrid>
      <w:tr w14:paraId="41874DCE">
        <w:tblPrEx>
          <w:tblCellMar>
            <w:top w:w="0" w:type="dxa"/>
            <w:left w:w="108" w:type="dxa"/>
            <w:bottom w:w="0" w:type="dxa"/>
            <w:right w:w="108" w:type="dxa"/>
          </w:tblCellMar>
        </w:tblPrEx>
        <w:trPr>
          <w:trHeight w:val="6136" w:hRule="atLeast"/>
        </w:trPr>
        <w:tc>
          <w:tcPr>
            <w:tcW w:w="4507" w:type="dxa"/>
            <w:tcBorders>
              <w:top w:val="nil"/>
              <w:left w:val="nil"/>
              <w:bottom w:val="nil"/>
              <w:right w:val="nil"/>
            </w:tcBorders>
            <w:noWrap w:val="0"/>
            <w:vAlign w:val="top"/>
          </w:tcPr>
          <w:p w14:paraId="24259DF4">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发包人：</w:t>
            </w:r>
            <w:r>
              <w:rPr>
                <w:rFonts w:hint="eastAsia" w:ascii="宋体" w:hAnsi="宋体" w:cs="宋体"/>
                <w:szCs w:val="21"/>
                <w:highlight w:val="none"/>
                <w:u w:val="single"/>
              </w:rPr>
              <w:t xml:space="preserve">                        </w:t>
            </w:r>
            <w:r>
              <w:rPr>
                <w:rFonts w:hint="eastAsia" w:ascii="宋体" w:hAnsi="宋体" w:cs="宋体"/>
                <w:szCs w:val="21"/>
                <w:highlight w:val="none"/>
              </w:rPr>
              <w:t>（公章）</w:t>
            </w:r>
          </w:p>
          <w:p w14:paraId="4B4DBDE2">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法定代表人或其委托代理人：</w:t>
            </w:r>
          </w:p>
          <w:p w14:paraId="742A52B7">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（签字）</w:t>
            </w:r>
          </w:p>
          <w:p w14:paraId="2CCB73B8">
            <w:pPr>
              <w:pStyle w:val="87"/>
              <w:framePr w:hSpace="0" w:wrap="auto" w:vAnchor="margin" w:hAnchor="text" w:yAlign="inline"/>
              <w:spacing w:line="576" w:lineRule="exact"/>
              <w:rPr>
                <w:rFonts w:hAnsi="宋体" w:cs="宋体"/>
                <w:sz w:val="21"/>
                <w:szCs w:val="21"/>
                <w:highlight w:val="none"/>
              </w:rPr>
            </w:pPr>
            <w:r>
              <w:rPr>
                <w:rFonts w:hint="eastAsia" w:hAnsi="宋体" w:cs="宋体"/>
                <w:sz w:val="21"/>
                <w:szCs w:val="21"/>
                <w:highlight w:val="none"/>
              </w:rPr>
              <w:t>统一社会信用代码：</w:t>
            </w:r>
            <w:r>
              <w:rPr>
                <w:rFonts w:hint="eastAsia" w:hAnsi="宋体" w:cs="宋体"/>
                <w:sz w:val="21"/>
                <w:szCs w:val="21"/>
                <w:highlight w:val="none"/>
                <w:u w:val="single"/>
              </w:rPr>
              <w:t xml:space="preserve">     </w:t>
            </w:r>
          </w:p>
          <w:p w14:paraId="08FBBF84">
            <w:pPr>
              <w:pStyle w:val="87"/>
              <w:framePr w:hSpace="0" w:wrap="auto" w:vAnchor="margin" w:hAnchor="text" w:yAlign="inline"/>
              <w:spacing w:line="576" w:lineRule="exact"/>
              <w:rPr>
                <w:rFonts w:hAnsi="宋体" w:cs="宋体"/>
                <w:sz w:val="21"/>
                <w:szCs w:val="21"/>
                <w:highlight w:val="none"/>
              </w:rPr>
            </w:pPr>
            <w:r>
              <w:rPr>
                <w:rFonts w:hint="eastAsia" w:hAnsi="宋体" w:cs="宋体"/>
                <w:sz w:val="21"/>
                <w:szCs w:val="21"/>
                <w:highlight w:val="none"/>
              </w:rPr>
              <w:t>地址：</w:t>
            </w:r>
            <w:r>
              <w:rPr>
                <w:rFonts w:hint="eastAsia" w:hAnsi="宋体" w:cs="宋体"/>
                <w:sz w:val="21"/>
                <w:szCs w:val="21"/>
                <w:highlight w:val="none"/>
                <w:u w:val="single"/>
              </w:rPr>
              <w:t xml:space="preserve">      </w:t>
            </w:r>
          </w:p>
          <w:p w14:paraId="39E8A691">
            <w:pPr>
              <w:pStyle w:val="87"/>
              <w:framePr w:hSpace="0" w:wrap="auto" w:vAnchor="margin" w:hAnchor="text" w:yAlign="inline"/>
              <w:spacing w:line="576" w:lineRule="exact"/>
              <w:rPr>
                <w:rFonts w:hint="eastAsia" w:hAnsi="宋体" w:cs="宋体"/>
                <w:sz w:val="21"/>
                <w:szCs w:val="21"/>
                <w:highlight w:val="none"/>
              </w:rPr>
            </w:pPr>
            <w:r>
              <w:rPr>
                <w:rFonts w:hint="eastAsia" w:hAnsi="宋体" w:cs="宋体"/>
                <w:sz w:val="21"/>
                <w:szCs w:val="21"/>
                <w:highlight w:val="none"/>
              </w:rPr>
              <w:t xml:space="preserve">邮政编码：                 </w:t>
            </w:r>
          </w:p>
          <w:p w14:paraId="53C2DDA8">
            <w:pPr>
              <w:pStyle w:val="87"/>
              <w:framePr w:hSpace="0" w:wrap="auto" w:vAnchor="margin" w:hAnchor="text" w:yAlign="inline"/>
              <w:spacing w:line="576" w:lineRule="exact"/>
              <w:rPr>
                <w:rFonts w:hint="eastAsia" w:hAnsi="宋体" w:cs="宋体"/>
                <w:sz w:val="21"/>
                <w:szCs w:val="21"/>
                <w:highlight w:val="none"/>
              </w:rPr>
            </w:pPr>
            <w:r>
              <w:rPr>
                <w:rFonts w:hint="eastAsia" w:hAnsi="宋体" w:cs="宋体"/>
                <w:sz w:val="21"/>
                <w:szCs w:val="21"/>
                <w:highlight w:val="none"/>
              </w:rPr>
              <w:t>电话：</w:t>
            </w:r>
            <w:r>
              <w:rPr>
                <w:rFonts w:hint="eastAsia" w:hAnsi="宋体" w:cs="宋体"/>
                <w:sz w:val="21"/>
                <w:szCs w:val="21"/>
                <w:highlight w:val="none"/>
                <w:u w:val="single"/>
              </w:rPr>
              <w:t xml:space="preserve">        </w:t>
            </w:r>
            <w:r>
              <w:rPr>
                <w:rFonts w:hint="eastAsia" w:hAnsi="宋体" w:cs="宋体"/>
                <w:sz w:val="21"/>
                <w:szCs w:val="21"/>
                <w:highlight w:val="none"/>
              </w:rPr>
              <w:t xml:space="preserve">           </w:t>
            </w:r>
          </w:p>
          <w:p w14:paraId="6C84E866">
            <w:pPr>
              <w:pStyle w:val="87"/>
              <w:framePr w:hSpace="0" w:wrap="auto" w:vAnchor="margin" w:hAnchor="text" w:yAlign="inline"/>
              <w:spacing w:line="576" w:lineRule="exact"/>
              <w:rPr>
                <w:rFonts w:hAnsi="宋体" w:cs="宋体"/>
                <w:sz w:val="21"/>
                <w:szCs w:val="21"/>
                <w:highlight w:val="none"/>
                <w:u w:val="single"/>
              </w:rPr>
            </w:pPr>
            <w:r>
              <w:rPr>
                <w:rFonts w:hint="eastAsia" w:hAnsi="宋体" w:cs="宋体"/>
                <w:sz w:val="21"/>
                <w:szCs w:val="21"/>
                <w:highlight w:val="none"/>
              </w:rPr>
              <w:t>开户银行：</w:t>
            </w:r>
            <w:r>
              <w:rPr>
                <w:rFonts w:hint="eastAsia" w:hAnsi="宋体" w:cs="宋体"/>
                <w:sz w:val="21"/>
                <w:szCs w:val="21"/>
                <w:highlight w:val="none"/>
                <w:u w:val="single"/>
              </w:rPr>
              <w:t xml:space="preserve">        </w:t>
            </w:r>
          </w:p>
          <w:p w14:paraId="1110C610">
            <w:pPr>
              <w:pStyle w:val="87"/>
              <w:framePr w:hSpace="0" w:wrap="auto" w:vAnchor="margin" w:hAnchor="text" w:yAlign="inline"/>
              <w:spacing w:line="576" w:lineRule="exact"/>
              <w:rPr>
                <w:rFonts w:hAnsi="宋体" w:cs="宋体"/>
                <w:sz w:val="21"/>
                <w:szCs w:val="21"/>
                <w:highlight w:val="none"/>
              </w:rPr>
            </w:pPr>
            <w:r>
              <w:rPr>
                <w:rFonts w:hint="eastAsia" w:hAnsi="宋体" w:cs="宋体"/>
                <w:sz w:val="21"/>
                <w:szCs w:val="21"/>
                <w:highlight w:val="none"/>
              </w:rPr>
              <w:t>账号：</w:t>
            </w:r>
            <w:r>
              <w:rPr>
                <w:rFonts w:hint="eastAsia" w:hAnsi="宋体" w:cs="宋体"/>
                <w:sz w:val="21"/>
                <w:szCs w:val="21"/>
                <w:highlight w:val="none"/>
                <w:u w:val="single"/>
              </w:rPr>
              <w:t xml:space="preserve">       </w:t>
            </w:r>
          </w:p>
        </w:tc>
        <w:tc>
          <w:tcPr>
            <w:tcW w:w="4565" w:type="dxa"/>
            <w:tcBorders>
              <w:top w:val="nil"/>
              <w:left w:val="nil"/>
              <w:bottom w:val="nil"/>
              <w:right w:val="nil"/>
            </w:tcBorders>
            <w:noWrap w:val="0"/>
            <w:vAlign w:val="top"/>
          </w:tcPr>
          <w:p w14:paraId="3D7EBC96">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承包人：</w:t>
            </w:r>
            <w:r>
              <w:rPr>
                <w:rFonts w:hint="eastAsia" w:ascii="宋体" w:hAnsi="宋体" w:cs="宋体"/>
                <w:szCs w:val="21"/>
                <w:highlight w:val="none"/>
                <w:u w:val="single"/>
              </w:rPr>
              <w:t xml:space="preserve">                    </w:t>
            </w:r>
            <w:r>
              <w:rPr>
                <w:rFonts w:hint="eastAsia" w:ascii="宋体" w:hAnsi="宋体" w:cs="宋体"/>
                <w:szCs w:val="21"/>
                <w:highlight w:val="none"/>
              </w:rPr>
              <w:t>（公章）</w:t>
            </w:r>
          </w:p>
          <w:p w14:paraId="20E5C86E">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法定代表人或其委托代理人：</w:t>
            </w:r>
          </w:p>
          <w:p w14:paraId="0FD15A8C">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（签字）</w:t>
            </w:r>
          </w:p>
          <w:p w14:paraId="0A737D2D">
            <w:pPr>
              <w:pStyle w:val="87"/>
              <w:framePr w:hSpace="0" w:wrap="auto" w:vAnchor="margin" w:hAnchor="text" w:yAlign="inline"/>
              <w:spacing w:line="576" w:lineRule="exact"/>
              <w:rPr>
                <w:rFonts w:hint="eastAsia" w:hAnsi="宋体" w:cs="宋体"/>
                <w:sz w:val="21"/>
                <w:szCs w:val="21"/>
                <w:highlight w:val="none"/>
                <w:u w:val="single"/>
              </w:rPr>
            </w:pPr>
            <w:r>
              <w:rPr>
                <w:rFonts w:hint="eastAsia" w:hAnsi="宋体" w:cs="宋体"/>
                <w:sz w:val="21"/>
                <w:szCs w:val="21"/>
                <w:highlight w:val="none"/>
              </w:rPr>
              <w:t>统一社会信用代码：</w:t>
            </w:r>
            <w:r>
              <w:rPr>
                <w:rFonts w:hint="eastAsia" w:hAnsi="宋体" w:cs="宋体"/>
                <w:sz w:val="21"/>
                <w:szCs w:val="21"/>
                <w:highlight w:val="none"/>
                <w:u w:val="single"/>
              </w:rPr>
              <w:t xml:space="preserve">         </w:t>
            </w:r>
          </w:p>
          <w:p w14:paraId="208A4ED0">
            <w:pPr>
              <w:pStyle w:val="87"/>
              <w:framePr w:hSpace="0" w:wrap="auto" w:vAnchor="margin" w:hAnchor="text" w:yAlign="inline"/>
              <w:spacing w:line="576" w:lineRule="exact"/>
              <w:rPr>
                <w:rFonts w:hint="eastAsia" w:hAnsi="宋体" w:cs="宋体"/>
                <w:sz w:val="21"/>
                <w:szCs w:val="21"/>
                <w:highlight w:val="none"/>
              </w:rPr>
            </w:pPr>
            <w:r>
              <w:rPr>
                <w:rFonts w:hint="eastAsia" w:hAnsi="宋体" w:cs="宋体"/>
                <w:sz w:val="21"/>
                <w:szCs w:val="21"/>
                <w:highlight w:val="none"/>
              </w:rPr>
              <w:t>地址：</w:t>
            </w:r>
            <w:r>
              <w:rPr>
                <w:rFonts w:hint="eastAsia" w:hAnsi="宋体" w:cs="宋体"/>
                <w:sz w:val="21"/>
                <w:szCs w:val="21"/>
                <w:highlight w:val="none"/>
                <w:u w:val="single"/>
              </w:rPr>
              <w:t xml:space="preserve">                    </w:t>
            </w:r>
            <w:r>
              <w:rPr>
                <w:rFonts w:hint="eastAsia" w:hAnsi="宋体" w:cs="宋体"/>
                <w:w w:val="66"/>
                <w:sz w:val="21"/>
                <w:szCs w:val="21"/>
                <w:highlight w:val="none"/>
                <w:u w:val="single"/>
              </w:rPr>
              <w:t xml:space="preserve"> </w:t>
            </w:r>
            <w:r>
              <w:rPr>
                <w:rFonts w:hint="eastAsia" w:hAnsi="宋体" w:cs="宋体"/>
                <w:sz w:val="21"/>
                <w:szCs w:val="21"/>
                <w:highlight w:val="none"/>
              </w:rPr>
              <w:t xml:space="preserve"> </w:t>
            </w:r>
          </w:p>
          <w:p w14:paraId="6E1D1047">
            <w:pPr>
              <w:pStyle w:val="87"/>
              <w:framePr w:hSpace="0" w:wrap="auto" w:vAnchor="margin" w:hAnchor="text" w:yAlign="inline"/>
              <w:spacing w:line="576" w:lineRule="exact"/>
              <w:rPr>
                <w:rFonts w:hint="eastAsia" w:hAnsi="宋体" w:cs="宋体"/>
                <w:sz w:val="21"/>
                <w:szCs w:val="21"/>
                <w:highlight w:val="none"/>
              </w:rPr>
            </w:pPr>
            <w:r>
              <w:rPr>
                <w:rFonts w:hint="eastAsia" w:hAnsi="宋体" w:cs="宋体"/>
                <w:sz w:val="21"/>
                <w:szCs w:val="21"/>
                <w:highlight w:val="none"/>
              </w:rPr>
              <w:t>邮政编码：</w:t>
            </w:r>
            <w:r>
              <w:rPr>
                <w:rFonts w:hint="eastAsia" w:hAnsi="宋体" w:cs="宋体"/>
                <w:kern w:val="0"/>
                <w:sz w:val="21"/>
                <w:szCs w:val="21"/>
                <w:highlight w:val="none"/>
                <w:u w:val="single"/>
              </w:rPr>
              <w:t xml:space="preserve">                 </w:t>
            </w:r>
          </w:p>
          <w:p w14:paraId="56667511">
            <w:pPr>
              <w:pStyle w:val="87"/>
              <w:framePr w:hSpace="0" w:wrap="auto" w:vAnchor="margin" w:hAnchor="text" w:yAlign="inline"/>
              <w:spacing w:line="576" w:lineRule="exact"/>
              <w:rPr>
                <w:rFonts w:hint="eastAsia" w:hAnsi="宋体" w:cs="宋体"/>
                <w:sz w:val="21"/>
                <w:szCs w:val="21"/>
                <w:highlight w:val="none"/>
              </w:rPr>
            </w:pPr>
            <w:r>
              <w:rPr>
                <w:rFonts w:hint="eastAsia" w:hAnsi="宋体" w:cs="宋体"/>
                <w:sz w:val="21"/>
                <w:szCs w:val="21"/>
                <w:highlight w:val="none"/>
              </w:rPr>
              <w:t>电话：</w:t>
            </w:r>
            <w:r>
              <w:rPr>
                <w:rFonts w:hint="eastAsia" w:hAnsi="宋体" w:cs="宋体"/>
                <w:kern w:val="0"/>
                <w:sz w:val="21"/>
                <w:szCs w:val="21"/>
                <w:highlight w:val="none"/>
                <w:u w:val="single"/>
              </w:rPr>
              <w:t xml:space="preserve">                     </w:t>
            </w:r>
          </w:p>
          <w:p w14:paraId="63A1C56B">
            <w:pPr>
              <w:pStyle w:val="87"/>
              <w:framePr w:hSpace="0" w:wrap="auto" w:vAnchor="margin" w:hAnchor="text" w:yAlign="inline"/>
              <w:spacing w:line="576" w:lineRule="exact"/>
              <w:rPr>
                <w:rFonts w:hint="eastAsia" w:hAnsi="宋体" w:cs="宋体"/>
                <w:sz w:val="21"/>
                <w:szCs w:val="21"/>
                <w:highlight w:val="none"/>
              </w:rPr>
            </w:pPr>
            <w:r>
              <w:rPr>
                <w:rFonts w:hint="eastAsia" w:hAnsi="宋体" w:cs="宋体"/>
                <w:sz w:val="21"/>
                <w:szCs w:val="21"/>
                <w:highlight w:val="none"/>
              </w:rPr>
              <w:t>开户银行：</w:t>
            </w:r>
            <w:r>
              <w:rPr>
                <w:rFonts w:hint="eastAsia" w:hAnsi="宋体" w:cs="宋体"/>
                <w:kern w:val="0"/>
                <w:sz w:val="21"/>
                <w:szCs w:val="21"/>
                <w:highlight w:val="none"/>
                <w:u w:val="single"/>
              </w:rPr>
              <w:t xml:space="preserve">                 </w:t>
            </w:r>
          </w:p>
          <w:p w14:paraId="2462F725">
            <w:pPr>
              <w:pStyle w:val="83"/>
              <w:widowControl/>
              <w:adjustRightInd w:val="0"/>
              <w:snapToGrid w:val="0"/>
              <w:spacing w:after="50" w:line="576" w:lineRule="exact"/>
              <w:jc w:val="left"/>
              <w:rPr>
                <w:rFonts w:hint="eastAsia" w:ascii="宋体" w:hAnsi="宋体" w:cs="宋体"/>
                <w:szCs w:val="21"/>
                <w:highlight w:val="none"/>
              </w:rPr>
            </w:pPr>
            <w:r>
              <w:rPr>
                <w:rFonts w:hint="eastAsia" w:ascii="宋体" w:hAnsi="宋体" w:cs="宋体"/>
                <w:szCs w:val="21"/>
                <w:highlight w:val="none"/>
              </w:rPr>
              <w:t>账号：</w:t>
            </w:r>
            <w:r>
              <w:rPr>
                <w:rFonts w:hint="eastAsia" w:ascii="宋体" w:hAnsi="宋体" w:cs="宋体"/>
                <w:kern w:val="0"/>
                <w:szCs w:val="21"/>
                <w:highlight w:val="none"/>
                <w:u w:val="single"/>
              </w:rPr>
              <w:t xml:space="preserve">                     </w:t>
            </w:r>
          </w:p>
          <w:p w14:paraId="63020234">
            <w:pPr>
              <w:pStyle w:val="83"/>
              <w:widowControl/>
              <w:adjustRightInd w:val="0"/>
              <w:snapToGrid w:val="0"/>
              <w:spacing w:after="50" w:line="576" w:lineRule="exact"/>
              <w:jc w:val="left"/>
              <w:rPr>
                <w:rFonts w:hint="eastAsia" w:ascii="宋体" w:hAnsi="宋体" w:cs="宋体"/>
                <w:szCs w:val="21"/>
                <w:highlight w:val="none"/>
              </w:rPr>
            </w:pPr>
          </w:p>
        </w:tc>
      </w:tr>
    </w:tbl>
    <w:p w14:paraId="05CC0FAF">
      <w:pPr>
        <w:pStyle w:val="83"/>
        <w:widowControl/>
        <w:adjustRightInd w:val="0"/>
        <w:snapToGrid w:val="0"/>
        <w:spacing w:after="50" w:line="360" w:lineRule="auto"/>
        <w:jc w:val="center"/>
        <w:outlineLvl w:val="0"/>
        <w:rPr>
          <w:rFonts w:hint="eastAsia" w:ascii="宋体" w:hAnsi="宋体"/>
          <w:b/>
          <w:bCs/>
          <w:kern w:val="44"/>
          <w:highlight w:val="none"/>
        </w:rPr>
      </w:pPr>
      <w:r>
        <w:rPr>
          <w:rFonts w:hint="eastAsia" w:ascii="宋体" w:hAnsi="宋体"/>
          <w:highlight w:val="none"/>
        </w:rPr>
        <w:tab/>
      </w:r>
    </w:p>
    <w:p w14:paraId="5EFDA382">
      <w:pPr>
        <w:pStyle w:val="83"/>
        <w:widowControl/>
        <w:adjustRightInd w:val="0"/>
        <w:snapToGrid w:val="0"/>
        <w:spacing w:after="50" w:line="360" w:lineRule="auto"/>
        <w:jc w:val="center"/>
        <w:outlineLvl w:val="0"/>
        <w:rPr>
          <w:rFonts w:hint="eastAsia" w:ascii="宋体" w:hAnsi="宋体"/>
          <w:b/>
          <w:bCs/>
          <w:kern w:val="44"/>
          <w:sz w:val="28"/>
          <w:szCs w:val="28"/>
          <w:highlight w:val="none"/>
        </w:rPr>
      </w:pPr>
    </w:p>
    <w:p w14:paraId="3A3D6F77">
      <w:pPr>
        <w:pStyle w:val="83"/>
        <w:widowControl/>
        <w:adjustRightInd w:val="0"/>
        <w:snapToGrid w:val="0"/>
        <w:spacing w:after="50" w:line="360" w:lineRule="auto"/>
        <w:jc w:val="center"/>
        <w:outlineLvl w:val="0"/>
        <w:rPr>
          <w:rFonts w:hint="eastAsia" w:ascii="宋体" w:hAnsi="宋体"/>
          <w:b/>
          <w:bCs/>
          <w:kern w:val="44"/>
          <w:sz w:val="28"/>
          <w:szCs w:val="28"/>
          <w:highlight w:val="none"/>
        </w:rPr>
      </w:pPr>
      <w:r>
        <w:rPr>
          <w:rFonts w:hint="eastAsia" w:ascii="宋体" w:hAnsi="宋体"/>
          <w:b/>
          <w:bCs/>
          <w:kern w:val="44"/>
          <w:sz w:val="28"/>
          <w:szCs w:val="28"/>
          <w:highlight w:val="none"/>
        </w:rPr>
        <w:br w:type="page"/>
      </w:r>
      <w:r>
        <w:rPr>
          <w:rFonts w:hint="eastAsia" w:ascii="宋体" w:hAnsi="宋体"/>
          <w:b/>
          <w:bCs/>
          <w:kern w:val="44"/>
          <w:sz w:val="28"/>
          <w:szCs w:val="28"/>
          <w:highlight w:val="none"/>
        </w:rPr>
        <w:t>第二部分 通用合同条件</w:t>
      </w:r>
    </w:p>
    <w:p w14:paraId="55A29F33">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第1条 一般约定</w:t>
      </w:r>
    </w:p>
    <w:p w14:paraId="4280D5A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 词语定义和解释</w:t>
      </w:r>
    </w:p>
    <w:p w14:paraId="228D0900">
      <w:pPr>
        <w:pStyle w:val="84"/>
        <w:spacing w:line="360" w:lineRule="auto"/>
        <w:rPr>
          <w:rStyle w:val="86"/>
          <w:rFonts w:hint="eastAsia" w:ascii="宋体" w:hAnsi="宋体"/>
          <w:highlight w:val="none"/>
        </w:rPr>
      </w:pPr>
      <w:r>
        <w:rPr>
          <w:rStyle w:val="86"/>
          <w:rFonts w:hint="eastAsia" w:ascii="宋体" w:hAnsi="宋体"/>
          <w:highlight w:val="none"/>
        </w:rPr>
        <w:t>合同协议书、通用合同条件、专用合同条件中的下列词语应具有本款所赋予的含义：</w:t>
      </w:r>
    </w:p>
    <w:p w14:paraId="24AD78F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1.1.1 合同</w:t>
      </w:r>
    </w:p>
    <w:p w14:paraId="4DF91154">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19797A29">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1.1.1.2 合同协议书：是指构成合同的由发包人和承包人共同签署的称为“合同协议书”的书面文件。</w:t>
      </w:r>
    </w:p>
    <w:p w14:paraId="2FDF1DD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1.1.1.3 中标通知书：是指构成合同的由发包人通知承包人中标的书面文件。中标通知书随附的澄清、说明、补正事项纪要等，是中标通知书的组成部分。</w:t>
      </w:r>
    </w:p>
    <w:p w14:paraId="755477A1">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1.1.1.4 投标函：是指构成合同的由承包人填写并签署的用于投标的称为“投标函”的文件。</w:t>
      </w:r>
    </w:p>
    <w:p w14:paraId="5A0C925C">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1.1.1.5 投标函附录：是指构成合同的附在投标函后的称为“投标函附录”的文件。</w:t>
      </w:r>
    </w:p>
    <w:p w14:paraId="228F47BD">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1.1.1.6 《发包人要求》：指构成合同文件组成部分的名为《发包人要求》的文件，其中列明工程的目的、范围、设计与其他技术标准和要求，以及合同双方当事人约定对其所作的修改或补充。</w:t>
      </w:r>
    </w:p>
    <w:p w14:paraId="0560E8EC">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1.1.1.7 项目清单：是指发包人提供的载明工程总承包项目勘察费（如果有）、设计费、建筑安装工程费、设备购置费、暂估价、暂列金额和双方约定的其他费用的名称和相应数量等内容的项目明细。</w:t>
      </w:r>
    </w:p>
    <w:p w14:paraId="3A4AB6E4">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1.1.1.8 价格清单：指构成合同文件组成部分的由承包人按发包人提供的项目清单规定的格式和要求填写并标明价格的清单。</w:t>
      </w:r>
    </w:p>
    <w:p w14:paraId="462C4CF5">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1.1.1.9 承包人建议书：指构成合同文件组成部分的名为承包人建议书的文件。承包人建议书由承包人随投标函一起提交。</w:t>
      </w:r>
    </w:p>
    <w:p w14:paraId="740E2C93">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1.1.1.10 其他合同文件：是指经合同当事人约定的与工程实施有关的具有合同约束力的文件或书面协议。合同当事人可以在专用合同条件中进行约定。</w:t>
      </w:r>
    </w:p>
    <w:p w14:paraId="374D563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1.1.2 合同当事人及其他相关方</w:t>
      </w:r>
    </w:p>
    <w:p w14:paraId="30C00961">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1.1.2.1 合同当事人：是指发包人和（或）承包人。</w:t>
      </w:r>
    </w:p>
    <w:p w14:paraId="62546B25">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1.1.2.2 发包人：是指与承包人订立合同协议书的当事人及取得该当事人资格的合法继受人。本合同中“因发包人原因”里的“发包人”包括发包人及所有发包人人员。</w:t>
      </w:r>
    </w:p>
    <w:p w14:paraId="590E9B6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1.1.2.3 承包人：是指与发包人订立合同协议书的当事人及取得该当事人资格的合法继受人。</w:t>
      </w:r>
    </w:p>
    <w:p w14:paraId="04D88B6B">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1.1.2.4 联合体：是指经发包人同意由两个或两个以上法人或者其他组织组成的，作为承包人的临时机构。</w:t>
      </w:r>
    </w:p>
    <w:p w14:paraId="076AB225">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1.1.2.5 发包人代表：是指由发包人任命并派驻工作现场，在发包人授权范围内行使发包人权利和履行发包人义务的人。</w:t>
      </w:r>
    </w:p>
    <w:p w14:paraId="014C6755">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486C6697">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1.1.2.7 工程总承包项目经理：是指由承包人任命的，在承包人授权范围内负责合同履行的管理，且按照法律规定具有相应资格的项目负责人。</w:t>
      </w:r>
    </w:p>
    <w:p w14:paraId="0A7739E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1.1.2.8 设计负责人：是指承包人指定负责组织、指导、协调设计工作并具有相应资格的人员。</w:t>
      </w:r>
    </w:p>
    <w:p w14:paraId="0954E4B0">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1.1.2.9 采购负责人：是指承包人指定负责组织、指导、协调采购工作的人员。</w:t>
      </w:r>
    </w:p>
    <w:p w14:paraId="75991A1D">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1.1.2.10 施工负责人：是指承包人指定负责组织、指导、协调施工工作并具有相应资格的人员。</w:t>
      </w:r>
    </w:p>
    <w:p w14:paraId="288C6E86">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1.1.2.11 分包人：是指按照法律规定和合同约定，分包部分工程或工作，并与承包人订立分包合同的具有相应资质或资格的法人或其他组织。</w:t>
      </w:r>
    </w:p>
    <w:p w14:paraId="7C2F45F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1.1.3 工程和设备</w:t>
      </w:r>
    </w:p>
    <w:p w14:paraId="325CA43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1.1.3.1 工程：是指与合同协议书中工程承包范围对应的永久工程和（或）临时工程。</w:t>
      </w:r>
    </w:p>
    <w:p w14:paraId="27245A37">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1.1.3.2 工程实施：是指进行工程的设计、采购、施工和竣工以及对工程任何缺陷的修复。</w:t>
      </w:r>
    </w:p>
    <w:p w14:paraId="4B900455">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1.1.3.3 永久工程：是指按合同约定建造并移交给发包人的工程，包括工程设备。</w:t>
      </w:r>
    </w:p>
    <w:p w14:paraId="3D7167A0">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1.1.3.4 临时工程：是指为完成合同约定的永久工程所修建的各类临时性工程，不包括施工设备。</w:t>
      </w:r>
    </w:p>
    <w:p w14:paraId="2EA87FEC">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1.1.3.5 单位/区段工程：是指在专用合同条件中指明特定范围的，能单独接收并使用的永久工程。</w:t>
      </w:r>
    </w:p>
    <w:p w14:paraId="47ECB05B">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1.1.3.6 工程设备：指构成永久工程的机电设备、仪器装置、运载工具及其他类似的设备和装置，包括其配件及备品、备件、易损易耗件等。</w:t>
      </w:r>
    </w:p>
    <w:p w14:paraId="4A5DEA44">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1.1.3.7 施工设备：指为完成合同约定的各项工作所需的设备、器具和其他物品，不包括工程设备、临时工程和材料。</w:t>
      </w:r>
    </w:p>
    <w:p w14:paraId="471CD51F">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1.1.3.8 临时设施：指为完成合同约定的各项工作所服务的临时性生产和生活设施。</w:t>
      </w:r>
    </w:p>
    <w:p w14:paraId="35522D73">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1.1.3.9 施工现场：是指用于工程施工的场所，以及在专用合同条件中指明作为施工场所组成部分的其他场所，包括永久占地和临时占地。</w:t>
      </w:r>
    </w:p>
    <w:p w14:paraId="5D6C3B1F">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1.1.3.10 永久占地：是指专用合同条件中指明为实施工程需永久占用的土地。</w:t>
      </w:r>
    </w:p>
    <w:p w14:paraId="51C392F4">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1.1.3.11 临时占地：是指专用合同条件中指明为实施工程需临时占用的土地。</w:t>
      </w:r>
    </w:p>
    <w:p w14:paraId="33E4B21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1.1.4 日期和期限</w:t>
      </w:r>
    </w:p>
    <w:p w14:paraId="058B2EB1">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1.1.4.1 开始工作通知：指工程师按第8.1.2项[开始工作通知]的约定通知承包人开始工作的函件。</w:t>
      </w:r>
    </w:p>
    <w:p w14:paraId="0D103756">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19C174A7">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69D19BB9">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1.1.4.4 竣工日期：包括计划竣工日期和实际竣工日期。计划竣工日期是指合同协议书约定的竣工日期；实际竣工日期按照第8.2款[竣工日期]的约定确定。</w:t>
      </w:r>
    </w:p>
    <w:p w14:paraId="24B88EF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1.1.4.5 工期：是指在合同协议书约定的承包人完成合同工作所需的期限，包括按照合同约定所作的期限变更及按合同约定承包人有权取得的工期延长。</w:t>
      </w:r>
    </w:p>
    <w:p w14:paraId="0788236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1.1.4.6 缺陷责任期：是指发包人预留工程质量保证金以保证承包人履行第11.3款[缺陷调查]下质量缺陷责任的期限。</w:t>
      </w:r>
    </w:p>
    <w:p w14:paraId="124406A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1.1.4.7 保修期：是指承包人按照合同约定和法律规定对工程质量承担保修责任的期限，该期限自缺陷责任期起算之日起计算。</w:t>
      </w:r>
    </w:p>
    <w:p w14:paraId="79697B2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1.1.4.8 基准日期：招标发包的工程以投标截止日前28天的日期为基准日期，直接发包的工程以合同订立日前28天的日期为基准日期。</w:t>
      </w:r>
    </w:p>
    <w:p w14:paraId="29D1553C">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1.1.4.9 天：除特别指明外，均指日历天。合同中按天计算时间的，开始当天不计入，从次日开始计算。期限最后一天的截止时间为当天24:00。</w:t>
      </w:r>
    </w:p>
    <w:p w14:paraId="2BF7992B">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1.1.4.10 竣工试验：是指在工程竣工验收前，根据第9条[竣工试验]要求进行的试验。</w:t>
      </w:r>
    </w:p>
    <w:p w14:paraId="4FA856B6">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1.1.4.11 竣工验收：是指承包人完成了合同约定的各项内容后，发包人按合同要求进行的验收。</w:t>
      </w:r>
    </w:p>
    <w:p w14:paraId="4E49E503">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1.1.4.12 竣工后试验：是指在工程竣工验收后，根据第12条[竣工后试验]约定进行的试验。</w:t>
      </w:r>
    </w:p>
    <w:p w14:paraId="2A23B63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1.1.5 合同价格和费用</w:t>
      </w:r>
    </w:p>
    <w:p w14:paraId="5CE9D79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1.1.5.1 签约合同价：是指发包人和承包人在合同协议书中确定的总金额，包括暂估价及暂列金额等。</w:t>
      </w:r>
    </w:p>
    <w:p w14:paraId="00B5A1D2">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1.1.5.2 合同价格：是指发包人用于支付承包人按照合同约定完成承包范围内全部工作的金额，包括合同履行过程中按合同约定发生的价格变化。</w:t>
      </w:r>
    </w:p>
    <w:p w14:paraId="6B719662">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1.1.5.3 费用：是指为履行合同所发生的或将要发生的所有合理开支，包括管理费和应分摊的其他费用，但不包括利润。</w:t>
      </w:r>
    </w:p>
    <w:p w14:paraId="2C13B3E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1.1.5.4 人工费：是指支付给直接从事建筑安装工程施工作业的建筑工人的各项费用。</w:t>
      </w:r>
    </w:p>
    <w:p w14:paraId="57D6786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1.1.5.5 暂估价：是指发包人在项目清单中给定的，用于支付必然发生但暂时不能确定价格的专业服务、材料、设备、专业工程的金额。</w:t>
      </w:r>
    </w:p>
    <w:p w14:paraId="174DF83D">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1.1.5.6 暂列金额：是指发包人在项目清单中给定的，用于在订立协议书时尚未确定或不可预见变更的设计、施工及其所需材料、工程设备、服务等的金额，包括以计日工方式支付的金额。</w:t>
      </w:r>
    </w:p>
    <w:p w14:paraId="64960E64">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1.1.5.7 计日工：是指合同履行过程中，承包人完成发包人提出的零星工作或需要采用计日工计价的变更工作时，按合同中约定的单价计价的一种方式。</w:t>
      </w:r>
    </w:p>
    <w:p w14:paraId="48C07428">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1.1.5.8 质量保证金：是指按第14.6款[质量保证金]约定承包人用于保证其在缺陷责任期内履行缺陷修复义务的担保。</w:t>
      </w:r>
    </w:p>
    <w:p w14:paraId="2A5B461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1.1.6 其他</w:t>
      </w:r>
    </w:p>
    <w:p w14:paraId="6A238B7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1.1.6.1 书面形式：指合同文件、信函、电报、传真、数据电文、电子邮件、会议纪要等可以有形地表现所载内容的形式。</w:t>
      </w:r>
    </w:p>
    <w:p w14:paraId="299A627C">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1.1.6.2 承包人文件：指由承包人根据合同约定应提交的所有图纸、手册、模型、计算书、软件、函件、洽商性文件和其他技术性文件。</w:t>
      </w:r>
    </w:p>
    <w:p w14:paraId="6DF8408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1.1.6.3 变更：指根据第13条[变更与调整]的约定，经指示或批准对《发包人要求》或工程所做的改变。</w:t>
      </w:r>
    </w:p>
    <w:p w14:paraId="0C81428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1.2 语言文字</w:t>
      </w:r>
    </w:p>
    <w:p w14:paraId="5D8860A5">
      <w:pPr>
        <w:pStyle w:val="84"/>
        <w:spacing w:line="360" w:lineRule="auto"/>
        <w:ind w:firstLine="600"/>
        <w:rPr>
          <w:rStyle w:val="86"/>
          <w:rFonts w:hint="eastAsia" w:ascii="宋体" w:hAnsi="宋体"/>
          <w:highlight w:val="none"/>
        </w:rPr>
      </w:pPr>
      <w:r>
        <w:rPr>
          <w:rStyle w:val="86"/>
          <w:rFonts w:hint="eastAsia" w:ascii="宋体" w:hAnsi="宋体"/>
          <w:highlight w:val="none"/>
        </w:rPr>
        <w:t>合同文件以中国的汉语简体语言文字编写、解释和说明。专用术语使用外文的，应附有中文注释。合同当事人在专用合同条件约定使用两种及以上语言时，汉语为优先解释和说明合同的语言。</w:t>
      </w:r>
    </w:p>
    <w:p w14:paraId="3B20508A">
      <w:pPr>
        <w:pStyle w:val="84"/>
        <w:spacing w:line="360" w:lineRule="auto"/>
        <w:ind w:firstLine="600"/>
        <w:rPr>
          <w:rStyle w:val="86"/>
          <w:rFonts w:hint="eastAsia" w:ascii="宋体" w:hAnsi="宋体"/>
          <w:highlight w:val="none"/>
        </w:rPr>
      </w:pPr>
      <w:r>
        <w:rPr>
          <w:rStyle w:val="86"/>
          <w:rFonts w:hint="eastAsia" w:ascii="宋体" w:hAnsi="宋体"/>
          <w:highlight w:val="none"/>
        </w:rPr>
        <w:t>与合同有关的联络应使用专用合同条件约定的语言。如没有约定，则应使用中国的汉语简体语言文字。</w:t>
      </w:r>
    </w:p>
    <w:p w14:paraId="2B587FF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 法律</w:t>
      </w:r>
    </w:p>
    <w:p w14:paraId="43757D3A">
      <w:pPr>
        <w:pStyle w:val="84"/>
        <w:spacing w:line="360" w:lineRule="auto"/>
        <w:ind w:firstLine="600"/>
        <w:rPr>
          <w:rStyle w:val="86"/>
          <w:rFonts w:hint="eastAsia" w:ascii="宋体" w:hAnsi="宋体"/>
          <w:highlight w:val="none"/>
        </w:rPr>
      </w:pPr>
      <w:r>
        <w:rPr>
          <w:rStyle w:val="86"/>
          <w:rFonts w:hint="eastAsia" w:ascii="宋体" w:hAnsi="宋体"/>
          <w:highlight w:val="none"/>
        </w:rPr>
        <w:t>合同所称法律是指中华人民共和国法律、行政法规、部门规章，以及工程所在地的地方法规、自治条例、单行条例和地方政府规章等。</w:t>
      </w:r>
    </w:p>
    <w:p w14:paraId="67F4C4C4">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合同当事人可以在专用合同条件中约定合同适用的其他规范性文件。</w:t>
      </w:r>
    </w:p>
    <w:p w14:paraId="7E095A8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1.4 标准和规范</w:t>
      </w:r>
    </w:p>
    <w:p w14:paraId="06366C6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1.4.1 适用于工程的国家标准、行业标准、工程所在地的地方性标准，以及相应的规范、规程等，合同当事人有特别要求的，应在专用合同条件中约定。</w:t>
      </w:r>
    </w:p>
    <w:p w14:paraId="0814592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1.4.2 发包人要求使用国外标准、规范的，发包人负责提供原文版本和中文译本，并在专用合同条件中约定提供标准规范的名称、份数和时间。</w:t>
      </w:r>
    </w:p>
    <w:p w14:paraId="348553A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7A8653C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1999797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1.5 合同文件的优先顺序</w:t>
      </w:r>
    </w:p>
    <w:p w14:paraId="64DA0BD9">
      <w:pPr>
        <w:pStyle w:val="84"/>
        <w:spacing w:line="360" w:lineRule="auto"/>
        <w:ind w:firstLine="600"/>
        <w:rPr>
          <w:rStyle w:val="86"/>
          <w:rFonts w:hint="eastAsia" w:ascii="宋体" w:hAnsi="宋体"/>
          <w:highlight w:val="none"/>
        </w:rPr>
      </w:pPr>
      <w:r>
        <w:rPr>
          <w:rStyle w:val="86"/>
          <w:rFonts w:hint="eastAsia" w:ascii="宋体" w:hAnsi="宋体"/>
          <w:highlight w:val="none"/>
        </w:rPr>
        <w:t>组成合同的各项文件应互相解释，互为说明。除专用合同条件另有约定外，解释合同文件的优先顺序如下：</w:t>
      </w:r>
    </w:p>
    <w:p w14:paraId="3A32F27C">
      <w:pPr>
        <w:pStyle w:val="84"/>
        <w:spacing w:line="360" w:lineRule="auto"/>
        <w:ind w:firstLine="600"/>
        <w:rPr>
          <w:rStyle w:val="86"/>
          <w:rFonts w:hint="eastAsia" w:ascii="宋体" w:hAnsi="宋体"/>
          <w:highlight w:val="none"/>
        </w:rPr>
      </w:pPr>
      <w:r>
        <w:rPr>
          <w:rStyle w:val="86"/>
          <w:rFonts w:hint="eastAsia" w:ascii="宋体" w:hAnsi="宋体"/>
          <w:highlight w:val="none"/>
        </w:rPr>
        <w:t>（1） 合同协议书；</w:t>
      </w:r>
    </w:p>
    <w:p w14:paraId="269D321D">
      <w:pPr>
        <w:pStyle w:val="84"/>
        <w:spacing w:line="360" w:lineRule="auto"/>
        <w:ind w:firstLine="600"/>
        <w:rPr>
          <w:rStyle w:val="86"/>
          <w:rFonts w:hint="eastAsia" w:ascii="宋体" w:hAnsi="宋体"/>
          <w:highlight w:val="none"/>
        </w:rPr>
      </w:pPr>
      <w:r>
        <w:rPr>
          <w:rStyle w:val="86"/>
          <w:rFonts w:hint="eastAsia" w:ascii="宋体" w:hAnsi="宋体"/>
          <w:highlight w:val="none"/>
        </w:rPr>
        <w:t>（2） 中标通知书（如果有）；</w:t>
      </w:r>
    </w:p>
    <w:p w14:paraId="43756C55">
      <w:pPr>
        <w:pStyle w:val="84"/>
        <w:spacing w:line="360" w:lineRule="auto"/>
        <w:ind w:firstLine="600"/>
        <w:rPr>
          <w:rStyle w:val="86"/>
          <w:rFonts w:hint="eastAsia" w:ascii="宋体" w:hAnsi="宋体"/>
          <w:highlight w:val="none"/>
        </w:rPr>
      </w:pPr>
      <w:r>
        <w:rPr>
          <w:rStyle w:val="86"/>
          <w:rFonts w:hint="eastAsia" w:ascii="宋体" w:hAnsi="宋体"/>
          <w:highlight w:val="none"/>
        </w:rPr>
        <w:t>（3） 投标函及投标函附录（如果有）；</w:t>
      </w:r>
    </w:p>
    <w:p w14:paraId="76C9D866">
      <w:pPr>
        <w:pStyle w:val="84"/>
        <w:spacing w:line="360" w:lineRule="auto"/>
        <w:ind w:firstLine="600"/>
        <w:rPr>
          <w:rStyle w:val="86"/>
          <w:rFonts w:hint="eastAsia" w:ascii="宋体" w:hAnsi="宋体"/>
          <w:highlight w:val="none"/>
        </w:rPr>
      </w:pPr>
      <w:r>
        <w:rPr>
          <w:rStyle w:val="86"/>
          <w:rFonts w:hint="eastAsia" w:ascii="宋体" w:hAnsi="宋体"/>
          <w:highlight w:val="none"/>
        </w:rPr>
        <w:t>（4） 专用合同条件及《发包人要求》等附件；</w:t>
      </w:r>
    </w:p>
    <w:p w14:paraId="4CC0D820">
      <w:pPr>
        <w:pStyle w:val="84"/>
        <w:spacing w:line="360" w:lineRule="auto"/>
        <w:ind w:firstLine="600"/>
        <w:rPr>
          <w:rStyle w:val="86"/>
          <w:rFonts w:hint="eastAsia" w:ascii="宋体" w:hAnsi="宋体"/>
          <w:highlight w:val="none"/>
        </w:rPr>
      </w:pPr>
      <w:r>
        <w:rPr>
          <w:rStyle w:val="86"/>
          <w:rFonts w:hint="eastAsia" w:ascii="宋体" w:hAnsi="宋体"/>
          <w:highlight w:val="none"/>
        </w:rPr>
        <w:t>（5） 通用合同条件；</w:t>
      </w:r>
    </w:p>
    <w:p w14:paraId="17F238AA">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（6） 承包人建议书； </w:t>
      </w:r>
    </w:p>
    <w:p w14:paraId="672BD069">
      <w:pPr>
        <w:pStyle w:val="84"/>
        <w:spacing w:line="360" w:lineRule="auto"/>
        <w:ind w:firstLine="600"/>
        <w:rPr>
          <w:rStyle w:val="86"/>
          <w:rFonts w:hint="eastAsia" w:ascii="宋体" w:hAnsi="宋体"/>
          <w:highlight w:val="none"/>
        </w:rPr>
      </w:pPr>
      <w:r>
        <w:rPr>
          <w:rStyle w:val="86"/>
          <w:rFonts w:hint="eastAsia" w:ascii="宋体" w:hAnsi="宋体"/>
          <w:highlight w:val="none"/>
        </w:rPr>
        <w:t>（7） 价格清单；</w:t>
      </w:r>
    </w:p>
    <w:p w14:paraId="28CAAC15">
      <w:pPr>
        <w:pStyle w:val="84"/>
        <w:spacing w:line="360" w:lineRule="auto"/>
        <w:ind w:firstLine="600"/>
        <w:rPr>
          <w:rStyle w:val="86"/>
          <w:rFonts w:hint="eastAsia" w:ascii="宋体" w:hAnsi="宋体"/>
          <w:highlight w:val="none"/>
        </w:rPr>
      </w:pPr>
      <w:r>
        <w:rPr>
          <w:rStyle w:val="86"/>
          <w:rFonts w:hint="eastAsia" w:ascii="宋体" w:hAnsi="宋体"/>
          <w:highlight w:val="none"/>
        </w:rPr>
        <w:t>（8） 双方约定的其他合同文件。</w:t>
      </w:r>
    </w:p>
    <w:p w14:paraId="5A4727A9">
      <w:pPr>
        <w:pStyle w:val="84"/>
        <w:spacing w:line="360" w:lineRule="auto"/>
        <w:ind w:firstLine="600"/>
        <w:rPr>
          <w:rStyle w:val="86"/>
          <w:rFonts w:hint="eastAsia" w:ascii="宋体" w:hAnsi="宋体"/>
          <w:highlight w:val="none"/>
        </w:rPr>
      </w:pPr>
      <w:r>
        <w:rPr>
          <w:rStyle w:val="86"/>
          <w:rFonts w:hint="eastAsia" w:ascii="宋体" w:hAnsi="宋体"/>
          <w:highlight w:val="none"/>
        </w:rPr>
        <w:t>上述各项合同文件包括合同当事人就该项合同文件所作出的补充和修改，属于同一类内容的文件，应以最新签署的为准。</w:t>
      </w:r>
    </w:p>
    <w:p w14:paraId="597BE7AA">
      <w:pPr>
        <w:pStyle w:val="84"/>
        <w:spacing w:line="360" w:lineRule="auto"/>
        <w:ind w:firstLine="600"/>
        <w:rPr>
          <w:rStyle w:val="86"/>
          <w:rFonts w:hint="eastAsia" w:ascii="宋体" w:hAnsi="宋体"/>
          <w:highlight w:val="none"/>
        </w:rPr>
      </w:pPr>
      <w:r>
        <w:rPr>
          <w:rStyle w:val="86"/>
          <w:rFonts w:hint="eastAsia" w:ascii="宋体" w:hAnsi="宋体"/>
          <w:highlight w:val="none"/>
        </w:rPr>
        <w:t>在合同订立及履行过程中形成的与合同有关的文件均构成合同文件组成部分，并根据其性质确定优先解释顺序。</w:t>
      </w:r>
    </w:p>
    <w:p w14:paraId="0BE8A7F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1.6 文件的提供和照管</w:t>
      </w:r>
    </w:p>
    <w:p w14:paraId="65B9819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1.6.1 发包人文件的提供</w:t>
      </w:r>
    </w:p>
    <w:p w14:paraId="4D9B894B">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15B937A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1.6.2 承包人文件的提供</w:t>
      </w:r>
    </w:p>
    <w:p w14:paraId="13ADF926">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除专用合同条件另有约定外，承包人文件应包含下列内容，并用第1.2款[语言文字]约定的语言制作：</w:t>
      </w:r>
    </w:p>
    <w:p w14:paraId="611FBB97">
      <w:pPr>
        <w:pStyle w:val="84"/>
        <w:spacing w:line="360" w:lineRule="auto"/>
        <w:ind w:firstLine="600"/>
        <w:rPr>
          <w:rStyle w:val="86"/>
          <w:rFonts w:hint="eastAsia" w:ascii="宋体" w:hAnsi="宋体"/>
          <w:highlight w:val="none"/>
        </w:rPr>
      </w:pPr>
      <w:r>
        <w:rPr>
          <w:rStyle w:val="86"/>
          <w:rFonts w:hint="eastAsia" w:ascii="宋体" w:hAnsi="宋体"/>
          <w:highlight w:val="none"/>
        </w:rPr>
        <w:t>（1） 《发包人要求》中规定的相关文件；</w:t>
      </w:r>
    </w:p>
    <w:p w14:paraId="278031F3">
      <w:pPr>
        <w:pStyle w:val="84"/>
        <w:spacing w:line="360" w:lineRule="auto"/>
        <w:ind w:firstLine="600"/>
        <w:rPr>
          <w:rStyle w:val="86"/>
          <w:rFonts w:hint="eastAsia" w:ascii="宋体" w:hAnsi="宋体"/>
          <w:highlight w:val="none"/>
        </w:rPr>
      </w:pPr>
      <w:r>
        <w:rPr>
          <w:rStyle w:val="86"/>
          <w:rFonts w:hint="eastAsia" w:ascii="宋体" w:hAnsi="宋体"/>
          <w:highlight w:val="none"/>
        </w:rPr>
        <w:t>（2） 满足工程相关行政审批手续所必须的应由承包人负责的相关文件；</w:t>
      </w:r>
    </w:p>
    <w:p w14:paraId="10BD36C1">
      <w:pPr>
        <w:pStyle w:val="84"/>
        <w:spacing w:line="360" w:lineRule="auto"/>
        <w:ind w:firstLine="600"/>
        <w:rPr>
          <w:rStyle w:val="86"/>
          <w:rFonts w:hint="eastAsia" w:ascii="宋体" w:hAnsi="宋体"/>
          <w:highlight w:val="none"/>
        </w:rPr>
      </w:pPr>
      <w:r>
        <w:rPr>
          <w:rStyle w:val="86"/>
          <w:rFonts w:hint="eastAsia" w:ascii="宋体" w:hAnsi="宋体"/>
          <w:highlight w:val="none"/>
        </w:rPr>
        <w:t>（3） 第5.4款[竣工文件]与第5.5款[操作和维修手册]中要求的相关文件。</w:t>
      </w:r>
    </w:p>
    <w:p w14:paraId="7155F77A">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590357E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1.6.3 文件错误的通知</w:t>
      </w:r>
    </w:p>
    <w:p w14:paraId="6C7C3C05">
      <w:pPr>
        <w:pStyle w:val="84"/>
        <w:spacing w:line="360" w:lineRule="auto"/>
        <w:ind w:firstLine="600"/>
        <w:rPr>
          <w:rStyle w:val="86"/>
          <w:rFonts w:hint="eastAsia" w:ascii="宋体" w:hAnsi="宋体"/>
          <w:highlight w:val="none"/>
        </w:rPr>
      </w:pPr>
      <w:r>
        <w:rPr>
          <w:rStyle w:val="86"/>
          <w:rFonts w:hint="eastAsia" w:ascii="宋体" w:hAnsi="宋体"/>
          <w:highlight w:val="none"/>
        </w:rPr>
        <w:t>任何一方发现文件中存在明显的错误或疏忽，应及时通知另一方。</w:t>
      </w:r>
    </w:p>
    <w:p w14:paraId="743AB94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1.6.4 文件的照管</w:t>
      </w:r>
    </w:p>
    <w:p w14:paraId="37C1CF39">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3942BE0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1.7 联络</w:t>
      </w:r>
    </w:p>
    <w:p w14:paraId="2F3CA77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588BC71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1.7.2 发包人和承包人应在专用合同条件中约定各自的送达方式和收件地址。任何一方合同当事人指定的送达方式或收件地址发生变动的，应提前3天以书面形式通知对方。</w:t>
      </w:r>
    </w:p>
    <w:p w14:paraId="415C8B9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1.7.3 发包人和承包人应当及时签收另一方通过约定的送达方式送达至收件地址的来往文件。拒不签收的，由此增加的费用和（或）延误的工期由拒绝接收一方承担。</w:t>
      </w:r>
    </w:p>
    <w:p w14:paraId="70F82D7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02BBD74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1.8 严禁贿赂</w:t>
      </w:r>
    </w:p>
    <w:p w14:paraId="160DF294">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合同当事人不得以贿赂或变相贿赂的方式，谋取非法利益或损害对方权益。因一方合同当事人的贿赂造成对方损失的，应赔偿损失，并承担相应的法律责任。</w:t>
      </w:r>
    </w:p>
    <w:p w14:paraId="3304B8BB">
      <w:pPr>
        <w:pStyle w:val="84"/>
        <w:spacing w:line="360" w:lineRule="auto"/>
        <w:ind w:firstLine="600"/>
        <w:rPr>
          <w:rStyle w:val="86"/>
          <w:rFonts w:hint="eastAsia" w:ascii="宋体" w:hAnsi="宋体"/>
          <w:highlight w:val="none"/>
        </w:rPr>
      </w:pPr>
      <w:r>
        <w:rPr>
          <w:rStyle w:val="86"/>
          <w:rFonts w:hint="eastAsia" w:ascii="宋体" w:hAnsi="宋体"/>
          <w:highlight w:val="none"/>
        </w:rPr>
        <w:t>承包人不得与工程师或发包人聘请的第三方串通损害发包人利益。未经发包人书面同意，承包人不得为工程师提供合同约定以外的通讯设备、交通工具及其他任何形式的利益，不得向工程师支付报酬。</w:t>
      </w:r>
    </w:p>
    <w:p w14:paraId="55ADECF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1.9 化石、文物</w:t>
      </w:r>
    </w:p>
    <w:p w14:paraId="67187439">
      <w:pPr>
        <w:pStyle w:val="84"/>
        <w:spacing w:line="360" w:lineRule="auto"/>
        <w:ind w:firstLine="600"/>
        <w:rPr>
          <w:rStyle w:val="86"/>
          <w:rFonts w:hint="eastAsia" w:ascii="宋体" w:hAnsi="宋体"/>
          <w:highlight w:val="none"/>
        </w:rPr>
      </w:pPr>
      <w:r>
        <w:rPr>
          <w:rStyle w:val="86"/>
          <w:rFonts w:hint="eastAsia" w:ascii="宋体" w:hAnsi="宋体"/>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0F8A8F6D">
      <w:pPr>
        <w:pStyle w:val="84"/>
        <w:spacing w:line="360" w:lineRule="auto"/>
        <w:ind w:firstLine="600"/>
        <w:rPr>
          <w:rStyle w:val="86"/>
          <w:rFonts w:hint="eastAsia" w:ascii="宋体" w:hAnsi="宋体"/>
          <w:highlight w:val="none"/>
        </w:rPr>
      </w:pPr>
      <w:r>
        <w:rPr>
          <w:rStyle w:val="86"/>
          <w:rFonts w:hint="eastAsia" w:ascii="宋体" w:hAnsi="宋体"/>
          <w:highlight w:val="none"/>
        </w:rPr>
        <w:t>发包人、工程师和承包人应按有关政府行政管理部门要求采取妥善的保护措施，由此增加的费用和（或）延误的工期由发包人承担。</w:t>
      </w:r>
    </w:p>
    <w:p w14:paraId="636E8CFC">
      <w:pPr>
        <w:pStyle w:val="84"/>
        <w:spacing w:line="360" w:lineRule="auto"/>
        <w:ind w:firstLine="600"/>
        <w:rPr>
          <w:rStyle w:val="86"/>
          <w:rFonts w:hint="eastAsia" w:ascii="宋体" w:hAnsi="宋体"/>
          <w:highlight w:val="none"/>
        </w:rPr>
      </w:pPr>
      <w:r>
        <w:rPr>
          <w:rStyle w:val="86"/>
          <w:rFonts w:hint="eastAsia" w:ascii="宋体" w:hAnsi="宋体"/>
          <w:highlight w:val="none"/>
        </w:rPr>
        <w:t>承包人发现文物后不及时报告或隐瞒不报，致使文物丢失或损坏的，应赔偿损失，并承担相应的法律责任。</w:t>
      </w:r>
    </w:p>
    <w:p w14:paraId="5DB2781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1.10 知识产权 </w:t>
      </w:r>
    </w:p>
    <w:p w14:paraId="1E73C83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45299B7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40FD8F7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737E3DD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1.10.4 除专用合同条件另有约定外，承包人在投标文件中采用的专利、专有技术、商业软件、技术秘密的使用费已包含在签约合同价中。</w:t>
      </w:r>
    </w:p>
    <w:p w14:paraId="3DB4A4A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70B7646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1.11 保密</w:t>
      </w:r>
    </w:p>
    <w:p w14:paraId="343E8242">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合同当事人一方对在订立和履行合同过程中知悉的另一方的商业秘密、技术秘密，以及任何一方明确要求保密的其它信息，负有保密责任。</w:t>
      </w:r>
    </w:p>
    <w:p w14:paraId="46AED1D1">
      <w:pPr>
        <w:pStyle w:val="84"/>
        <w:spacing w:line="360" w:lineRule="auto"/>
        <w:ind w:firstLine="600"/>
        <w:rPr>
          <w:rStyle w:val="86"/>
          <w:rFonts w:hint="eastAsia" w:ascii="宋体" w:hAnsi="宋体"/>
          <w:highlight w:val="none"/>
        </w:rPr>
      </w:pPr>
      <w:r>
        <w:rPr>
          <w:rStyle w:val="86"/>
          <w:rFonts w:hint="eastAsia" w:ascii="宋体" w:hAnsi="宋体"/>
          <w:highlight w:val="none"/>
        </w:rPr>
        <w:t>除法律规定或合同另有约定外，未经对方同意，任何一方当事人不得将对方提供的文件、技术秘密以及声明需要保密的资料信息等商业秘密泄露给第三方或者用于本合同以外的目的。</w:t>
      </w:r>
    </w:p>
    <w:p w14:paraId="26823A32">
      <w:pPr>
        <w:pStyle w:val="84"/>
        <w:spacing w:line="360" w:lineRule="auto"/>
        <w:ind w:firstLine="600"/>
        <w:rPr>
          <w:rStyle w:val="86"/>
          <w:rFonts w:hint="eastAsia" w:ascii="宋体" w:hAnsi="宋体"/>
          <w:highlight w:val="none"/>
        </w:rPr>
      </w:pPr>
      <w:r>
        <w:rPr>
          <w:rStyle w:val="86"/>
          <w:rFonts w:hint="eastAsia" w:ascii="宋体" w:hAnsi="宋体"/>
          <w:highlight w:val="none"/>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22F98CD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1.12 《发包人要求》和基础资料中的错误</w:t>
      </w:r>
    </w:p>
    <w:p w14:paraId="2DB0DCFB">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承包人应尽早认真阅读、复核《发包人要求》以及其提供的基础资料，发现错误的，应及时书面通知发包人补正。发包人作相应修改的，按照第13条[变更与调整]的约定处理。</w:t>
      </w:r>
    </w:p>
    <w:p w14:paraId="709DE130">
      <w:pPr>
        <w:pStyle w:val="84"/>
        <w:spacing w:line="360" w:lineRule="auto"/>
        <w:ind w:firstLine="600"/>
        <w:rPr>
          <w:rStyle w:val="86"/>
          <w:rFonts w:hint="eastAsia" w:ascii="宋体" w:hAnsi="宋体"/>
          <w:highlight w:val="none"/>
        </w:rPr>
      </w:pPr>
      <w:r>
        <w:rPr>
          <w:rStyle w:val="86"/>
          <w:rFonts w:hint="eastAsia" w:ascii="宋体" w:hAnsi="宋体"/>
          <w:highlight w:val="none"/>
        </w:rPr>
        <w:t>《发包人要求》或其提供的基础资料中的错误导致承包人增加费用和（或）工期延误的，发包人应承担由此增加的费用和（或）工期延误，并向承包人支付合理利润。</w:t>
      </w:r>
    </w:p>
    <w:p w14:paraId="42CBB9C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1.13 责任限制</w:t>
      </w:r>
    </w:p>
    <w:p w14:paraId="3BB851D6">
      <w:pPr>
        <w:pStyle w:val="84"/>
        <w:spacing w:line="360" w:lineRule="auto"/>
        <w:ind w:firstLine="600"/>
        <w:rPr>
          <w:rStyle w:val="86"/>
          <w:rFonts w:hint="eastAsia" w:ascii="宋体" w:hAnsi="宋体"/>
          <w:highlight w:val="none"/>
        </w:rPr>
      </w:pPr>
      <w:r>
        <w:rPr>
          <w:rStyle w:val="86"/>
          <w:rFonts w:hint="eastAsia" w:ascii="宋体" w:hAnsi="宋体"/>
          <w:highlight w:val="none"/>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5C60C1F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1.14 建筑信息模型技术的应用</w:t>
      </w:r>
    </w:p>
    <w:p w14:paraId="6D77CD2D">
      <w:pPr>
        <w:pStyle w:val="84"/>
        <w:spacing w:line="360" w:lineRule="auto"/>
        <w:ind w:firstLine="600"/>
        <w:rPr>
          <w:rStyle w:val="86"/>
          <w:rFonts w:hint="eastAsia" w:ascii="宋体" w:hAnsi="宋体"/>
          <w:highlight w:val="none"/>
        </w:rPr>
      </w:pPr>
      <w:r>
        <w:rPr>
          <w:rStyle w:val="86"/>
          <w:rFonts w:hint="eastAsia" w:ascii="宋体" w:hAnsi="宋体"/>
          <w:highlight w: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18543E3A">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第2条 发包人</w:t>
      </w:r>
    </w:p>
    <w:p w14:paraId="60383F01">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2.1 遵守法律</w:t>
      </w:r>
    </w:p>
    <w:p w14:paraId="31D474B2">
      <w:pPr>
        <w:pStyle w:val="84"/>
        <w:spacing w:line="360" w:lineRule="auto"/>
        <w:ind w:firstLine="600"/>
        <w:rPr>
          <w:rStyle w:val="86"/>
          <w:rFonts w:hint="eastAsia" w:ascii="宋体" w:hAnsi="宋体"/>
          <w:highlight w:val="none"/>
        </w:rPr>
      </w:pPr>
      <w:r>
        <w:rPr>
          <w:rStyle w:val="86"/>
          <w:rFonts w:hint="eastAsia" w:ascii="宋体" w:hAnsi="宋体"/>
          <w:highlight w:val="none"/>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00B8AEB3">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2.2 提供施工现场和工作条件</w:t>
      </w:r>
    </w:p>
    <w:p w14:paraId="10BCDDC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2.2.1 提供施工现场</w:t>
      </w:r>
    </w:p>
    <w:p w14:paraId="0FDA6219">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40BBCFF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2.2.2 提供工作条件</w:t>
      </w:r>
    </w:p>
    <w:p w14:paraId="79ECCC37">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发包人应按专用合同条件约定向承包人提供工作条件。专用合同条件对此没有约定的，发包人应负责提供开展本合同相关工作所需要的条件，包括：</w:t>
      </w:r>
    </w:p>
    <w:p w14:paraId="379B8B81">
      <w:pPr>
        <w:pStyle w:val="84"/>
        <w:spacing w:line="360" w:lineRule="auto"/>
        <w:ind w:firstLine="600"/>
        <w:rPr>
          <w:rStyle w:val="86"/>
          <w:rFonts w:hint="eastAsia" w:ascii="宋体" w:hAnsi="宋体"/>
          <w:highlight w:val="none"/>
        </w:rPr>
      </w:pPr>
      <w:r>
        <w:rPr>
          <w:rStyle w:val="86"/>
          <w:rFonts w:hint="eastAsia" w:ascii="宋体" w:hAnsi="宋体"/>
          <w:highlight w:val="none"/>
        </w:rPr>
        <w:t>（1） 将施工用水、电力、通讯线路等施工所必需的条件接至施工现场内；</w:t>
      </w:r>
    </w:p>
    <w:p w14:paraId="31C3A9FA">
      <w:pPr>
        <w:pStyle w:val="84"/>
        <w:spacing w:line="360" w:lineRule="auto"/>
        <w:ind w:firstLine="600"/>
        <w:rPr>
          <w:rStyle w:val="86"/>
          <w:rFonts w:hint="eastAsia" w:ascii="宋体" w:hAnsi="宋体"/>
          <w:highlight w:val="none"/>
        </w:rPr>
      </w:pPr>
      <w:r>
        <w:rPr>
          <w:rStyle w:val="86"/>
          <w:rFonts w:hint="eastAsia" w:ascii="宋体" w:hAnsi="宋体"/>
          <w:highlight w:val="none"/>
        </w:rPr>
        <w:t>（2） 保证向承包人提供正常施工所需要的进入施工现场的交通条件；</w:t>
      </w:r>
    </w:p>
    <w:p w14:paraId="6E590281">
      <w:pPr>
        <w:pStyle w:val="84"/>
        <w:spacing w:line="360" w:lineRule="auto"/>
        <w:ind w:firstLine="600"/>
        <w:rPr>
          <w:rStyle w:val="86"/>
          <w:rFonts w:hint="eastAsia" w:ascii="宋体" w:hAnsi="宋体"/>
          <w:highlight w:val="none"/>
        </w:rPr>
      </w:pPr>
      <w:r>
        <w:rPr>
          <w:rStyle w:val="86"/>
          <w:rFonts w:hint="eastAsia" w:ascii="宋体" w:hAnsi="宋体"/>
          <w:highlight w:val="none"/>
        </w:rPr>
        <w:t>（3） 协调处理施工现场周围地下管线和邻近建筑物、构筑物、古树名木、文物、化石及坟墓等的保护工作，并承担相关费用；</w:t>
      </w:r>
    </w:p>
    <w:p w14:paraId="68B49DB0">
      <w:pPr>
        <w:pStyle w:val="84"/>
        <w:spacing w:line="360" w:lineRule="auto"/>
        <w:ind w:firstLine="600"/>
        <w:rPr>
          <w:rStyle w:val="86"/>
          <w:rFonts w:hint="eastAsia" w:ascii="宋体" w:hAnsi="宋体"/>
          <w:highlight w:val="none"/>
        </w:rPr>
      </w:pPr>
      <w:r>
        <w:rPr>
          <w:rStyle w:val="86"/>
          <w:rFonts w:hint="eastAsia" w:ascii="宋体" w:hAnsi="宋体"/>
          <w:highlight w:val="none"/>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468D8B64">
      <w:pPr>
        <w:pStyle w:val="84"/>
        <w:spacing w:line="360" w:lineRule="auto"/>
        <w:ind w:firstLine="600"/>
        <w:rPr>
          <w:rStyle w:val="86"/>
          <w:rFonts w:hint="eastAsia" w:ascii="宋体" w:hAnsi="宋体"/>
          <w:highlight w:val="none"/>
        </w:rPr>
      </w:pPr>
      <w:r>
        <w:rPr>
          <w:rStyle w:val="86"/>
          <w:rFonts w:hint="eastAsia" w:ascii="宋体" w:hAnsi="宋体"/>
          <w:highlight w:val="none"/>
        </w:rPr>
        <w:t>（5） 按照专用合同条件约定应提供的其他设施和条件。</w:t>
      </w:r>
    </w:p>
    <w:p w14:paraId="656AA93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2.2.3 逾期提供的责任</w:t>
      </w:r>
    </w:p>
    <w:p w14:paraId="04F55B17">
      <w:pPr>
        <w:pStyle w:val="84"/>
        <w:spacing w:line="360" w:lineRule="auto"/>
        <w:ind w:firstLine="600"/>
        <w:rPr>
          <w:rStyle w:val="86"/>
          <w:rFonts w:hint="eastAsia" w:ascii="宋体" w:hAnsi="宋体"/>
          <w:highlight w:val="none"/>
        </w:rPr>
      </w:pPr>
      <w:r>
        <w:rPr>
          <w:rStyle w:val="86"/>
          <w:rFonts w:hint="eastAsia" w:ascii="宋体" w:hAnsi="宋体"/>
          <w:highlight w:val="none"/>
        </w:rPr>
        <w:t>因发包人原因未能按合同约定及时向承包人提供施工现场和施工条件的，由发包人承担由此增加的费用和（或）延误的工期。</w:t>
      </w:r>
    </w:p>
    <w:p w14:paraId="09020A7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2.3 提供基础资料</w:t>
      </w:r>
    </w:p>
    <w:p w14:paraId="0D0A508C">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0F8DA0B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2.4 办理许可和批准</w:t>
      </w:r>
    </w:p>
    <w:p w14:paraId="25EEF78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0D5493B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2.4.2 因发包人原因未能及时办理完毕前述许可、批准或备案，由发包人承担由此增加的费用和（或）延误的工期，并支付承包人合理的利润。</w:t>
      </w:r>
    </w:p>
    <w:p w14:paraId="2A0C5B8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2.5 支付合同价款</w:t>
      </w:r>
    </w:p>
    <w:p w14:paraId="231C2DE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2.5.1 发包人应按合同约定向承包人及时支付合同价款。</w:t>
      </w:r>
    </w:p>
    <w:p w14:paraId="0D20D53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226B717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2.5.3 发包人应当向承包人提供支付担保。支付担保可以采用银行保函或担保公司担保等形式，具体由合同当事人在专用合同条件中约定。</w:t>
      </w:r>
    </w:p>
    <w:p w14:paraId="1CE179F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2.6 现场管理配合</w:t>
      </w:r>
    </w:p>
    <w:p w14:paraId="6151DD90">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发包人应负责保证在现场或现场附近的发包人人员和发包人的其他承包人（如有）：</w:t>
      </w:r>
    </w:p>
    <w:p w14:paraId="72DFA3CB">
      <w:pPr>
        <w:pStyle w:val="84"/>
        <w:spacing w:line="360" w:lineRule="auto"/>
        <w:ind w:firstLine="600"/>
        <w:rPr>
          <w:rStyle w:val="86"/>
          <w:rFonts w:hint="eastAsia" w:ascii="宋体" w:hAnsi="宋体"/>
          <w:highlight w:val="none"/>
        </w:rPr>
      </w:pPr>
      <w:r>
        <w:rPr>
          <w:rStyle w:val="86"/>
          <w:rFonts w:hint="eastAsia" w:ascii="宋体" w:hAnsi="宋体"/>
          <w:highlight w:val="none"/>
        </w:rPr>
        <w:t>（1） 根据第7.3款[现场合作]的约定，与承包人进行合作；</w:t>
      </w:r>
    </w:p>
    <w:p w14:paraId="12B6D5CF">
      <w:pPr>
        <w:pStyle w:val="84"/>
        <w:spacing w:line="360" w:lineRule="auto"/>
        <w:ind w:firstLine="600"/>
        <w:rPr>
          <w:rStyle w:val="86"/>
          <w:rFonts w:hint="eastAsia" w:ascii="宋体" w:hAnsi="宋体"/>
          <w:highlight w:val="none"/>
        </w:rPr>
      </w:pPr>
      <w:r>
        <w:rPr>
          <w:rStyle w:val="86"/>
          <w:rFonts w:hint="eastAsia" w:ascii="宋体" w:hAnsi="宋体"/>
          <w:highlight w:val="none"/>
        </w:rPr>
        <w:t>（2） 遵守第7.5款[现场劳动用工]、第7.6款[安全文明施工]、第7.7款[职业健康]和第7.8款[环境保护]的相关约定。</w:t>
      </w:r>
    </w:p>
    <w:p w14:paraId="45DE4EE8">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发包人应与承包人、由发包人直接发包的其他承包人（如有）订立施工现场统一管理协议，明确各方的权利义务。</w:t>
      </w:r>
    </w:p>
    <w:p w14:paraId="4F00DD1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2.7 其他义务</w:t>
      </w:r>
    </w:p>
    <w:p w14:paraId="083D85BD">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发包人应履行合同约定的其他义务，双方可在专用合同条件内对发包人应履行的其他义务进行补充约定。</w:t>
      </w:r>
    </w:p>
    <w:p w14:paraId="2FC50F8C">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第3条 发包人的管理</w:t>
      </w:r>
    </w:p>
    <w:p w14:paraId="04E1E75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3.1 发包人代表</w:t>
      </w:r>
    </w:p>
    <w:p w14:paraId="7118B62E">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5CC63E51">
      <w:pPr>
        <w:pStyle w:val="84"/>
        <w:spacing w:line="360" w:lineRule="auto"/>
        <w:ind w:firstLine="600"/>
        <w:rPr>
          <w:rStyle w:val="86"/>
          <w:rFonts w:hint="eastAsia" w:ascii="宋体" w:hAnsi="宋体"/>
          <w:highlight w:val="none"/>
        </w:rPr>
      </w:pPr>
      <w:r>
        <w:rPr>
          <w:rStyle w:val="86"/>
          <w:rFonts w:hint="eastAsia" w:ascii="宋体" w:hAnsi="宋体"/>
          <w:highlight w:val="none"/>
        </w:rPr>
        <w:t>除非发包人另行通知承包人，发包人代表应被授予并且被认为具有发包人在授权范围内享有的相应权利，涉及第16.1款[由发包人解除合同]的权利除外。</w:t>
      </w:r>
    </w:p>
    <w:p w14:paraId="58FAEE7A">
      <w:pPr>
        <w:pStyle w:val="84"/>
        <w:spacing w:line="360" w:lineRule="auto"/>
        <w:ind w:firstLine="600"/>
        <w:rPr>
          <w:rStyle w:val="86"/>
          <w:rFonts w:hint="eastAsia" w:ascii="宋体" w:hAnsi="宋体"/>
          <w:highlight w:val="none"/>
        </w:rPr>
      </w:pPr>
      <w:r>
        <w:rPr>
          <w:rStyle w:val="86"/>
          <w:rFonts w:hint="eastAsia" w:ascii="宋体" w:hAnsi="宋体"/>
          <w:highlight w:val="none"/>
        </w:rPr>
        <w:t>发包人代表（或者在其为法人的情况下，被任命代表其行事的自然人）应：</w:t>
      </w:r>
    </w:p>
    <w:p w14:paraId="68AABA96">
      <w:pPr>
        <w:pStyle w:val="84"/>
        <w:spacing w:line="360" w:lineRule="auto"/>
        <w:ind w:firstLine="600"/>
        <w:rPr>
          <w:rStyle w:val="86"/>
          <w:rFonts w:hint="eastAsia" w:ascii="宋体" w:hAnsi="宋体"/>
          <w:highlight w:val="none"/>
        </w:rPr>
      </w:pPr>
      <w:r>
        <w:rPr>
          <w:rStyle w:val="86"/>
          <w:rFonts w:hint="eastAsia" w:ascii="宋体" w:hAnsi="宋体"/>
          <w:highlight w:val="none"/>
        </w:rPr>
        <w:t>（1） 履行指派给其的职责，行使发包人托付给的权利；</w:t>
      </w:r>
    </w:p>
    <w:p w14:paraId="450BA66C">
      <w:pPr>
        <w:pStyle w:val="84"/>
        <w:spacing w:line="360" w:lineRule="auto"/>
        <w:ind w:firstLine="600"/>
        <w:rPr>
          <w:rStyle w:val="86"/>
          <w:rFonts w:hint="eastAsia" w:ascii="宋体" w:hAnsi="宋体"/>
          <w:highlight w:val="none"/>
        </w:rPr>
      </w:pPr>
      <w:r>
        <w:rPr>
          <w:rStyle w:val="86"/>
          <w:rFonts w:hint="eastAsia" w:ascii="宋体" w:hAnsi="宋体"/>
          <w:highlight w:val="none"/>
        </w:rPr>
        <w:t>（2） 具备履行这些职责、行使这些权利的能力；</w:t>
      </w:r>
    </w:p>
    <w:p w14:paraId="7FCE419E">
      <w:pPr>
        <w:pStyle w:val="84"/>
        <w:spacing w:line="360" w:lineRule="auto"/>
        <w:ind w:firstLine="600"/>
        <w:rPr>
          <w:rStyle w:val="86"/>
          <w:rFonts w:hint="eastAsia" w:ascii="宋体" w:hAnsi="宋体"/>
          <w:highlight w:val="none"/>
        </w:rPr>
      </w:pPr>
      <w:r>
        <w:rPr>
          <w:rStyle w:val="86"/>
          <w:rFonts w:hint="eastAsia" w:ascii="宋体" w:hAnsi="宋体"/>
          <w:highlight w:val="none"/>
        </w:rPr>
        <w:t>（3） 作为熟练的专业人员行事。</w:t>
      </w:r>
    </w:p>
    <w:p w14:paraId="7EEFB2F3">
      <w:pPr>
        <w:pStyle w:val="84"/>
        <w:spacing w:line="360" w:lineRule="auto"/>
        <w:ind w:firstLine="600"/>
        <w:rPr>
          <w:rStyle w:val="86"/>
          <w:rFonts w:hint="eastAsia" w:ascii="宋体" w:hAnsi="宋体"/>
          <w:highlight w:val="none"/>
        </w:rPr>
      </w:pPr>
      <w:r>
        <w:rPr>
          <w:rStyle w:val="86"/>
          <w:rFonts w:hint="eastAsia" w:ascii="宋体" w:hAnsi="宋体"/>
          <w:highlight w:val="none"/>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064D47F6">
      <w:pPr>
        <w:pStyle w:val="84"/>
        <w:spacing w:line="360" w:lineRule="auto"/>
        <w:ind w:firstLine="600"/>
        <w:rPr>
          <w:rStyle w:val="86"/>
          <w:rFonts w:hint="eastAsia" w:ascii="宋体" w:hAnsi="宋体"/>
          <w:highlight w:val="none"/>
        </w:rPr>
      </w:pPr>
      <w:r>
        <w:rPr>
          <w:rStyle w:val="86"/>
          <w:rFonts w:hint="eastAsia" w:ascii="宋体" w:hAnsi="宋体"/>
          <w:highlight w:val="none"/>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7740E49F">
      <w:pPr>
        <w:pStyle w:val="84"/>
        <w:spacing w:line="360" w:lineRule="auto"/>
        <w:ind w:firstLine="600"/>
        <w:rPr>
          <w:rStyle w:val="86"/>
          <w:rFonts w:hint="eastAsia" w:ascii="宋体" w:hAnsi="宋体"/>
          <w:highlight w:val="none"/>
        </w:rPr>
      </w:pPr>
      <w:r>
        <w:rPr>
          <w:rStyle w:val="86"/>
          <w:rFonts w:hint="eastAsia" w:ascii="宋体" w:hAnsi="宋体"/>
          <w:highlight w:val="none"/>
        </w:rPr>
        <w:t>发包人代表不能按照合同约定履行其职责及义务，并导致合同无法继续正常履行的，承包人可以要求发包人撤换发包人代表。</w:t>
      </w:r>
    </w:p>
    <w:p w14:paraId="3C8783D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3.2 发包人人员</w:t>
      </w:r>
    </w:p>
    <w:p w14:paraId="0098B467">
      <w:pPr>
        <w:pStyle w:val="84"/>
        <w:spacing w:line="360" w:lineRule="auto"/>
        <w:ind w:firstLine="600"/>
        <w:rPr>
          <w:rStyle w:val="86"/>
          <w:rFonts w:hint="eastAsia" w:ascii="宋体" w:hAnsi="宋体"/>
          <w:highlight w:val="none"/>
        </w:rPr>
      </w:pPr>
      <w:r>
        <w:rPr>
          <w:rStyle w:val="86"/>
          <w:rFonts w:hint="eastAsia" w:ascii="宋体" w:hAnsi="宋体"/>
          <w:highlight w:val="none"/>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6E07444A">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发包人应要求在施工现场的发包人人员遵守法律及有关安全、质量、环境保护、文明施工等规定，因发包人人员未遵守上述要求给承包人造成的损失和责任由发包人承担。</w:t>
      </w:r>
    </w:p>
    <w:p w14:paraId="5673894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3.3 工程师 </w:t>
      </w:r>
    </w:p>
    <w:p w14:paraId="28CE09F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7CF5E1E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6A450C3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7AC85F0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3F9E70B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3.4 任命和授权</w:t>
      </w:r>
    </w:p>
    <w:p w14:paraId="5B59E36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03041FF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49359E3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3.5 指示</w:t>
      </w:r>
    </w:p>
    <w:p w14:paraId="59DC4BA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56B7D65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3.5.2 承包人收到工程师作出的指示后应遵照执行。如果任何此类指示构成一项变更时，应按照第13条[变更与调整]的约定办理。</w:t>
      </w:r>
    </w:p>
    <w:p w14:paraId="5472DB2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3.5.3 由于工程师未能按合同约定发出指示、指示延误或指示错误而导致承包人费用增加和（或）工期延误的，发包人应承担由此增加的费用和（或）工期延误，并向承包人支付合理利润。</w:t>
      </w:r>
    </w:p>
    <w:p w14:paraId="3F3D44D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3.6 商定或确定</w:t>
      </w:r>
    </w:p>
    <w:p w14:paraId="1E9DC68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3.6.1 合同约定工程师应按照本款对任何事项进行商定或确定时，工程师应及时与合同当事人协商，尽量达成一致。工程师应将商定的结果以书面形式通知发包人和承包人，并由双方签署确认。</w:t>
      </w:r>
    </w:p>
    <w:p w14:paraId="2A06D66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033E819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38DD2C1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3.6.4 在该争议解决前，双方应暂按工程师的确定执行。按照第20条[争议解决]的约定对工程师的确定作出修改的，按修改后的结果执行，由此导致承包人增加的费用和延误的工期由责任方承担。</w:t>
      </w:r>
    </w:p>
    <w:p w14:paraId="7A7BFA4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3.7 会议</w:t>
      </w:r>
    </w:p>
    <w:p w14:paraId="46781E2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5613A7D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3.7.2 除专用合同条件另有约定外，发包人应保存每次会议参加人签名的记录，并将会议纪要提供给出席会议的人员。任何根据此类会议以及会议纪要采取的行动应符合本合同的约定。</w:t>
      </w:r>
    </w:p>
    <w:p w14:paraId="2CAFE8A1">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第4条 承包人</w:t>
      </w:r>
    </w:p>
    <w:p w14:paraId="22C558F6">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4.1 承包人的一般义务 </w:t>
      </w:r>
    </w:p>
    <w:p w14:paraId="733E4029">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除专用合同条件另有约定外，承包人在履行合同过程中应遵守法律和工程建设标准规范，并履行以下义务：</w:t>
      </w:r>
    </w:p>
    <w:p w14:paraId="1CF9147C">
      <w:pPr>
        <w:pStyle w:val="84"/>
        <w:spacing w:line="360" w:lineRule="auto"/>
        <w:ind w:firstLine="600"/>
        <w:rPr>
          <w:rStyle w:val="86"/>
          <w:rFonts w:hint="eastAsia" w:ascii="宋体" w:hAnsi="宋体"/>
          <w:highlight w:val="none"/>
        </w:rPr>
      </w:pPr>
      <w:r>
        <w:rPr>
          <w:rStyle w:val="86"/>
          <w:rFonts w:hint="eastAsia" w:ascii="宋体" w:hAnsi="宋体"/>
          <w:highlight w:val="none"/>
        </w:rPr>
        <w:t>（1） 办理法律规定和合同约定由承包人办理的许可和批准，将办理结果书面报送发包人留存，并承担因承包人违反法律或合同约定给发包人造成的任何费用和损失；</w:t>
      </w:r>
    </w:p>
    <w:p w14:paraId="12623AAD">
      <w:pPr>
        <w:pStyle w:val="84"/>
        <w:spacing w:line="360" w:lineRule="auto"/>
        <w:ind w:firstLine="600"/>
        <w:rPr>
          <w:rStyle w:val="86"/>
          <w:rFonts w:hint="eastAsia" w:ascii="宋体" w:hAnsi="宋体"/>
          <w:highlight w:val="none"/>
        </w:rPr>
      </w:pPr>
      <w:r>
        <w:rPr>
          <w:rStyle w:val="86"/>
          <w:rFonts w:hint="eastAsia" w:ascii="宋体" w:hAnsi="宋体"/>
          <w:highlight w:val="none"/>
        </w:rPr>
        <w:t>（2） 按合同约定完成全部工作并在缺陷责任期和保修期内承担缺陷保证责任和保修义务，对工作中的任何缺陷进行整改、完善和修补，使其满足合同约定的目的；</w:t>
      </w:r>
    </w:p>
    <w:p w14:paraId="68F747CC">
      <w:pPr>
        <w:pStyle w:val="84"/>
        <w:spacing w:line="360" w:lineRule="auto"/>
        <w:ind w:firstLine="600"/>
        <w:rPr>
          <w:rStyle w:val="86"/>
          <w:rFonts w:hint="eastAsia" w:ascii="宋体" w:hAnsi="宋体"/>
          <w:highlight w:val="none"/>
        </w:rPr>
      </w:pPr>
      <w:r>
        <w:rPr>
          <w:rStyle w:val="86"/>
          <w:rFonts w:hint="eastAsia" w:ascii="宋体" w:hAnsi="宋体"/>
          <w:highlight w:val="none"/>
        </w:rPr>
        <w:t>（3） 提供合同约定的工程设备和承包人文件，以及为完成合同工作所需的劳务、材料、施工设备和其他物品，并按合同约定负责临时设施的设计、施工、运行、维护、管理和拆除；</w:t>
      </w:r>
    </w:p>
    <w:p w14:paraId="10D2D353">
      <w:pPr>
        <w:pStyle w:val="84"/>
        <w:spacing w:line="360" w:lineRule="auto"/>
        <w:ind w:firstLine="600"/>
        <w:rPr>
          <w:rStyle w:val="86"/>
          <w:rFonts w:hint="eastAsia" w:ascii="宋体" w:hAnsi="宋体"/>
          <w:highlight w:val="none"/>
        </w:rPr>
      </w:pPr>
      <w:r>
        <w:rPr>
          <w:rStyle w:val="86"/>
          <w:rFonts w:hint="eastAsia" w:ascii="宋体" w:hAnsi="宋体"/>
          <w:highlight w:val="none"/>
        </w:rPr>
        <w:t>（4） 按合同约定的工作内容和进度要求，编制设计、施工的组织和实施计划，保证项目进度计划的实现，并对所有设计、施工作业和施工方法，以及全部工程的完备性和安全可靠性负责；</w:t>
      </w:r>
    </w:p>
    <w:p w14:paraId="6D3E6EF1">
      <w:pPr>
        <w:pStyle w:val="84"/>
        <w:spacing w:line="360" w:lineRule="auto"/>
        <w:ind w:firstLine="600"/>
        <w:rPr>
          <w:rStyle w:val="86"/>
          <w:rFonts w:hint="eastAsia" w:ascii="宋体" w:hAnsi="宋体"/>
          <w:highlight w:val="none"/>
        </w:rPr>
      </w:pPr>
      <w:r>
        <w:rPr>
          <w:rStyle w:val="86"/>
          <w:rFonts w:hint="eastAsia" w:ascii="宋体" w:hAnsi="宋体"/>
          <w:highlight w:val="none"/>
        </w:rPr>
        <w:t>（5） 按法律规定和合同约定采取安全文明施工、职业健康和环境保护措施，办理员工工伤保险等相关保险，确保工程及人员、材料、设备和设施的安全，防止因工程实施造成的人身伤害和财产损失；</w:t>
      </w:r>
    </w:p>
    <w:p w14:paraId="0E512C84">
      <w:pPr>
        <w:pStyle w:val="84"/>
        <w:spacing w:line="360" w:lineRule="auto"/>
        <w:ind w:firstLine="600"/>
        <w:rPr>
          <w:rStyle w:val="86"/>
          <w:rFonts w:hint="eastAsia" w:ascii="宋体" w:hAnsi="宋体"/>
          <w:highlight w:val="none"/>
        </w:rPr>
      </w:pPr>
      <w:r>
        <w:rPr>
          <w:rStyle w:val="86"/>
          <w:rFonts w:hint="eastAsia" w:ascii="宋体" w:hAnsi="宋体"/>
          <w:highlight w:val="none"/>
        </w:rPr>
        <w:t>（6） 将发包人按合同约定支付的各项价款专用于合同工程，且应及时支付其雇用人员（包括建筑工人）工资，并及时向分包人支付合同价款；</w:t>
      </w:r>
    </w:p>
    <w:p w14:paraId="56F90EA7">
      <w:pPr>
        <w:pStyle w:val="84"/>
        <w:spacing w:line="360" w:lineRule="auto"/>
        <w:ind w:firstLine="600"/>
        <w:rPr>
          <w:rStyle w:val="86"/>
          <w:rFonts w:hint="eastAsia" w:ascii="宋体" w:hAnsi="宋体"/>
          <w:highlight w:val="none"/>
        </w:rPr>
      </w:pPr>
      <w:r>
        <w:rPr>
          <w:rStyle w:val="86"/>
          <w:rFonts w:hint="eastAsia" w:ascii="宋体" w:hAnsi="宋体"/>
          <w:highlight w:val="none"/>
        </w:rPr>
        <w:t>（7） 在进行合同约定的各项工作时，不得侵害发包人与他人使用公用道路、水源、市政管网等公共设施的权利，避免对邻近的公共设施产生干扰。</w:t>
      </w:r>
    </w:p>
    <w:p w14:paraId="39BC6D7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4.2 履约担保</w:t>
      </w:r>
    </w:p>
    <w:p w14:paraId="1EFE7B4C">
      <w:pPr>
        <w:pStyle w:val="84"/>
        <w:spacing w:line="360" w:lineRule="auto"/>
        <w:ind w:firstLine="600"/>
        <w:rPr>
          <w:rStyle w:val="86"/>
          <w:rFonts w:hint="eastAsia" w:ascii="宋体" w:hAnsi="宋体"/>
          <w:highlight w:val="none"/>
        </w:rPr>
      </w:pPr>
      <w:r>
        <w:rPr>
          <w:rStyle w:val="86"/>
          <w:rFonts w:hint="eastAsia" w:ascii="宋体" w:hAnsi="宋体"/>
          <w:highlight w:val="none"/>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61FFEC97">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承包人应保证其履约担保在发包人竣工验收前一直有效，发包人应在竣工验收合格后7天内将履约担保款项退还给承包人或者解除履约担保。</w:t>
      </w:r>
    </w:p>
    <w:p w14:paraId="75915EC4">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因承包人原因导致工期延长的，继续提供履约担保所增加的费用由承包人承担；非因承包人原因导致工期延长的，继续提供履约担保所增加的费用由发包人承担。</w:t>
      </w:r>
    </w:p>
    <w:p w14:paraId="1DD7020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4.3 工程总承包项目经理</w:t>
      </w:r>
    </w:p>
    <w:p w14:paraId="56AB82E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4D245CC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35D5E3E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1705397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473FF2C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43AD43F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7F13C39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4.4 承包人人员</w:t>
      </w:r>
    </w:p>
    <w:p w14:paraId="5148669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4.4.1 人员安排</w:t>
      </w:r>
    </w:p>
    <w:p w14:paraId="6A47E7A7">
      <w:pPr>
        <w:pStyle w:val="84"/>
        <w:spacing w:line="360" w:lineRule="auto"/>
        <w:ind w:firstLine="600"/>
        <w:rPr>
          <w:rStyle w:val="86"/>
          <w:rFonts w:hint="eastAsia" w:ascii="宋体" w:hAnsi="宋体"/>
          <w:highlight w:val="none"/>
        </w:rPr>
      </w:pPr>
      <w:r>
        <w:rPr>
          <w:rStyle w:val="86"/>
          <w:rFonts w:hint="eastAsia" w:ascii="宋体" w:hAnsi="宋体"/>
          <w:highlight w:val="none"/>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05758F4E">
      <w:pPr>
        <w:pStyle w:val="84"/>
        <w:spacing w:line="360" w:lineRule="auto"/>
        <w:ind w:firstLine="600"/>
        <w:rPr>
          <w:rStyle w:val="86"/>
          <w:rFonts w:hint="eastAsia" w:ascii="宋体" w:hAnsi="宋体"/>
          <w:highlight w:val="none"/>
        </w:rPr>
      </w:pPr>
      <w:r>
        <w:rPr>
          <w:rStyle w:val="86"/>
          <w:rFonts w:hint="eastAsia" w:ascii="宋体" w:hAnsi="宋体"/>
          <w:highlight w:val="none"/>
        </w:rPr>
        <w:t>关键人员是发包人及承包人一致认为对工程建设起重要作用的承包人主要管理人员或技术人员。关键人员的具体范围由发包人及承包人在附件5[承包人主要管理人员表]中另行约定。</w:t>
      </w:r>
    </w:p>
    <w:p w14:paraId="039E33A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4.4.2 关键人员更换</w:t>
      </w:r>
    </w:p>
    <w:p w14:paraId="724331EA">
      <w:pPr>
        <w:pStyle w:val="84"/>
        <w:spacing w:line="360" w:lineRule="auto"/>
        <w:ind w:firstLine="600"/>
        <w:rPr>
          <w:rStyle w:val="86"/>
          <w:rFonts w:hint="eastAsia" w:ascii="宋体" w:hAnsi="宋体"/>
          <w:highlight w:val="none"/>
        </w:rPr>
      </w:pPr>
      <w:r>
        <w:rPr>
          <w:rStyle w:val="86"/>
          <w:rFonts w:hint="eastAsia" w:ascii="宋体" w:hAnsi="宋体"/>
          <w:highlight w:val="none"/>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4A810A65">
      <w:pPr>
        <w:pStyle w:val="84"/>
        <w:spacing w:line="360" w:lineRule="auto"/>
        <w:ind w:firstLine="600"/>
        <w:rPr>
          <w:rStyle w:val="86"/>
          <w:rFonts w:hint="eastAsia" w:ascii="宋体" w:hAnsi="宋体"/>
          <w:highlight w:val="none"/>
        </w:rPr>
      </w:pPr>
      <w:r>
        <w:rPr>
          <w:rStyle w:val="86"/>
          <w:rFonts w:hint="eastAsia" w:ascii="宋体" w:hAnsi="宋体"/>
          <w:highlight w: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3F1C766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4.4.3 现场管理关键人员在岗要求</w:t>
      </w:r>
    </w:p>
    <w:p w14:paraId="72601520">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07066083">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4.5 分包 </w:t>
      </w:r>
    </w:p>
    <w:p w14:paraId="1B1D09B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4.5.1 一般约定</w:t>
      </w:r>
    </w:p>
    <w:p w14:paraId="45421D5A">
      <w:pPr>
        <w:pStyle w:val="84"/>
        <w:spacing w:line="360" w:lineRule="auto"/>
        <w:ind w:firstLine="600"/>
        <w:rPr>
          <w:rStyle w:val="86"/>
          <w:rFonts w:hint="eastAsia" w:ascii="宋体" w:hAnsi="宋体"/>
          <w:highlight w:val="none"/>
        </w:rPr>
      </w:pPr>
      <w:r>
        <w:rPr>
          <w:rStyle w:val="86"/>
          <w:rFonts w:hint="eastAsia" w:ascii="宋体" w:hAnsi="宋体"/>
          <w:highlight w:val="none"/>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2520356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4.5.2 分包的确定</w:t>
      </w:r>
    </w:p>
    <w:p w14:paraId="631D1164">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承包人应按照专用合同条件约定对工作事项进行分包，确定分包人。</w:t>
      </w:r>
    </w:p>
    <w:p w14:paraId="1686847F">
      <w:pPr>
        <w:pStyle w:val="84"/>
        <w:spacing w:line="360" w:lineRule="auto"/>
        <w:ind w:firstLine="600"/>
        <w:rPr>
          <w:rStyle w:val="86"/>
          <w:rFonts w:hint="eastAsia" w:ascii="宋体" w:hAnsi="宋体"/>
          <w:highlight w:val="none"/>
        </w:rPr>
      </w:pPr>
      <w:r>
        <w:rPr>
          <w:rStyle w:val="86"/>
          <w:rFonts w:hint="eastAsia" w:ascii="宋体" w:hAnsi="宋体"/>
          <w:highlight w:val="none"/>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29C6B5C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4.5.3 分包人资质</w:t>
      </w:r>
    </w:p>
    <w:p w14:paraId="7101CE4A">
      <w:pPr>
        <w:pStyle w:val="84"/>
        <w:spacing w:line="360" w:lineRule="auto"/>
        <w:ind w:firstLine="600"/>
        <w:rPr>
          <w:rStyle w:val="86"/>
          <w:rFonts w:hint="eastAsia" w:ascii="宋体" w:hAnsi="宋体"/>
          <w:highlight w:val="none"/>
        </w:rPr>
      </w:pPr>
      <w:r>
        <w:rPr>
          <w:rStyle w:val="86"/>
          <w:rFonts w:hint="eastAsia" w:ascii="宋体" w:hAnsi="宋体"/>
          <w:highlight w:val="none"/>
        </w:rPr>
        <w:t>分包人应符合国家法律规定的资质等级，否则不能作为分包人。承包人有义务对分包人的资质进行审查。</w:t>
      </w:r>
    </w:p>
    <w:p w14:paraId="674F0C9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4.5.4 分包管理</w:t>
      </w:r>
    </w:p>
    <w:p w14:paraId="229077D7">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547F891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4.5.5 分包合同价款支付</w:t>
      </w:r>
    </w:p>
    <w:p w14:paraId="42AC8E18">
      <w:pPr>
        <w:pStyle w:val="84"/>
        <w:spacing w:line="360" w:lineRule="auto"/>
        <w:ind w:firstLine="600"/>
        <w:rPr>
          <w:rStyle w:val="86"/>
          <w:rFonts w:hint="eastAsia" w:ascii="宋体" w:hAnsi="宋体"/>
          <w:highlight w:val="none"/>
        </w:rPr>
      </w:pPr>
      <w:r>
        <w:rPr>
          <w:rStyle w:val="86"/>
          <w:rFonts w:hint="eastAsia" w:ascii="宋体" w:hAnsi="宋体"/>
          <w:highlight w:val="none"/>
        </w:rPr>
        <w:t>（1） 除本项第（2）目约定的情况或专用合同条件另有约定外，分包合同价款由承包人与分包人结算，未经承包人同意，发包人不得向分包人支付分包合同价款；</w:t>
      </w:r>
    </w:p>
    <w:p w14:paraId="68DC5BC3">
      <w:pPr>
        <w:pStyle w:val="84"/>
        <w:spacing w:line="360" w:lineRule="auto"/>
        <w:ind w:firstLine="600"/>
        <w:rPr>
          <w:rStyle w:val="86"/>
          <w:rFonts w:hint="eastAsia" w:ascii="宋体" w:hAnsi="宋体"/>
          <w:highlight w:val="none"/>
        </w:rPr>
      </w:pPr>
      <w:r>
        <w:rPr>
          <w:rStyle w:val="86"/>
          <w:rFonts w:hint="eastAsia" w:ascii="宋体" w:hAnsi="宋体"/>
          <w:highlight w:val="none"/>
        </w:rPr>
        <w:t>（2） 生效法律文书要求发包人向分包人支付分包合同价款的，发包人有权从应付承包人工程款中扣除该部分款项，将扣款直接支付给分包人，并书面通知承包人。</w:t>
      </w:r>
    </w:p>
    <w:p w14:paraId="3EC2D14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4.5.6 责任承担</w:t>
      </w:r>
    </w:p>
    <w:p w14:paraId="2C689F65">
      <w:pPr>
        <w:pStyle w:val="84"/>
        <w:spacing w:line="360" w:lineRule="auto"/>
        <w:ind w:firstLine="600"/>
        <w:rPr>
          <w:rStyle w:val="86"/>
          <w:rFonts w:hint="eastAsia" w:ascii="宋体" w:hAnsi="宋体"/>
          <w:highlight w:val="none"/>
        </w:rPr>
      </w:pPr>
      <w:r>
        <w:rPr>
          <w:rStyle w:val="86"/>
          <w:rFonts w:hint="eastAsia" w:ascii="宋体" w:hAnsi="宋体"/>
          <w:highlight w:val="none"/>
        </w:rPr>
        <w:t>承包人对分包人的行为向发包人负责，承包人和分包人就分包工作向发包人承担连带责任。</w:t>
      </w:r>
    </w:p>
    <w:p w14:paraId="3BE29B81">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4.6 联合体</w:t>
      </w:r>
    </w:p>
    <w:p w14:paraId="3A6FBCC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4.6.1 经发包人同意，以联合体方式承包工程的，联合体各方应共同与发包人订立合同协议书。联合体各方应为履行合同向发包人承担连带责任。</w:t>
      </w:r>
    </w:p>
    <w:p w14:paraId="0AB6AFC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4A5CF9C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4.6.3 联合体协议经发包人确认后作为合同附件。在履行合同过程中，未经发包人同意，不得变更联合体成员和其负责的工作范围，或者修改联合体协议中与本合同履行相关的内容。</w:t>
      </w:r>
    </w:p>
    <w:p w14:paraId="04A444E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4.7 承包人现场查勘</w:t>
      </w:r>
    </w:p>
    <w:p w14:paraId="1563B1A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777F61F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424F5BF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4.8 不可预见的困难 </w:t>
      </w:r>
    </w:p>
    <w:p w14:paraId="04FA984D">
      <w:pPr>
        <w:pStyle w:val="84"/>
        <w:spacing w:line="360" w:lineRule="auto"/>
        <w:ind w:firstLine="600"/>
        <w:rPr>
          <w:rStyle w:val="86"/>
          <w:rFonts w:hint="eastAsia" w:ascii="宋体" w:hAnsi="宋体"/>
          <w:highlight w:val="none"/>
        </w:rPr>
      </w:pPr>
      <w:r>
        <w:rPr>
          <w:rStyle w:val="86"/>
          <w:rFonts w:hint="eastAsia" w:ascii="宋体" w:hAnsi="宋体"/>
          <w:highlight w: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47D8B311">
      <w:pPr>
        <w:pStyle w:val="84"/>
        <w:spacing w:line="360" w:lineRule="auto"/>
        <w:ind w:firstLine="600"/>
        <w:rPr>
          <w:rStyle w:val="86"/>
          <w:rFonts w:hint="eastAsia" w:ascii="宋体" w:hAnsi="宋体"/>
          <w:highlight w:val="none"/>
        </w:rPr>
      </w:pPr>
      <w:r>
        <w:rPr>
          <w:rStyle w:val="86"/>
          <w:rFonts w:hint="eastAsia" w:ascii="宋体" w:hAnsi="宋体"/>
          <w:highlight w: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2E54B691">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4.9 工程质量管理</w:t>
      </w:r>
    </w:p>
    <w:p w14:paraId="2F2EB9A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71DF64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6E96E91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4.9.3 承包人应对其人员进行质量教育和技术培训，定期考核人员的劳动技能，严格执行相关规范和操作规程。</w:t>
      </w:r>
    </w:p>
    <w:p w14:paraId="0B426C1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70675B6B">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第5条 设计</w:t>
      </w:r>
    </w:p>
    <w:p w14:paraId="3CDAEAA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5.1 承包人的设计义务 </w:t>
      </w:r>
    </w:p>
    <w:p w14:paraId="591730F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5.1.1 设计义务的一般要求</w:t>
      </w:r>
    </w:p>
    <w:p w14:paraId="0DB1039E">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0D88DE5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5.1.2 对设计人员的要求</w:t>
      </w:r>
    </w:p>
    <w:p w14:paraId="1357E25A">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p w14:paraId="2858822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5.1.3 法律和标准的变化</w:t>
      </w:r>
    </w:p>
    <w:p w14:paraId="64DDF34C">
      <w:pPr>
        <w:pStyle w:val="84"/>
        <w:spacing w:line="360" w:lineRule="auto"/>
        <w:ind w:firstLine="600"/>
        <w:rPr>
          <w:rStyle w:val="86"/>
          <w:rFonts w:hint="eastAsia" w:ascii="宋体" w:hAnsi="宋体"/>
          <w:highlight w:val="none"/>
        </w:rPr>
      </w:pPr>
      <w:r>
        <w:rPr>
          <w:rStyle w:val="86"/>
          <w:rFonts w:hint="eastAsia" w:ascii="宋体" w:hAnsi="宋体"/>
          <w:highlight w: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034F2F20">
      <w:pPr>
        <w:pStyle w:val="84"/>
        <w:spacing w:line="360" w:lineRule="auto"/>
        <w:ind w:firstLine="600"/>
        <w:rPr>
          <w:rStyle w:val="86"/>
          <w:rFonts w:hint="eastAsia" w:ascii="宋体" w:hAnsi="宋体"/>
          <w:highlight w:val="none"/>
        </w:rPr>
      </w:pPr>
      <w:r>
        <w:rPr>
          <w:rStyle w:val="86"/>
          <w:rFonts w:hint="eastAsia" w:ascii="宋体" w:hAnsi="宋体"/>
          <w:highlight w:val="none"/>
        </w:rPr>
        <w:t>在基准日期之后，因国家颁布新的强制性规范、标准导致承包人的费用变化的，发包人应合理调整合同价格；导致工期延误的，发包人应合理延长工期。</w:t>
      </w:r>
    </w:p>
    <w:p w14:paraId="7AA1853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5.2 承包人文件审查 </w:t>
      </w:r>
    </w:p>
    <w:p w14:paraId="660C912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5.2.1 根据《发包人要求》应当通过工程师报发包人审查同意的承包人文件，承包人应当按照《发包人要求》约定的范围和内容及时报送审查。</w:t>
      </w:r>
    </w:p>
    <w:p w14:paraId="53032751">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0381D81B">
      <w:pPr>
        <w:pStyle w:val="84"/>
        <w:spacing w:line="360" w:lineRule="auto"/>
        <w:ind w:firstLine="600"/>
        <w:rPr>
          <w:rStyle w:val="86"/>
          <w:rFonts w:hint="eastAsia" w:ascii="宋体" w:hAnsi="宋体"/>
          <w:highlight w:val="none"/>
        </w:rPr>
      </w:pPr>
      <w:r>
        <w:rPr>
          <w:rStyle w:val="86"/>
          <w:rFonts w:hint="eastAsia" w:ascii="宋体" w:hAnsi="宋体"/>
          <w:highlight w:val="none"/>
        </w:rPr>
        <w:t>发包人同意承包人文件的，应及时通知承包人，发包人不同意承包人文件的，应在审查期限内通过工程师以书面形式通知承包人，并说明不同意的具体内容和理由。</w:t>
      </w:r>
    </w:p>
    <w:p w14:paraId="31F59A6D">
      <w:pPr>
        <w:pStyle w:val="84"/>
        <w:spacing w:line="360" w:lineRule="auto"/>
        <w:ind w:firstLine="600"/>
        <w:rPr>
          <w:rStyle w:val="86"/>
          <w:rFonts w:hint="eastAsia" w:ascii="宋体" w:hAnsi="宋体"/>
          <w:highlight w:val="none"/>
        </w:rPr>
      </w:pPr>
      <w:r>
        <w:rPr>
          <w:rStyle w:val="86"/>
          <w:rFonts w:hint="eastAsia" w:ascii="宋体" w:hAnsi="宋体"/>
          <w:highlight w:val="none"/>
        </w:rPr>
        <w:t>承包人对发包人的意见按以下方式处理：</w:t>
      </w:r>
    </w:p>
    <w:p w14:paraId="28ACBD93">
      <w:pPr>
        <w:pStyle w:val="84"/>
        <w:spacing w:line="360" w:lineRule="auto"/>
        <w:ind w:firstLine="600"/>
        <w:rPr>
          <w:rStyle w:val="86"/>
          <w:rFonts w:hint="eastAsia" w:ascii="宋体" w:hAnsi="宋体"/>
          <w:highlight w:val="none"/>
        </w:rPr>
      </w:pPr>
      <w:r>
        <w:rPr>
          <w:rStyle w:val="86"/>
          <w:rFonts w:hint="eastAsia" w:ascii="宋体" w:hAnsi="宋体"/>
          <w:highlight w:val="none"/>
        </w:rPr>
        <w:t>（1） 发包人的意见构成变更的，承包人应在7天内通知发包人按照第13条[变更与调整]中关于发包人指示变更的约定执行，双方对是否构成变更无法达成一致的，按照第20条[争议解决]的约定执行；</w:t>
      </w:r>
    </w:p>
    <w:p w14:paraId="15BE2DB3">
      <w:pPr>
        <w:pStyle w:val="84"/>
        <w:spacing w:line="360" w:lineRule="auto"/>
        <w:ind w:firstLine="600"/>
        <w:rPr>
          <w:rStyle w:val="86"/>
          <w:rFonts w:hint="eastAsia" w:ascii="宋体" w:hAnsi="宋体"/>
          <w:highlight w:val="none"/>
        </w:rPr>
      </w:pPr>
      <w:r>
        <w:rPr>
          <w:rStyle w:val="86"/>
          <w:rFonts w:hint="eastAsia" w:ascii="宋体" w:hAnsi="宋体"/>
          <w:highlight w:val="none"/>
        </w:rPr>
        <w:t>（2） 因承包人原因导致无法通过审查的，承包人应根据发包人的书面说明，对承包人文件进行修改后重新报送发包人审查，审查期重新起算。因此引起的工期延长和必要的工程费用增加，由承包人负责。</w:t>
      </w:r>
    </w:p>
    <w:p w14:paraId="10463BD9">
      <w:pPr>
        <w:pStyle w:val="84"/>
        <w:spacing w:line="360" w:lineRule="auto"/>
        <w:ind w:firstLine="600"/>
        <w:rPr>
          <w:rStyle w:val="86"/>
          <w:rFonts w:hint="eastAsia" w:ascii="宋体" w:hAnsi="宋体"/>
          <w:highlight w:val="none"/>
        </w:rPr>
      </w:pPr>
      <w:r>
        <w:rPr>
          <w:rStyle w:val="86"/>
          <w:rFonts w:hint="eastAsia" w:ascii="宋体" w:hAnsi="宋体"/>
          <w:highlight w:val="none"/>
        </w:rPr>
        <w:t>合同约定的审查期满，发包人没有做出审查结论也没有提出异议的，视为承包人文件已获发包人同意。</w:t>
      </w:r>
    </w:p>
    <w:p w14:paraId="08B65145">
      <w:pPr>
        <w:pStyle w:val="84"/>
        <w:spacing w:line="360" w:lineRule="auto"/>
        <w:ind w:firstLine="600"/>
        <w:rPr>
          <w:rStyle w:val="86"/>
          <w:rFonts w:hint="eastAsia" w:ascii="宋体" w:hAnsi="宋体"/>
          <w:highlight w:val="none"/>
        </w:rPr>
      </w:pPr>
      <w:r>
        <w:rPr>
          <w:rStyle w:val="86"/>
          <w:rFonts w:hint="eastAsia" w:ascii="宋体" w:hAnsi="宋体"/>
          <w:highlight w:val="none"/>
        </w:rPr>
        <w:t>发包人对承包人文件的审查和同意不得被理解为对合同的修改或改变，也并不减轻或免除承包人任何的责任和义务。</w:t>
      </w:r>
    </w:p>
    <w:p w14:paraId="4FB471C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5.2.2 承包人文件不需要政府有关部门或专用合同条件约定的第三方审查单位审查或批准的，承包人应当严格按照经发包人审查同意的承包人文件设计和实施工程。</w:t>
      </w:r>
    </w:p>
    <w:p w14:paraId="788CCCA7">
      <w:pPr>
        <w:pStyle w:val="84"/>
        <w:spacing w:line="360" w:lineRule="auto"/>
        <w:ind w:firstLine="600"/>
        <w:rPr>
          <w:rStyle w:val="86"/>
          <w:rFonts w:hint="eastAsia" w:ascii="宋体" w:hAnsi="宋体"/>
          <w:highlight w:val="none"/>
        </w:rPr>
      </w:pPr>
      <w:r>
        <w:rPr>
          <w:rStyle w:val="86"/>
          <w:rFonts w:hint="eastAsia" w:ascii="宋体" w:hAnsi="宋体"/>
          <w:highlight w: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5A26407A">
      <w:pPr>
        <w:pStyle w:val="84"/>
        <w:spacing w:line="360" w:lineRule="auto"/>
        <w:ind w:firstLine="600"/>
        <w:rPr>
          <w:rStyle w:val="86"/>
          <w:rFonts w:hint="eastAsia" w:ascii="宋体" w:hAnsi="宋体"/>
          <w:highlight w:val="none"/>
        </w:rPr>
      </w:pPr>
      <w:r>
        <w:rPr>
          <w:rStyle w:val="86"/>
          <w:rFonts w:hint="eastAsia" w:ascii="宋体" w:hAnsi="宋体"/>
          <w:highlight w:val="none"/>
        </w:rPr>
        <w:t>发包人有义务向承包人提供审查会议的批准文件和纪要。承包人有义务按照相关审查会议批准的文件和纪要，并依据合同约定及相关技术标准，对承包人文件进行修改、补充和完善。</w:t>
      </w:r>
    </w:p>
    <w:p w14:paraId="685ADE4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5.2.3 承包人文件需政府有关部门或专用合同条件约定的第三方审查单位审查或批准的，发包人应在发包人审查同意承包人文件后7天内，向政府有关部门或第三方报送承包人文件，承包人应予以协助。</w:t>
      </w:r>
    </w:p>
    <w:p w14:paraId="054EDBA5">
      <w:pPr>
        <w:pStyle w:val="84"/>
        <w:spacing w:line="360" w:lineRule="auto"/>
        <w:ind w:firstLine="600"/>
        <w:rPr>
          <w:rStyle w:val="86"/>
          <w:rFonts w:hint="eastAsia" w:ascii="宋体" w:hAnsi="宋体"/>
          <w:highlight w:val="none"/>
        </w:rPr>
      </w:pPr>
      <w:r>
        <w:rPr>
          <w:rStyle w:val="86"/>
          <w:rFonts w:hint="eastAsia" w:ascii="宋体" w:hAnsi="宋体"/>
          <w:highlight w:val="none"/>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13DB2E78">
      <w:pPr>
        <w:pStyle w:val="84"/>
        <w:spacing w:line="360" w:lineRule="auto"/>
        <w:ind w:firstLine="600"/>
        <w:rPr>
          <w:rStyle w:val="86"/>
          <w:rFonts w:hint="eastAsia" w:ascii="宋体" w:hAnsi="宋体"/>
          <w:highlight w:val="none"/>
        </w:rPr>
      </w:pPr>
      <w:r>
        <w:rPr>
          <w:rStyle w:val="86"/>
          <w:rFonts w:hint="eastAsia" w:ascii="宋体" w:hAnsi="宋体"/>
          <w:highlight w:val="none"/>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44069B2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5.3 培训</w:t>
      </w:r>
    </w:p>
    <w:p w14:paraId="6CF591DD">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341EDD3E">
      <w:pPr>
        <w:pStyle w:val="84"/>
        <w:spacing w:line="360" w:lineRule="auto"/>
        <w:ind w:firstLine="600"/>
        <w:rPr>
          <w:rStyle w:val="86"/>
          <w:rFonts w:hint="eastAsia" w:ascii="宋体" w:hAnsi="宋体"/>
          <w:highlight w:val="none"/>
        </w:rPr>
      </w:pPr>
      <w:r>
        <w:rPr>
          <w:rStyle w:val="86"/>
          <w:rFonts w:hint="eastAsia" w:ascii="宋体" w:hAnsi="宋体"/>
          <w:highlight w:val="none"/>
        </w:rPr>
        <w:t>培训的时长应由双方在专用合同条件中约定，承包人应为培训提供有经验的人员、设施和其它必要条件。</w:t>
      </w:r>
    </w:p>
    <w:p w14:paraId="06419CF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5.4 竣工文件</w:t>
      </w:r>
    </w:p>
    <w:p w14:paraId="5809650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p>
    <w:p w14:paraId="545EBA1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17E0750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5.4.3 除专用合同条件另有约定外，在工程师收到本款下的文件前，不应认为工程已根据第10.1款[竣工验收]和第10.2款[单位/区段工程的验收]的约定完成验收。</w:t>
      </w:r>
    </w:p>
    <w:p w14:paraId="33BAEF4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5.5 操作和维修手册</w:t>
      </w:r>
    </w:p>
    <w:p w14:paraId="09935D4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65996B7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5.5.2 工程师收到承包人提交的文件后，应依据第5.2款[承包人文件审查]的约定对操作和维修手册进行审查，竣工试验工程中，承包人应为任何因操作和维修手册错误或遗漏引起的风险或损失承担责任。</w:t>
      </w:r>
    </w:p>
    <w:p w14:paraId="5205DC2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1D5AA8B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5.6 承包人文件错误 </w:t>
      </w:r>
    </w:p>
    <w:p w14:paraId="5FE80716">
      <w:pPr>
        <w:pStyle w:val="84"/>
        <w:spacing w:line="360" w:lineRule="auto"/>
        <w:ind w:firstLine="600"/>
        <w:rPr>
          <w:rStyle w:val="86"/>
          <w:rFonts w:hint="eastAsia" w:ascii="宋体" w:hAnsi="宋体"/>
          <w:highlight w:val="none"/>
        </w:rPr>
      </w:pPr>
      <w:r>
        <w:rPr>
          <w:rStyle w:val="86"/>
          <w:rFonts w:hint="eastAsia" w:ascii="宋体" w:hAnsi="宋体"/>
          <w:highlight w:val="none"/>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0AD0C284">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第6条 材料、工程设备</w:t>
      </w:r>
    </w:p>
    <w:p w14:paraId="1ADC3BBB">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6.1 实施方法 </w:t>
      </w:r>
    </w:p>
    <w:p w14:paraId="21C242AA">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承包人应按以下方法进行材料的加工、工程设备的采购、制造和安装、以及工程的所有其他实施作业：</w:t>
      </w:r>
    </w:p>
    <w:p w14:paraId="455EA070">
      <w:pPr>
        <w:pStyle w:val="84"/>
        <w:spacing w:line="360" w:lineRule="auto"/>
        <w:ind w:firstLine="600"/>
        <w:rPr>
          <w:rStyle w:val="86"/>
          <w:rFonts w:hint="eastAsia" w:ascii="宋体" w:hAnsi="宋体"/>
          <w:highlight w:val="none"/>
        </w:rPr>
      </w:pPr>
      <w:r>
        <w:rPr>
          <w:rStyle w:val="86"/>
          <w:rFonts w:hint="eastAsia" w:ascii="宋体" w:hAnsi="宋体"/>
          <w:highlight w:val="none"/>
        </w:rPr>
        <w:t>（1） 按照法律规定和合同约定的方法；</w:t>
      </w:r>
    </w:p>
    <w:p w14:paraId="00029A65">
      <w:pPr>
        <w:pStyle w:val="84"/>
        <w:spacing w:line="360" w:lineRule="auto"/>
        <w:ind w:firstLine="600"/>
        <w:rPr>
          <w:rStyle w:val="86"/>
          <w:rFonts w:hint="eastAsia" w:ascii="宋体" w:hAnsi="宋体"/>
          <w:highlight w:val="none"/>
        </w:rPr>
      </w:pPr>
      <w:r>
        <w:rPr>
          <w:rStyle w:val="86"/>
          <w:rFonts w:hint="eastAsia" w:ascii="宋体" w:hAnsi="宋体"/>
          <w:highlight w:val="none"/>
        </w:rPr>
        <w:t>（2） 按照公认的良好行业习惯，使用恰当、审慎、先进的方法；</w:t>
      </w:r>
    </w:p>
    <w:p w14:paraId="2A539323">
      <w:pPr>
        <w:pStyle w:val="84"/>
        <w:spacing w:line="360" w:lineRule="auto"/>
        <w:ind w:firstLine="600"/>
        <w:rPr>
          <w:rStyle w:val="86"/>
          <w:rFonts w:hint="eastAsia" w:ascii="宋体" w:hAnsi="宋体"/>
          <w:highlight w:val="none"/>
        </w:rPr>
      </w:pPr>
      <w:r>
        <w:rPr>
          <w:rStyle w:val="86"/>
          <w:rFonts w:hint="eastAsia" w:ascii="宋体" w:hAnsi="宋体"/>
          <w:highlight w:val="none"/>
        </w:rPr>
        <w:t>（3） 除专用合同条件另有规定外，应使用适当配备的实施方法、设备、设施和无危险的材料。</w:t>
      </w:r>
    </w:p>
    <w:p w14:paraId="7824A4D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6.2 材料和工程设备</w:t>
      </w:r>
    </w:p>
    <w:p w14:paraId="0F8309F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6.2.1 发包人提供的材料和工程设备</w:t>
      </w:r>
    </w:p>
    <w:p w14:paraId="27505574">
      <w:pPr>
        <w:pStyle w:val="84"/>
        <w:spacing w:line="360" w:lineRule="auto"/>
        <w:ind w:firstLine="600"/>
        <w:rPr>
          <w:rStyle w:val="86"/>
          <w:rFonts w:hint="eastAsia" w:ascii="宋体" w:hAnsi="宋体"/>
          <w:highlight w:val="none"/>
        </w:rPr>
      </w:pPr>
      <w:r>
        <w:rPr>
          <w:rStyle w:val="86"/>
          <w:rFonts w:hint="eastAsia" w:ascii="宋体" w:hAnsi="宋体"/>
          <w:highlight w:val="none"/>
        </w:rPr>
        <w:t>发包人自行供应材料、工程设备的，应在订立合同时在专用合同条件的附件《发包人供应材料设备一览表》中明确材料、工程设备的品种、规格、型号、主要参数、数量、单价、质量等级和交接地点等。</w:t>
      </w:r>
    </w:p>
    <w:p w14:paraId="4B093CC4">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6D68F40D">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2D478C22">
      <w:pPr>
        <w:pStyle w:val="84"/>
        <w:spacing w:line="360" w:lineRule="auto"/>
        <w:ind w:firstLine="600"/>
        <w:rPr>
          <w:rStyle w:val="86"/>
          <w:rFonts w:hint="eastAsia" w:ascii="宋体" w:hAnsi="宋体"/>
          <w:highlight w:val="none"/>
        </w:rPr>
      </w:pPr>
      <w:r>
        <w:rPr>
          <w:rStyle w:val="86"/>
          <w:rFonts w:hint="eastAsia" w:ascii="宋体" w:hAnsi="宋体"/>
          <w:highlight w:val="none"/>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5FD968A0">
      <w:pPr>
        <w:pStyle w:val="84"/>
        <w:spacing w:line="360" w:lineRule="auto"/>
        <w:ind w:firstLine="600"/>
        <w:rPr>
          <w:rStyle w:val="86"/>
          <w:rFonts w:hint="eastAsia" w:ascii="宋体" w:hAnsi="宋体"/>
          <w:highlight w:val="none"/>
        </w:rPr>
      </w:pPr>
      <w:r>
        <w:rPr>
          <w:rStyle w:val="86"/>
          <w:rFonts w:hint="eastAsia" w:ascii="宋体" w:hAnsi="宋体"/>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10D40AF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6.2.2 承包人提供的材料和工程设备</w:t>
      </w:r>
    </w:p>
    <w:p w14:paraId="67CB2B3F">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7463199B">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5439F1D8">
      <w:pPr>
        <w:pStyle w:val="84"/>
        <w:spacing w:line="360" w:lineRule="auto"/>
        <w:ind w:firstLine="600"/>
        <w:rPr>
          <w:rStyle w:val="86"/>
          <w:rFonts w:hint="eastAsia" w:ascii="宋体" w:hAnsi="宋体"/>
          <w:highlight w:val="none"/>
        </w:rPr>
      </w:pPr>
      <w:r>
        <w:rPr>
          <w:rStyle w:val="86"/>
          <w:rFonts w:hint="eastAsia" w:ascii="宋体" w:hAnsi="宋体"/>
          <w:highlight w: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01494FAF">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6FCC386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 xml:space="preserve">6.2.3 材料和工程设备的保管 </w:t>
      </w:r>
    </w:p>
    <w:p w14:paraId="25551A4A">
      <w:pPr>
        <w:pStyle w:val="84"/>
        <w:spacing w:line="360" w:lineRule="auto"/>
        <w:ind w:firstLine="600"/>
        <w:rPr>
          <w:rStyle w:val="86"/>
          <w:rFonts w:hint="eastAsia" w:ascii="宋体" w:hAnsi="宋体"/>
          <w:highlight w:val="none"/>
        </w:rPr>
      </w:pPr>
      <w:r>
        <w:rPr>
          <w:rStyle w:val="86"/>
          <w:rFonts w:hint="eastAsia" w:ascii="宋体" w:hAnsi="宋体"/>
          <w:highlight w:val="none"/>
        </w:rPr>
        <w:t>（1） 发包人供应材料与工程设备的保管与使用</w:t>
      </w:r>
    </w:p>
    <w:p w14:paraId="09E4C2AF">
      <w:pPr>
        <w:pStyle w:val="84"/>
        <w:spacing w:line="360" w:lineRule="auto"/>
        <w:ind w:firstLine="600"/>
        <w:rPr>
          <w:rStyle w:val="86"/>
          <w:rFonts w:hint="eastAsia" w:ascii="宋体" w:hAnsi="宋体"/>
          <w:highlight w:val="none"/>
        </w:rPr>
      </w:pPr>
      <w:r>
        <w:rPr>
          <w:rStyle w:val="86"/>
          <w:rFonts w:hint="eastAsia" w:ascii="宋体" w:hAnsi="宋体"/>
          <w:highlight w:val="none"/>
        </w:rPr>
        <w:t>发包人供应的材料和工程设备，承包人清点并接收后由承包人妥善保管，保管费用由承包人承担，但专用合同条件另有约定除外。因承包人原因发生丢失毁损的，由承包人负责赔偿。</w:t>
      </w:r>
    </w:p>
    <w:p w14:paraId="02FEAB55">
      <w:pPr>
        <w:pStyle w:val="84"/>
        <w:spacing w:line="360" w:lineRule="auto"/>
        <w:ind w:firstLine="600"/>
        <w:rPr>
          <w:rStyle w:val="86"/>
          <w:rFonts w:hint="eastAsia" w:ascii="宋体" w:hAnsi="宋体"/>
          <w:highlight w:val="none"/>
        </w:rPr>
      </w:pPr>
      <w:r>
        <w:rPr>
          <w:rStyle w:val="86"/>
          <w:rFonts w:hint="eastAsia" w:ascii="宋体" w:hAnsi="宋体"/>
          <w:highlight w:val="none"/>
        </w:rPr>
        <w:t>发包人供应的材料和工程设备使用前，由承包人负责必要的检验，检验费用由发包人承担，不合格的不得使用。</w:t>
      </w:r>
    </w:p>
    <w:p w14:paraId="68C2C428">
      <w:pPr>
        <w:pStyle w:val="84"/>
        <w:spacing w:line="360" w:lineRule="auto"/>
        <w:ind w:firstLine="600"/>
        <w:rPr>
          <w:rStyle w:val="86"/>
          <w:rFonts w:hint="eastAsia" w:ascii="宋体" w:hAnsi="宋体"/>
          <w:highlight w:val="none"/>
        </w:rPr>
      </w:pPr>
      <w:r>
        <w:rPr>
          <w:rStyle w:val="86"/>
          <w:rFonts w:hint="eastAsia" w:ascii="宋体" w:hAnsi="宋体"/>
          <w:highlight w:val="none"/>
        </w:rPr>
        <w:t>（2） 承包人采购材料与工程设备的保管与使用</w:t>
      </w:r>
    </w:p>
    <w:p w14:paraId="4FA6F952">
      <w:pPr>
        <w:pStyle w:val="84"/>
        <w:spacing w:line="360" w:lineRule="auto"/>
        <w:ind w:firstLine="600"/>
        <w:rPr>
          <w:rStyle w:val="86"/>
          <w:rFonts w:hint="eastAsia" w:ascii="宋体" w:hAnsi="宋体"/>
          <w:highlight w:val="none"/>
        </w:rPr>
      </w:pPr>
      <w:r>
        <w:rPr>
          <w:rStyle w:val="86"/>
          <w:rFonts w:hint="eastAsia" w:ascii="宋体" w:hAnsi="宋体"/>
          <w:highlight w:val="none"/>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0D08B852">
      <w:pPr>
        <w:pStyle w:val="84"/>
        <w:spacing w:line="360" w:lineRule="auto"/>
        <w:ind w:firstLine="600"/>
        <w:rPr>
          <w:rStyle w:val="86"/>
          <w:rFonts w:hint="eastAsia" w:ascii="宋体" w:hAnsi="宋体"/>
          <w:highlight w:val="none"/>
        </w:rPr>
      </w:pPr>
      <w:r>
        <w:rPr>
          <w:rStyle w:val="86"/>
          <w:rFonts w:hint="eastAsia" w:ascii="宋体" w:hAnsi="宋体"/>
          <w:highlight w:val="none"/>
        </w:rPr>
        <w:t>工程师发现承包人使用不符合设计或有关标准要求的材料和工程设备时，有权要求承包人进行修复、拆除或重新采购，由此增加的费用和（或）延误的工期，由承包人承担。</w:t>
      </w:r>
    </w:p>
    <w:p w14:paraId="076D802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6.2.4 材料和工程设备的所有权</w:t>
      </w:r>
    </w:p>
    <w:p w14:paraId="717AED75">
      <w:pPr>
        <w:pStyle w:val="84"/>
        <w:spacing w:line="360" w:lineRule="auto"/>
        <w:ind w:firstLine="600"/>
        <w:rPr>
          <w:rStyle w:val="86"/>
          <w:rFonts w:hint="eastAsia" w:ascii="宋体" w:hAnsi="宋体"/>
          <w:highlight w:val="none"/>
        </w:rPr>
      </w:pPr>
      <w:r>
        <w:rPr>
          <w:rStyle w:val="86"/>
          <w:rFonts w:hint="eastAsia" w:ascii="宋体" w:hAnsi="宋体"/>
          <w:highlight w:val="none"/>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51EE9309">
      <w:pPr>
        <w:pStyle w:val="84"/>
        <w:spacing w:line="360" w:lineRule="auto"/>
        <w:ind w:firstLine="600"/>
        <w:rPr>
          <w:rStyle w:val="86"/>
          <w:rFonts w:hint="eastAsia" w:ascii="宋体" w:hAnsi="宋体"/>
          <w:highlight w:val="none"/>
        </w:rPr>
      </w:pPr>
      <w:r>
        <w:rPr>
          <w:rStyle w:val="86"/>
          <w:rFonts w:hint="eastAsia" w:ascii="宋体" w:hAnsi="宋体"/>
          <w:highlight w:val="none"/>
        </w:rPr>
        <w:t>承包人按第6.2.2项提供的材料和工程设备，承包人应确保发包人取得无权利负担的材料及工程设备所有权，因承包人与第三人的物权争议导致的增加的费用和（或）延误的工期，由承包人承担。</w:t>
      </w:r>
    </w:p>
    <w:p w14:paraId="3120A66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6.3 样品</w:t>
      </w:r>
    </w:p>
    <w:p w14:paraId="141882F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6.3.1 样品的报送与封存</w:t>
      </w:r>
    </w:p>
    <w:p w14:paraId="66B8746C">
      <w:pPr>
        <w:pStyle w:val="84"/>
        <w:spacing w:line="360" w:lineRule="auto"/>
        <w:ind w:firstLine="600"/>
        <w:rPr>
          <w:rStyle w:val="86"/>
          <w:rFonts w:hint="eastAsia" w:ascii="宋体" w:hAnsi="宋体"/>
          <w:highlight w:val="none"/>
        </w:rPr>
      </w:pPr>
      <w:r>
        <w:rPr>
          <w:rStyle w:val="86"/>
          <w:rFonts w:hint="eastAsia" w:ascii="宋体" w:hAnsi="宋体"/>
          <w:highlight w:val="none"/>
        </w:rPr>
        <w:t>需要承包人报送样品的材料或工程设备，样品的种类、名称、规格、数量等要求均应在专用合同条件中约定。样品的报送程序如下：</w:t>
      </w:r>
    </w:p>
    <w:p w14:paraId="7401E032">
      <w:pPr>
        <w:pStyle w:val="84"/>
        <w:spacing w:line="360" w:lineRule="auto"/>
        <w:ind w:firstLine="600"/>
        <w:rPr>
          <w:rStyle w:val="86"/>
          <w:rFonts w:hint="eastAsia" w:ascii="宋体" w:hAnsi="宋体"/>
          <w:highlight w:val="none"/>
        </w:rPr>
      </w:pPr>
      <w:r>
        <w:rPr>
          <w:rStyle w:val="86"/>
          <w:rFonts w:hint="eastAsia" w:ascii="宋体" w:hAnsi="宋体"/>
          <w:highlight w: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30B362E4">
      <w:pPr>
        <w:pStyle w:val="84"/>
        <w:spacing w:line="360" w:lineRule="auto"/>
        <w:ind w:firstLine="600"/>
        <w:rPr>
          <w:rStyle w:val="86"/>
          <w:rFonts w:hint="eastAsia" w:ascii="宋体" w:hAnsi="宋体"/>
          <w:highlight w:val="none"/>
        </w:rPr>
      </w:pPr>
      <w:r>
        <w:rPr>
          <w:rStyle w:val="86"/>
          <w:rFonts w:hint="eastAsia" w:ascii="宋体" w:hAnsi="宋体"/>
          <w:highlight w:val="none"/>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3C8D58B3">
      <w:pPr>
        <w:pStyle w:val="84"/>
        <w:spacing w:line="360" w:lineRule="auto"/>
        <w:ind w:firstLine="600"/>
        <w:rPr>
          <w:rStyle w:val="86"/>
          <w:rFonts w:hint="eastAsia" w:ascii="宋体" w:hAnsi="宋体"/>
          <w:highlight w:val="none"/>
        </w:rPr>
      </w:pPr>
      <w:r>
        <w:rPr>
          <w:rStyle w:val="86"/>
          <w:rFonts w:hint="eastAsia" w:ascii="宋体" w:hAnsi="宋体"/>
          <w:highlight w:val="none"/>
        </w:rPr>
        <w:t>（3） 经工程师审批确认的样品应按约定的方法封样，封存的样品作为检验工程相关部分的标准之一。承包人在施工过程中不得使用与样品不符的材料或工程设备。</w:t>
      </w:r>
    </w:p>
    <w:p w14:paraId="40F7F039">
      <w:pPr>
        <w:pStyle w:val="84"/>
        <w:spacing w:line="360" w:lineRule="auto"/>
        <w:ind w:firstLine="600"/>
        <w:rPr>
          <w:rStyle w:val="86"/>
          <w:rFonts w:hint="eastAsia" w:ascii="宋体" w:hAnsi="宋体"/>
          <w:highlight w:val="none"/>
        </w:rPr>
      </w:pPr>
      <w:r>
        <w:rPr>
          <w:rStyle w:val="86"/>
          <w:rFonts w:hint="eastAsia" w:ascii="宋体" w:hAnsi="宋体"/>
          <w:highlight w:val="none"/>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573C017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6.3.2 样品的保管</w:t>
      </w:r>
    </w:p>
    <w:p w14:paraId="6F47B329">
      <w:pPr>
        <w:pStyle w:val="84"/>
        <w:spacing w:line="360" w:lineRule="auto"/>
        <w:ind w:firstLine="600"/>
        <w:rPr>
          <w:rStyle w:val="86"/>
          <w:rFonts w:hint="eastAsia" w:ascii="宋体" w:hAnsi="宋体"/>
          <w:highlight w:val="none"/>
        </w:rPr>
      </w:pPr>
      <w:r>
        <w:rPr>
          <w:rStyle w:val="86"/>
          <w:rFonts w:hint="eastAsia" w:ascii="宋体" w:hAnsi="宋体"/>
          <w:highlight w:val="none"/>
        </w:rPr>
        <w:t>经批准的样品应由工程师负责封存于现场，承包人应在现场为保存样品提供适当和固定的场所并保持适当和良好的存储环境条件。</w:t>
      </w:r>
    </w:p>
    <w:p w14:paraId="5C8039FE">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6.4 质量检查</w:t>
      </w:r>
    </w:p>
    <w:p w14:paraId="28C5ACC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6.4.1 工程质量要求</w:t>
      </w:r>
    </w:p>
    <w:p w14:paraId="13CEDC10">
      <w:pPr>
        <w:pStyle w:val="84"/>
        <w:spacing w:line="360" w:lineRule="auto"/>
        <w:ind w:firstLine="600"/>
        <w:rPr>
          <w:rStyle w:val="86"/>
          <w:rFonts w:hint="eastAsia" w:ascii="宋体" w:hAnsi="宋体"/>
          <w:highlight w:val="none"/>
        </w:rPr>
      </w:pPr>
      <w:r>
        <w:rPr>
          <w:rStyle w:val="86"/>
          <w:rFonts w:hint="eastAsia" w:ascii="宋体" w:hAnsi="宋体"/>
          <w:highlight w:val="none"/>
        </w:rPr>
        <w:t>工程质量标准必须符合现行国家有关工程施工质量验收规范和标准的要求。有关工程质量的特殊标准或要求由合同当事人在专用合同条件中约定。</w:t>
      </w:r>
    </w:p>
    <w:p w14:paraId="642BC033">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0093CA3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6.4.2 质量检查</w:t>
      </w:r>
    </w:p>
    <w:p w14:paraId="42361815">
      <w:pPr>
        <w:pStyle w:val="84"/>
        <w:spacing w:line="360" w:lineRule="auto"/>
        <w:ind w:firstLine="600"/>
        <w:rPr>
          <w:rStyle w:val="86"/>
          <w:rFonts w:hint="eastAsia" w:ascii="宋体" w:hAnsi="宋体"/>
          <w:highlight w:val="none"/>
        </w:rPr>
      </w:pPr>
      <w:r>
        <w:rPr>
          <w:rStyle w:val="86"/>
          <w:rFonts w:hint="eastAsia" w:ascii="宋体" w:hAnsi="宋体"/>
          <w:highlight w: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83A346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6.4.3 隐蔽工程检查</w:t>
      </w:r>
    </w:p>
    <w:p w14:paraId="1F44FDC8">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37731F1C">
      <w:pPr>
        <w:pStyle w:val="84"/>
        <w:spacing w:line="360" w:lineRule="auto"/>
        <w:ind w:firstLine="600"/>
        <w:rPr>
          <w:rStyle w:val="86"/>
          <w:rFonts w:hint="eastAsia" w:ascii="宋体" w:hAnsi="宋体"/>
          <w:highlight w:val="none"/>
        </w:rPr>
      </w:pPr>
      <w:r>
        <w:rPr>
          <w:rStyle w:val="86"/>
          <w:rFonts w:hint="eastAsia" w:ascii="宋体" w:hAnsi="宋体"/>
          <w:highlight w: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1ADE42F8">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54C0DC4A">
      <w:pPr>
        <w:pStyle w:val="84"/>
        <w:spacing w:line="360" w:lineRule="auto"/>
        <w:ind w:firstLine="600"/>
        <w:rPr>
          <w:rStyle w:val="86"/>
          <w:rFonts w:hint="eastAsia" w:ascii="宋体" w:hAnsi="宋体"/>
          <w:highlight w:val="none"/>
        </w:rPr>
      </w:pPr>
      <w:r>
        <w:rPr>
          <w:rStyle w:val="86"/>
          <w:rFonts w:hint="eastAsia" w:ascii="宋体" w:hAnsi="宋体"/>
          <w:highlight w:val="none"/>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0F3FAEC0">
      <w:pPr>
        <w:pStyle w:val="84"/>
        <w:spacing w:line="360" w:lineRule="auto"/>
        <w:ind w:firstLine="600"/>
        <w:rPr>
          <w:rStyle w:val="86"/>
          <w:rFonts w:hint="eastAsia" w:ascii="宋体" w:hAnsi="宋体"/>
          <w:highlight w:val="none"/>
        </w:rPr>
      </w:pPr>
      <w:r>
        <w:rPr>
          <w:rStyle w:val="86"/>
          <w:rFonts w:hint="eastAsia" w:ascii="宋体" w:hAnsi="宋体"/>
          <w:highlight w:val="none"/>
        </w:rPr>
        <w:t>承包人未通知工程师到场检查，私自将工程隐蔽部位覆盖的，工程师有权指示承包人钻孔探测或揭开检查，无论工程隐蔽部位质量是否合格，由此增加的费用和（或）延误的工期均由承包人承担。</w:t>
      </w:r>
    </w:p>
    <w:p w14:paraId="09C9738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6.5 由承包人试验和检验</w:t>
      </w:r>
    </w:p>
    <w:p w14:paraId="65B3867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6.5.1 试验设备与试验人员</w:t>
      </w:r>
    </w:p>
    <w:p w14:paraId="7C50EE0C">
      <w:pPr>
        <w:pStyle w:val="84"/>
        <w:spacing w:line="360" w:lineRule="auto"/>
        <w:ind w:firstLine="600"/>
        <w:rPr>
          <w:rStyle w:val="86"/>
          <w:rFonts w:hint="eastAsia" w:ascii="宋体" w:hAnsi="宋体"/>
          <w:highlight w:val="none"/>
        </w:rPr>
      </w:pPr>
      <w:r>
        <w:rPr>
          <w:rStyle w:val="86"/>
          <w:rFonts w:hint="eastAsia" w:ascii="宋体" w:hAnsi="宋体"/>
          <w:highlight w: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6497BE6E">
      <w:pPr>
        <w:pStyle w:val="84"/>
        <w:spacing w:line="360" w:lineRule="auto"/>
        <w:ind w:firstLine="600"/>
        <w:rPr>
          <w:rStyle w:val="86"/>
          <w:rFonts w:hint="eastAsia" w:ascii="宋体" w:hAnsi="宋体"/>
          <w:highlight w:val="none"/>
        </w:rPr>
      </w:pPr>
      <w:r>
        <w:rPr>
          <w:rStyle w:val="86"/>
          <w:rFonts w:hint="eastAsia" w:ascii="宋体" w:hAnsi="宋体"/>
          <w:highlight w:val="none"/>
        </w:rPr>
        <w:t>（2） 承包人应按专用合同条件约定的试验内容、时间和地点提供试验设备、取样装置、试验场所和试验条件，并向工程师提交相应进场计划表。</w:t>
      </w:r>
    </w:p>
    <w:p w14:paraId="46A4A2D4">
      <w:pPr>
        <w:pStyle w:val="84"/>
        <w:spacing w:line="360" w:lineRule="auto"/>
        <w:ind w:firstLine="600"/>
        <w:rPr>
          <w:rStyle w:val="86"/>
          <w:rFonts w:hint="eastAsia" w:ascii="宋体" w:hAnsi="宋体"/>
          <w:highlight w:val="none"/>
        </w:rPr>
      </w:pPr>
      <w:r>
        <w:rPr>
          <w:rStyle w:val="86"/>
          <w:rFonts w:hint="eastAsia" w:ascii="宋体" w:hAnsi="宋体"/>
          <w:highlight w:val="none"/>
        </w:rPr>
        <w:t>承包人配置的试验设备要符合相应试验规程的要求并经过具有资质的检测单位检测，且在正式使用该试验设备前，需要经过工程师与承包人共同校定。</w:t>
      </w:r>
    </w:p>
    <w:p w14:paraId="5152AEDD">
      <w:pPr>
        <w:pStyle w:val="84"/>
        <w:spacing w:line="360" w:lineRule="auto"/>
        <w:ind w:firstLine="600"/>
        <w:rPr>
          <w:rStyle w:val="86"/>
          <w:rFonts w:hint="eastAsia" w:ascii="宋体" w:hAnsi="宋体"/>
          <w:highlight w:val="none"/>
        </w:rPr>
      </w:pPr>
      <w:r>
        <w:rPr>
          <w:rStyle w:val="86"/>
          <w:rFonts w:hint="eastAsia" w:ascii="宋体" w:hAnsi="宋体"/>
          <w:highlight w:val="none"/>
        </w:rPr>
        <w:t>（3） 承包人应向工程师提交试验人员的名单及其岗位、资格等证明资料，试验人员必须能够熟练进行相应的检测试验，承包人对试验人员的试验程序和试验结果的正确性负责。</w:t>
      </w:r>
    </w:p>
    <w:p w14:paraId="25AE14F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6.5.2 取样</w:t>
      </w:r>
    </w:p>
    <w:p w14:paraId="7B50A505">
      <w:pPr>
        <w:pStyle w:val="84"/>
        <w:spacing w:line="360" w:lineRule="auto"/>
        <w:ind w:firstLine="600"/>
        <w:rPr>
          <w:rStyle w:val="86"/>
          <w:rFonts w:hint="eastAsia" w:ascii="宋体" w:hAnsi="宋体"/>
          <w:highlight w:val="none"/>
        </w:rPr>
      </w:pPr>
      <w:r>
        <w:rPr>
          <w:rStyle w:val="86"/>
          <w:rFonts w:hint="eastAsia" w:ascii="宋体" w:hAnsi="宋体"/>
          <w:highlight w:val="none"/>
        </w:rPr>
        <w:t>试验属于自检性质的，承包人可以单独取样。试验属于工程师抽检性质的，可由工程师取样，也可由承包人的试验人员在工程师的监督下取样。</w:t>
      </w:r>
    </w:p>
    <w:p w14:paraId="74AB41E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6.5.3 材料、工程设备和工程的试验和检验</w:t>
      </w:r>
    </w:p>
    <w:p w14:paraId="5046E866">
      <w:pPr>
        <w:pStyle w:val="84"/>
        <w:spacing w:line="360" w:lineRule="auto"/>
        <w:ind w:firstLine="600"/>
        <w:rPr>
          <w:rStyle w:val="86"/>
          <w:rFonts w:hint="eastAsia" w:ascii="宋体" w:hAnsi="宋体"/>
          <w:highlight w:val="none"/>
        </w:rPr>
      </w:pPr>
      <w:r>
        <w:rPr>
          <w:rStyle w:val="86"/>
          <w:rFonts w:hint="eastAsia" w:ascii="宋体" w:hAnsi="宋体"/>
          <w:highlight w: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06E77F9C">
      <w:pPr>
        <w:pStyle w:val="84"/>
        <w:spacing w:line="360" w:lineRule="auto"/>
        <w:ind w:firstLine="600"/>
        <w:rPr>
          <w:rStyle w:val="86"/>
          <w:rFonts w:hint="eastAsia" w:ascii="宋体" w:hAnsi="宋体"/>
          <w:highlight w:val="none"/>
        </w:rPr>
      </w:pPr>
      <w:r>
        <w:rPr>
          <w:rStyle w:val="86"/>
          <w:rFonts w:hint="eastAsia" w:ascii="宋体" w:hAnsi="宋体"/>
          <w:highlight w:val="none"/>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0AB917EB">
      <w:pPr>
        <w:pStyle w:val="84"/>
        <w:spacing w:line="360" w:lineRule="auto"/>
        <w:ind w:firstLine="600"/>
        <w:rPr>
          <w:rStyle w:val="86"/>
          <w:rFonts w:hint="eastAsia" w:ascii="宋体" w:hAnsi="宋体"/>
          <w:highlight w:val="none"/>
        </w:rPr>
      </w:pPr>
      <w:r>
        <w:rPr>
          <w:rStyle w:val="86"/>
          <w:rFonts w:hint="eastAsia" w:ascii="宋体" w:hAnsi="宋体"/>
          <w:highlight w: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5644665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6.5.4 现场工艺试验</w:t>
      </w:r>
    </w:p>
    <w:p w14:paraId="4581D4CE">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承包人应按合同约定进行现场工艺试验。对大型的现场工艺试验，发包人认为必要时，承包人应根据发包人提出的工艺试验要求，编制工艺试验措施计划，报送发包人审查。</w:t>
      </w:r>
    </w:p>
    <w:p w14:paraId="42D14B2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6.6 缺陷和修补</w:t>
      </w:r>
    </w:p>
    <w:p w14:paraId="21C67EB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6.6.1 发包人可在颁发接收证书前随时指示承包人：</w:t>
      </w:r>
    </w:p>
    <w:p w14:paraId="4D1F6DE2">
      <w:pPr>
        <w:pStyle w:val="84"/>
        <w:spacing w:line="360" w:lineRule="auto"/>
        <w:ind w:firstLine="600"/>
        <w:rPr>
          <w:rStyle w:val="86"/>
          <w:rFonts w:hint="eastAsia" w:ascii="宋体" w:hAnsi="宋体"/>
          <w:highlight w:val="none"/>
        </w:rPr>
      </w:pPr>
      <w:r>
        <w:rPr>
          <w:rStyle w:val="86"/>
          <w:rFonts w:hint="eastAsia" w:ascii="宋体" w:hAnsi="宋体"/>
          <w:highlight w:val="none"/>
        </w:rPr>
        <w:t>（1） 对不符合合同要求的任何工程设备或材料进行修补，或者将其移出现场并进行更换；</w:t>
      </w:r>
    </w:p>
    <w:p w14:paraId="1106E69A">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（2） 对不符合合同的其他工作进行修补，或者将其去除并重新实施； </w:t>
      </w:r>
    </w:p>
    <w:p w14:paraId="513B8716">
      <w:pPr>
        <w:pStyle w:val="84"/>
        <w:spacing w:line="360" w:lineRule="auto"/>
        <w:ind w:firstLine="600"/>
        <w:rPr>
          <w:rStyle w:val="86"/>
          <w:rFonts w:hint="eastAsia" w:ascii="宋体" w:hAnsi="宋体"/>
          <w:highlight w:val="none"/>
        </w:rPr>
      </w:pPr>
      <w:r>
        <w:rPr>
          <w:rStyle w:val="86"/>
          <w:rFonts w:hint="eastAsia" w:ascii="宋体" w:hAnsi="宋体"/>
          <w:highlight w:val="none"/>
        </w:rPr>
        <w:t>（3） 实施因意外、不可预见的事件或其他原因引起的、为工程的安全迫切需要的任何修补工作。</w:t>
      </w:r>
    </w:p>
    <w:p w14:paraId="6F03918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6.6.2 承包人应遵守第6.6.1项下指示，并在合理可行的情况下，根据上述指示中规定的时间完成修补工作。除因下列原因引起的第6.6.1项第（3）目下的情形外，承包人应承担所有修补工作的费用：</w:t>
      </w:r>
    </w:p>
    <w:p w14:paraId="42637FAF">
      <w:pPr>
        <w:pStyle w:val="84"/>
        <w:spacing w:line="360" w:lineRule="auto"/>
        <w:ind w:firstLine="600"/>
        <w:rPr>
          <w:rStyle w:val="86"/>
          <w:rFonts w:hint="eastAsia" w:ascii="宋体" w:hAnsi="宋体"/>
          <w:highlight w:val="none"/>
        </w:rPr>
      </w:pPr>
      <w:r>
        <w:rPr>
          <w:rStyle w:val="86"/>
          <w:rFonts w:hint="eastAsia" w:ascii="宋体" w:hAnsi="宋体"/>
          <w:highlight w:val="none"/>
        </w:rPr>
        <w:t>（1） 因发包人或其人员的任何行为导致的情形，且在此情况下发包人应承担因此引起的工期延误和承包人费用损失，并向承包人支付合理的利润。</w:t>
      </w:r>
    </w:p>
    <w:p w14:paraId="76F4B5D6">
      <w:pPr>
        <w:pStyle w:val="84"/>
        <w:spacing w:line="360" w:lineRule="auto"/>
        <w:ind w:firstLine="600"/>
        <w:rPr>
          <w:rStyle w:val="86"/>
          <w:rFonts w:hint="eastAsia" w:ascii="宋体" w:hAnsi="宋体"/>
          <w:highlight w:val="none"/>
        </w:rPr>
      </w:pPr>
      <w:r>
        <w:rPr>
          <w:rStyle w:val="86"/>
          <w:rFonts w:hint="eastAsia" w:ascii="宋体" w:hAnsi="宋体"/>
          <w:highlight w:val="none"/>
        </w:rPr>
        <w:t>（2） 第17.4款[不可抗力后果的承担]中适用的不可抗力事件的情形。</w:t>
      </w:r>
    </w:p>
    <w:p w14:paraId="15E14E5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7A63AE7F">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第7条 施工</w:t>
      </w:r>
    </w:p>
    <w:p w14:paraId="3BC78A1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7.1 交通运输 </w:t>
      </w:r>
    </w:p>
    <w:p w14:paraId="2E7A66A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7.1.1 出入现场的权利</w:t>
      </w:r>
    </w:p>
    <w:p w14:paraId="0848AB4A">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46DD07A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7.1.2 场外交通</w:t>
      </w:r>
    </w:p>
    <w:p w14:paraId="2537A131">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318BA72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7.1.3 场内交通</w:t>
      </w:r>
    </w:p>
    <w:p w14:paraId="313E9DED">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400AD7C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7.1.4 超大件和超重件的运输</w:t>
      </w:r>
    </w:p>
    <w:p w14:paraId="3B03170D">
      <w:pPr>
        <w:pStyle w:val="84"/>
        <w:spacing w:line="360" w:lineRule="auto"/>
        <w:ind w:firstLine="600"/>
        <w:rPr>
          <w:rStyle w:val="86"/>
          <w:rFonts w:hint="eastAsia" w:ascii="宋体" w:hAnsi="宋体"/>
          <w:highlight w:val="none"/>
        </w:rPr>
      </w:pPr>
      <w:r>
        <w:rPr>
          <w:rStyle w:val="86"/>
          <w:rFonts w:hint="eastAsia" w:ascii="宋体" w:hAnsi="宋体"/>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671750B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7.1.5 道路和桥梁的损坏责任</w:t>
      </w:r>
    </w:p>
    <w:p w14:paraId="682B9108">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因承包人运输造成施工现场内外公共道路和桥梁损坏的，由承包人承担修复损坏的全部费用和可能引起的赔偿。</w:t>
      </w:r>
    </w:p>
    <w:p w14:paraId="725E560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7.1.6 水路和航空运输</w:t>
      </w:r>
    </w:p>
    <w:p w14:paraId="3A40C835">
      <w:pPr>
        <w:pStyle w:val="84"/>
        <w:spacing w:line="360" w:lineRule="auto"/>
        <w:ind w:firstLine="600"/>
        <w:rPr>
          <w:rStyle w:val="86"/>
          <w:rFonts w:hint="eastAsia" w:ascii="宋体" w:hAnsi="宋体"/>
          <w:highlight w:val="none"/>
        </w:rPr>
      </w:pPr>
      <w:r>
        <w:rPr>
          <w:rStyle w:val="86"/>
          <w:rFonts w:hint="eastAsia" w:ascii="宋体" w:hAnsi="宋体"/>
          <w:highlight w:val="none"/>
        </w:rPr>
        <w:t>本条上述各款的内容适用于水路运输和航空运输，其中“道路”一词的涵义包括河道、航线、船闸、机场、码头、堤防以及水路或航空运输中其他相似结构物；“车辆”一词的涵义包括船舶和飞机等。</w:t>
      </w:r>
    </w:p>
    <w:p w14:paraId="07B8B84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7.2 施工设备和临时设施 </w:t>
      </w:r>
    </w:p>
    <w:p w14:paraId="2335DAF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7.2.1 承包人提供的施工设备和临时设施</w:t>
      </w:r>
    </w:p>
    <w:p w14:paraId="442F7F1B">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282700BB">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015314C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7.2.2 发包人提供的施工设备和临时设施</w:t>
      </w:r>
    </w:p>
    <w:p w14:paraId="0FE181A6">
      <w:pPr>
        <w:pStyle w:val="84"/>
        <w:spacing w:line="360" w:lineRule="auto"/>
        <w:ind w:firstLine="600"/>
        <w:rPr>
          <w:rStyle w:val="86"/>
          <w:rFonts w:hint="eastAsia" w:ascii="宋体" w:hAnsi="宋体"/>
          <w:highlight w:val="none"/>
        </w:rPr>
      </w:pPr>
      <w:r>
        <w:rPr>
          <w:rStyle w:val="86"/>
          <w:rFonts w:hint="eastAsia" w:ascii="宋体" w:hAnsi="宋体"/>
          <w:highlight w:val="none"/>
        </w:rPr>
        <w:t>发包人提供的施工设备或临时设施在专用合同条件中约定。</w:t>
      </w:r>
    </w:p>
    <w:p w14:paraId="7B97DD6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7.2.3 要求承包人增加或更换施工设备</w:t>
      </w:r>
    </w:p>
    <w:p w14:paraId="123093F9">
      <w:pPr>
        <w:pStyle w:val="84"/>
        <w:spacing w:line="360" w:lineRule="auto"/>
        <w:ind w:firstLine="600"/>
        <w:rPr>
          <w:rStyle w:val="86"/>
          <w:rFonts w:hint="eastAsia" w:ascii="宋体" w:hAnsi="宋体"/>
          <w:highlight w:val="none"/>
        </w:rPr>
      </w:pPr>
      <w:r>
        <w:rPr>
          <w:rStyle w:val="86"/>
          <w:rFonts w:hint="eastAsia" w:ascii="宋体" w:hAnsi="宋体"/>
          <w:highlight w:val="none"/>
        </w:rPr>
        <w:t>承包人使用的施工设备不能满足项目进度计划和（或）质量要求时，工程师有权要求承包人增加或更换施工设备，承包人应及时增加或更换，由此增加的费用和（或）延误的工期由承包人承担。</w:t>
      </w:r>
    </w:p>
    <w:p w14:paraId="5ED6095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7.2.4 施工设备和临时设施专用于合同工程</w:t>
      </w:r>
    </w:p>
    <w:p w14:paraId="25EF5698">
      <w:pPr>
        <w:pStyle w:val="84"/>
        <w:spacing w:line="360" w:lineRule="auto"/>
        <w:ind w:firstLine="600"/>
        <w:rPr>
          <w:rStyle w:val="86"/>
          <w:rFonts w:hint="eastAsia" w:ascii="宋体" w:hAnsi="宋体"/>
          <w:highlight w:val="none"/>
        </w:rPr>
      </w:pPr>
      <w:r>
        <w:rPr>
          <w:rStyle w:val="86"/>
          <w:rFonts w:hint="eastAsia" w:ascii="宋体" w:hAnsi="宋体"/>
          <w:highlight w:val="none"/>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1451E17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7.3 现场合作</w:t>
      </w:r>
    </w:p>
    <w:p w14:paraId="0FC073C8">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承包人应按合同约定或发包人的指示，与发包人人员、发包人的其他承包人等人员就在现场或附近实施与工程有关的各项工作进行合作并提供适当条件，包括使用承包人设备、临时工程或进入现场等。</w:t>
      </w:r>
    </w:p>
    <w:p w14:paraId="5E0E8692">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承包人应对其在现场的施工活动负责，并应尽合理努力按合同约定或发包人的指示，协调自身与发包人人员、发包人的其他承包人等人员的活动。</w:t>
      </w:r>
    </w:p>
    <w:p w14:paraId="734D26D6">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5A1C3B2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7.4 测量放线</w:t>
      </w:r>
    </w:p>
    <w:p w14:paraId="19E3FA7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019EDFA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6C2A397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4D60C1D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7.5 现场劳动用工</w:t>
      </w:r>
    </w:p>
    <w:p w14:paraId="06D6B1A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6837C0B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1076F47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7.5.3 承包人应当按照相关法律法规的要求，进行劳动用工管理和建筑工人工资支付。</w:t>
      </w:r>
    </w:p>
    <w:p w14:paraId="428FA676">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7.6 安全文明施工</w:t>
      </w:r>
    </w:p>
    <w:p w14:paraId="72A0B01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7.6.1 安全生产要求</w:t>
      </w:r>
    </w:p>
    <w:p w14:paraId="22BE81F9">
      <w:pPr>
        <w:pStyle w:val="84"/>
        <w:spacing w:line="360" w:lineRule="auto"/>
        <w:ind w:firstLine="600"/>
        <w:rPr>
          <w:rStyle w:val="86"/>
          <w:rFonts w:hint="eastAsia" w:ascii="宋体" w:hAnsi="宋体"/>
          <w:highlight w:val="none"/>
        </w:rPr>
      </w:pPr>
      <w:r>
        <w:rPr>
          <w:rStyle w:val="86"/>
          <w:rFonts w:hint="eastAsia" w:ascii="宋体" w:hAnsi="宋体"/>
          <w:highlight w: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6C0625C7">
      <w:pPr>
        <w:pStyle w:val="84"/>
        <w:spacing w:line="360" w:lineRule="auto"/>
        <w:ind w:firstLine="600"/>
        <w:rPr>
          <w:rStyle w:val="86"/>
          <w:rFonts w:hint="eastAsia" w:ascii="宋体" w:hAnsi="宋体"/>
          <w:highlight w:val="none"/>
        </w:rPr>
      </w:pPr>
      <w:r>
        <w:rPr>
          <w:rStyle w:val="86"/>
          <w:rFonts w:hint="eastAsia" w:ascii="宋体" w:hAnsi="宋体"/>
          <w:highlight w:val="none"/>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AE13396">
      <w:pPr>
        <w:pStyle w:val="84"/>
        <w:spacing w:line="360" w:lineRule="auto"/>
        <w:ind w:firstLine="600"/>
        <w:rPr>
          <w:rStyle w:val="86"/>
          <w:rFonts w:hint="eastAsia" w:ascii="宋体" w:hAnsi="宋体"/>
          <w:highlight w:val="none"/>
        </w:rPr>
      </w:pPr>
      <w:r>
        <w:rPr>
          <w:rStyle w:val="86"/>
          <w:rFonts w:hint="eastAsia" w:ascii="宋体" w:hAnsi="宋体"/>
          <w:highlight w:val="none"/>
        </w:rPr>
        <w:t>因安全生产需要暂停施工的，按照第8.9款[暂停工作]的约定执行。</w:t>
      </w:r>
    </w:p>
    <w:p w14:paraId="14D4349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7.6.2 安全生产保证措施</w:t>
      </w:r>
    </w:p>
    <w:p w14:paraId="37851BB1">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249DC539">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02D865B3">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6879B9D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7.6.3 文明施工</w:t>
      </w:r>
    </w:p>
    <w:p w14:paraId="6055C3F9">
      <w:pPr>
        <w:pStyle w:val="84"/>
        <w:spacing w:line="360" w:lineRule="auto"/>
        <w:ind w:firstLine="600"/>
        <w:rPr>
          <w:rStyle w:val="86"/>
          <w:rFonts w:hint="eastAsia" w:ascii="宋体" w:hAnsi="宋体"/>
          <w:highlight w:val="none"/>
        </w:rPr>
      </w:pPr>
      <w:r>
        <w:rPr>
          <w:rStyle w:val="86"/>
          <w:rFonts w:hint="eastAsia" w:ascii="宋体" w:hAnsi="宋体"/>
          <w:highlight w: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7461F804">
      <w:pPr>
        <w:pStyle w:val="84"/>
        <w:spacing w:line="360" w:lineRule="auto"/>
        <w:ind w:firstLine="600"/>
        <w:rPr>
          <w:rStyle w:val="86"/>
          <w:rFonts w:hint="eastAsia" w:ascii="宋体" w:hAnsi="宋体"/>
          <w:highlight w:val="none"/>
        </w:rPr>
      </w:pPr>
      <w:r>
        <w:rPr>
          <w:rStyle w:val="86"/>
          <w:rFonts w:hint="eastAsia" w:ascii="宋体" w:hAnsi="宋体"/>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36E0A44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7.6.4 事故处理</w:t>
      </w:r>
    </w:p>
    <w:p w14:paraId="2A2DEA09">
      <w:pPr>
        <w:pStyle w:val="84"/>
        <w:spacing w:line="360" w:lineRule="auto"/>
        <w:ind w:firstLine="600"/>
        <w:rPr>
          <w:rStyle w:val="86"/>
          <w:rFonts w:hint="eastAsia" w:ascii="宋体" w:hAnsi="宋体"/>
          <w:highlight w:val="none"/>
        </w:rPr>
      </w:pPr>
      <w:r>
        <w:rPr>
          <w:rStyle w:val="86"/>
          <w:rFonts w:hint="eastAsia" w:ascii="宋体" w:hAnsi="宋体"/>
          <w:highlight w:val="none"/>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1EF4816">
      <w:pPr>
        <w:pStyle w:val="84"/>
        <w:spacing w:line="360" w:lineRule="auto"/>
        <w:ind w:firstLine="600"/>
        <w:rPr>
          <w:rStyle w:val="86"/>
          <w:rFonts w:hint="eastAsia" w:ascii="宋体" w:hAnsi="宋体"/>
          <w:highlight w:val="none"/>
        </w:rPr>
      </w:pPr>
      <w:r>
        <w:rPr>
          <w:rStyle w:val="86"/>
          <w:rFonts w:hint="eastAsia" w:ascii="宋体" w:hAnsi="宋体"/>
          <w:highlight w:val="none"/>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0A6E311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7.6.5 安全生产责任</w:t>
      </w:r>
    </w:p>
    <w:p w14:paraId="25DC14F9">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发包人应负责赔偿以下各种情况造成的损失：</w:t>
      </w:r>
    </w:p>
    <w:p w14:paraId="06313A47">
      <w:pPr>
        <w:pStyle w:val="84"/>
        <w:spacing w:line="360" w:lineRule="auto"/>
        <w:ind w:firstLine="600"/>
        <w:rPr>
          <w:rStyle w:val="86"/>
          <w:rFonts w:hint="eastAsia" w:ascii="宋体" w:hAnsi="宋体"/>
          <w:highlight w:val="none"/>
        </w:rPr>
      </w:pPr>
      <w:r>
        <w:rPr>
          <w:rStyle w:val="86"/>
          <w:rFonts w:hint="eastAsia" w:ascii="宋体" w:hAnsi="宋体"/>
          <w:highlight w:val="none"/>
        </w:rPr>
        <w:t>（1） 工程或工程的任何部分对土地的占用所造成的第三者财产损失；</w:t>
      </w:r>
    </w:p>
    <w:p w14:paraId="70407126">
      <w:pPr>
        <w:pStyle w:val="84"/>
        <w:spacing w:line="360" w:lineRule="auto"/>
        <w:ind w:firstLine="600"/>
        <w:rPr>
          <w:rStyle w:val="86"/>
          <w:rFonts w:hint="eastAsia" w:ascii="宋体" w:hAnsi="宋体"/>
          <w:highlight w:val="none"/>
        </w:rPr>
      </w:pPr>
      <w:r>
        <w:rPr>
          <w:rStyle w:val="86"/>
          <w:rFonts w:hint="eastAsia" w:ascii="宋体" w:hAnsi="宋体"/>
          <w:highlight w:val="none"/>
        </w:rPr>
        <w:t>（2） 由于发包人原因在施工现场及其毗邻地带、履行合同工作中造成的第三者人身伤亡和财产损失；</w:t>
      </w:r>
    </w:p>
    <w:p w14:paraId="10867ED3">
      <w:pPr>
        <w:pStyle w:val="84"/>
        <w:spacing w:line="360" w:lineRule="auto"/>
        <w:ind w:firstLine="600"/>
        <w:rPr>
          <w:rStyle w:val="86"/>
          <w:rFonts w:hint="eastAsia" w:ascii="宋体" w:hAnsi="宋体"/>
          <w:highlight w:val="none"/>
        </w:rPr>
      </w:pPr>
      <w:r>
        <w:rPr>
          <w:rStyle w:val="86"/>
          <w:rFonts w:hint="eastAsia" w:ascii="宋体" w:hAnsi="宋体"/>
          <w:highlight w:val="none"/>
        </w:rPr>
        <w:t>（3） 由于发包人原因对发包人自身、承包人、工程师造成的人身伤害和财产损失。</w:t>
      </w:r>
    </w:p>
    <w:p w14:paraId="5FA7E52B">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承包人应负责赔偿由于承包人原因在施工现场及其毗邻地带、履行合同工作中造成的第三者人身伤亡和财产损失。</w:t>
      </w:r>
    </w:p>
    <w:p w14:paraId="5318A292">
      <w:pPr>
        <w:pStyle w:val="84"/>
        <w:spacing w:line="360" w:lineRule="auto"/>
        <w:ind w:firstLine="600"/>
        <w:rPr>
          <w:rStyle w:val="86"/>
          <w:rFonts w:hint="eastAsia" w:ascii="宋体" w:hAnsi="宋体"/>
          <w:highlight w:val="none"/>
        </w:rPr>
      </w:pPr>
      <w:r>
        <w:rPr>
          <w:rStyle w:val="86"/>
          <w:rFonts w:hint="eastAsia" w:ascii="宋体" w:hAnsi="宋体"/>
          <w:highlight w:val="none"/>
        </w:rPr>
        <w:t>如果上述损失是由于发包人和承包人共同原因导致的，则双方应根据过错情况按比例承担。</w:t>
      </w:r>
    </w:p>
    <w:p w14:paraId="30CF9B0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7.7 职业健康</w:t>
      </w:r>
    </w:p>
    <w:p w14:paraId="36C30C88">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承包人应遵守适用的职业健康的法律和合同约定（包括对雇用、职业健康、安全、福利等方面的规定），负责现场实施过程中其人员的职业健康和保护，包括：</w:t>
      </w:r>
    </w:p>
    <w:p w14:paraId="6982DDDC">
      <w:pPr>
        <w:pStyle w:val="84"/>
        <w:spacing w:line="360" w:lineRule="auto"/>
        <w:ind w:firstLine="600"/>
        <w:rPr>
          <w:rStyle w:val="86"/>
          <w:rFonts w:hint="eastAsia" w:ascii="宋体" w:hAnsi="宋体"/>
          <w:highlight w:val="none"/>
        </w:rPr>
      </w:pPr>
      <w:r>
        <w:rPr>
          <w:rStyle w:val="86"/>
          <w:rFonts w:hint="eastAsia" w:ascii="宋体" w:hAnsi="宋体"/>
          <w:highlight w: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1345939">
      <w:pPr>
        <w:pStyle w:val="84"/>
        <w:spacing w:line="360" w:lineRule="auto"/>
        <w:ind w:firstLine="600"/>
        <w:rPr>
          <w:rStyle w:val="86"/>
          <w:rFonts w:hint="eastAsia" w:ascii="宋体" w:hAnsi="宋体"/>
          <w:highlight w:val="none"/>
        </w:rPr>
      </w:pPr>
      <w:r>
        <w:rPr>
          <w:rStyle w:val="86"/>
          <w:rFonts w:hint="eastAsia" w:ascii="宋体" w:hAnsi="宋体"/>
          <w:highlight w:val="none"/>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4AFA5E06">
      <w:pPr>
        <w:pStyle w:val="84"/>
        <w:spacing w:line="360" w:lineRule="auto"/>
        <w:ind w:firstLine="600"/>
        <w:rPr>
          <w:rStyle w:val="86"/>
          <w:rFonts w:hint="eastAsia" w:ascii="宋体" w:hAnsi="宋体"/>
          <w:highlight w:val="none"/>
        </w:rPr>
      </w:pPr>
      <w:r>
        <w:rPr>
          <w:rStyle w:val="86"/>
          <w:rFonts w:hint="eastAsia" w:ascii="宋体" w:hAnsi="宋体"/>
          <w:highlight w:val="none"/>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7D34DCD3">
      <w:pPr>
        <w:pStyle w:val="84"/>
        <w:spacing w:line="360" w:lineRule="auto"/>
        <w:ind w:firstLine="600"/>
        <w:rPr>
          <w:rStyle w:val="86"/>
          <w:rFonts w:hint="eastAsia" w:ascii="宋体" w:hAnsi="宋体"/>
          <w:highlight w:val="none"/>
        </w:rPr>
      </w:pPr>
      <w:r>
        <w:rPr>
          <w:rStyle w:val="86"/>
          <w:rFonts w:hint="eastAsia" w:ascii="宋体" w:hAnsi="宋体"/>
          <w:highlight w: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4FA38850">
      <w:pPr>
        <w:pStyle w:val="84"/>
        <w:spacing w:line="360" w:lineRule="auto"/>
        <w:ind w:firstLine="600"/>
        <w:rPr>
          <w:rStyle w:val="86"/>
          <w:rFonts w:hint="eastAsia" w:ascii="宋体" w:hAnsi="宋体"/>
          <w:highlight w:val="none"/>
        </w:rPr>
      </w:pPr>
      <w:r>
        <w:rPr>
          <w:rStyle w:val="86"/>
          <w:rFonts w:hint="eastAsia" w:ascii="宋体" w:hAnsi="宋体"/>
          <w:highlight w:val="none"/>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34F5FA41">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7.8 环境保护</w:t>
      </w:r>
    </w:p>
    <w:p w14:paraId="395F072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3E5C59A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7.8.2 承包人应采取措施，并负责控制和（或）处理现场的粉尘、废气、废水、固体废物和噪声对环境的污染和危害。因此发生的伤害、赔偿、罚款等费用增加，和（或）竣工日期延误，由承包人负责。</w:t>
      </w:r>
    </w:p>
    <w:p w14:paraId="21B1264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7D21BE0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7.9 临时性公用设施 </w:t>
      </w:r>
    </w:p>
    <w:p w14:paraId="6C43F57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7.9.1 提供临时用水、用电等和节点铺设</w:t>
      </w:r>
    </w:p>
    <w:p w14:paraId="4DE16B05">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3921C1AF">
      <w:pPr>
        <w:pStyle w:val="84"/>
        <w:spacing w:line="360" w:lineRule="auto"/>
        <w:ind w:firstLine="600"/>
        <w:rPr>
          <w:rStyle w:val="86"/>
          <w:rFonts w:hint="eastAsia" w:ascii="宋体" w:hAnsi="宋体"/>
          <w:highlight w:val="none"/>
        </w:rPr>
      </w:pPr>
      <w:r>
        <w:rPr>
          <w:rStyle w:val="86"/>
          <w:rFonts w:hint="eastAsia" w:ascii="宋体" w:hAnsi="宋体"/>
          <w:highlight w: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4A40F35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7.9.2 临时用水、用电等</w:t>
      </w:r>
    </w:p>
    <w:p w14:paraId="23416CA4">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3420CA25">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因承包人未能按合同约定提交上述资料，造成发包人费用增加和竣工日期延误时，由承包人负责。</w:t>
      </w:r>
    </w:p>
    <w:p w14:paraId="56E9162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7.10 现场安保</w:t>
      </w:r>
    </w:p>
    <w:p w14:paraId="1BB8478C">
      <w:pPr>
        <w:pStyle w:val="84"/>
        <w:spacing w:line="360" w:lineRule="auto"/>
        <w:ind w:firstLine="600"/>
        <w:rPr>
          <w:rStyle w:val="86"/>
          <w:rFonts w:hint="eastAsia" w:ascii="宋体" w:hAnsi="宋体"/>
          <w:highlight w:val="none"/>
        </w:rPr>
      </w:pPr>
      <w:r>
        <w:rPr>
          <w:rStyle w:val="86"/>
          <w:rFonts w:hint="eastAsia" w:ascii="宋体" w:hAnsi="宋体"/>
          <w:highlight w: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75386B9A">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承包人应将其作业限制在现场区域、合同约定的区域或为履行合同所需的区域内。承包人应采取一切必要的预防措施，以保持承包人的设备和人员处于现场区域内，避免其进入邻近地区。</w:t>
      </w:r>
    </w:p>
    <w:p w14:paraId="1B2BA287">
      <w:pPr>
        <w:pStyle w:val="84"/>
        <w:spacing w:line="360" w:lineRule="auto"/>
        <w:ind w:firstLine="600"/>
        <w:rPr>
          <w:rStyle w:val="86"/>
          <w:rFonts w:hint="eastAsia" w:ascii="宋体" w:hAnsi="宋体"/>
          <w:highlight w:val="none"/>
        </w:rPr>
      </w:pPr>
      <w:r>
        <w:rPr>
          <w:rStyle w:val="86"/>
          <w:rFonts w:hint="eastAsia" w:ascii="宋体" w:hAnsi="宋体"/>
          <w:highlight w:val="none"/>
        </w:rPr>
        <w:t>承包人为履行合同义务而占用的其他场所（如预制加工场所、办公及生活营区） 的安保适用本款前述关于现场安保的规定。</w:t>
      </w:r>
    </w:p>
    <w:p w14:paraId="27B47A6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7.11 工程照管</w:t>
      </w:r>
    </w:p>
    <w:p w14:paraId="050C62E3">
      <w:pPr>
        <w:pStyle w:val="84"/>
        <w:spacing w:line="360" w:lineRule="auto"/>
        <w:ind w:firstLine="600"/>
        <w:rPr>
          <w:rStyle w:val="86"/>
          <w:rFonts w:hint="eastAsia" w:ascii="宋体" w:hAnsi="宋体"/>
          <w:highlight w:val="none"/>
        </w:rPr>
      </w:pPr>
      <w:r>
        <w:rPr>
          <w:rStyle w:val="86"/>
          <w:rFonts w:hint="eastAsia" w:ascii="宋体" w:hAnsi="宋体"/>
          <w:highlight w:val="none"/>
        </w:rPr>
        <w:t>自开始现场施工日期起至发包人应当接收工程之日止，承包人应承担工程现场、材料、设备及承包人文件的照管和维护工作。</w:t>
      </w:r>
    </w:p>
    <w:p w14:paraId="6BB6871F">
      <w:pPr>
        <w:pStyle w:val="84"/>
        <w:spacing w:line="360" w:lineRule="auto"/>
        <w:ind w:firstLine="600"/>
        <w:rPr>
          <w:rStyle w:val="86"/>
          <w:rFonts w:hint="eastAsia" w:ascii="宋体" w:hAnsi="宋体"/>
          <w:highlight w:val="none"/>
        </w:rPr>
      </w:pPr>
      <w:r>
        <w:rPr>
          <w:rStyle w:val="86"/>
          <w:rFonts w:hint="eastAsia" w:ascii="宋体" w:hAnsi="宋体"/>
          <w:highlight w:val="none"/>
        </w:rPr>
        <w:t>如部分工程于竣工验收前提前交付发包人的，则自交付之日起，该部分工程照管及维护职责由发包人承担。</w:t>
      </w:r>
    </w:p>
    <w:p w14:paraId="41CCE276">
      <w:pPr>
        <w:pStyle w:val="84"/>
        <w:spacing w:line="360" w:lineRule="auto"/>
        <w:ind w:firstLine="600"/>
        <w:rPr>
          <w:rStyle w:val="86"/>
          <w:rFonts w:hint="eastAsia" w:ascii="宋体" w:hAnsi="宋体"/>
          <w:highlight w:val="none"/>
        </w:rPr>
      </w:pPr>
      <w:r>
        <w:rPr>
          <w:rStyle w:val="86"/>
          <w:rFonts w:hint="eastAsia" w:ascii="宋体" w:hAnsi="宋体"/>
          <w:highlight w:val="none"/>
        </w:rPr>
        <w:t>如发包人及承包人进行竣工验收时尚有部分未竣工工程的，承包人应负责该未竣工工程的照管和维护工作，直至竣工后移交给发包人。</w:t>
      </w:r>
    </w:p>
    <w:p w14:paraId="1B489B40">
      <w:pPr>
        <w:pStyle w:val="84"/>
        <w:spacing w:line="360" w:lineRule="auto"/>
        <w:ind w:firstLine="600"/>
        <w:rPr>
          <w:rStyle w:val="86"/>
          <w:rFonts w:hint="eastAsia" w:ascii="宋体" w:hAnsi="宋体"/>
          <w:highlight w:val="none"/>
        </w:rPr>
      </w:pPr>
      <w:r>
        <w:rPr>
          <w:rStyle w:val="86"/>
          <w:rFonts w:hint="eastAsia" w:ascii="宋体" w:hAnsi="宋体"/>
          <w:highlight w:val="none"/>
        </w:rPr>
        <w:t>如合同解除或终止的，承包人自合同解除或终止之日起不再对工程承担照管和维护义务。</w:t>
      </w:r>
    </w:p>
    <w:p w14:paraId="3FE5E7D4">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第8条 工期和进度</w:t>
      </w:r>
    </w:p>
    <w:p w14:paraId="1EDE4F1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8.1 开始工作</w:t>
      </w:r>
    </w:p>
    <w:p w14:paraId="2318F02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8.1.1 开始工作准备</w:t>
      </w:r>
    </w:p>
    <w:p w14:paraId="26150EA6">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合同当事人应按专用合同条件约定完成开始工作准备工作。</w:t>
      </w:r>
    </w:p>
    <w:p w14:paraId="63E7B17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8.1.2 开始工作通知</w:t>
      </w:r>
    </w:p>
    <w:p w14:paraId="1083EF9A">
      <w:pPr>
        <w:pStyle w:val="84"/>
        <w:spacing w:line="360" w:lineRule="auto"/>
        <w:ind w:firstLine="600"/>
        <w:rPr>
          <w:rStyle w:val="86"/>
          <w:rFonts w:hint="eastAsia" w:ascii="宋体" w:hAnsi="宋体"/>
          <w:highlight w:val="none"/>
        </w:rPr>
      </w:pPr>
      <w:r>
        <w:rPr>
          <w:rStyle w:val="86"/>
          <w:rFonts w:hint="eastAsia" w:ascii="宋体" w:hAnsi="宋体"/>
          <w:highlight w:val="none"/>
        </w:rPr>
        <w:t>经发包人同意后，工程师应提前7天向承包人发出经发包人签认的开始工作通知，工期自开始工作通知中载明的开始工作日期起算。</w:t>
      </w:r>
    </w:p>
    <w:p w14:paraId="3B19FCA2">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103D915E">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8.2 竣工日期 </w:t>
      </w:r>
    </w:p>
    <w:p w14:paraId="19A468E1">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承包人应在合同协议书约定的工期内完成合同工作。除专用合同条件另有约定外，工程的竣工日期以第10.1条[竣工验收]的约定为准，并在工程接收证书中写明。</w:t>
      </w:r>
    </w:p>
    <w:p w14:paraId="50EB9E46">
      <w:pPr>
        <w:pStyle w:val="84"/>
        <w:spacing w:line="360" w:lineRule="auto"/>
        <w:ind w:firstLine="600"/>
        <w:rPr>
          <w:rStyle w:val="86"/>
          <w:rFonts w:hint="eastAsia" w:ascii="宋体" w:hAnsi="宋体"/>
          <w:highlight w:val="none"/>
        </w:rPr>
      </w:pPr>
      <w:r>
        <w:rPr>
          <w:rStyle w:val="86"/>
          <w:rFonts w:hint="eastAsia" w:ascii="宋体" w:hAnsi="宋体"/>
          <w:highlight w:val="none"/>
        </w:rPr>
        <w:t>因发包人原因，在工程师收到承包人竣工验收申请报告42天后未进行验收的，视为验收合格，实际竣工日期以提交竣工验收申请报告的日期为准，但发包人由于不可抗力不能进行验收的除外。</w:t>
      </w:r>
    </w:p>
    <w:p w14:paraId="2699949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8.3 项目实施计划</w:t>
      </w:r>
    </w:p>
    <w:p w14:paraId="6C61538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8.3.1 项目实施计划的内容</w:t>
      </w:r>
    </w:p>
    <w:p w14:paraId="33DB91EF">
      <w:pPr>
        <w:pStyle w:val="84"/>
        <w:spacing w:line="360" w:lineRule="auto"/>
        <w:ind w:firstLine="600"/>
        <w:rPr>
          <w:rStyle w:val="86"/>
          <w:rFonts w:hint="eastAsia" w:ascii="宋体" w:hAnsi="宋体"/>
          <w:highlight w:val="none"/>
        </w:rPr>
      </w:pPr>
      <w:r>
        <w:rPr>
          <w:rStyle w:val="86"/>
          <w:rFonts w:hint="eastAsia" w:ascii="宋体" w:hAnsi="宋体"/>
          <w:highlight w: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5D2B1AF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8.3.2 项目实施计划的提交和修改</w:t>
      </w:r>
    </w:p>
    <w:p w14:paraId="231A880A">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5D8C1506">
      <w:pPr>
        <w:pStyle w:val="84"/>
        <w:spacing w:line="360" w:lineRule="auto"/>
        <w:ind w:firstLine="600"/>
        <w:rPr>
          <w:rStyle w:val="86"/>
          <w:rFonts w:hint="eastAsia" w:ascii="宋体" w:hAnsi="宋体"/>
          <w:highlight w:val="none"/>
        </w:rPr>
      </w:pPr>
      <w:r>
        <w:rPr>
          <w:rStyle w:val="86"/>
          <w:rFonts w:hint="eastAsia" w:ascii="宋体" w:hAnsi="宋体"/>
          <w:highlight w:val="none"/>
        </w:rPr>
        <w:t>项目进度计划的编制和修改按照第8.4款[项目进度计划]执行。</w:t>
      </w:r>
    </w:p>
    <w:p w14:paraId="012CE73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8.4 项目进度计划</w:t>
      </w:r>
    </w:p>
    <w:p w14:paraId="124239B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8.4.1 项目进度计划的提交和修改</w:t>
      </w:r>
    </w:p>
    <w:p w14:paraId="7F2024F1">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67C766D1">
      <w:pPr>
        <w:pStyle w:val="84"/>
        <w:spacing w:line="360" w:lineRule="auto"/>
        <w:ind w:firstLine="600"/>
        <w:rPr>
          <w:rStyle w:val="86"/>
          <w:rFonts w:hint="eastAsia" w:ascii="宋体" w:hAnsi="宋体"/>
          <w:highlight w:val="none"/>
        </w:rPr>
      </w:pPr>
      <w:r>
        <w:rPr>
          <w:rStyle w:val="86"/>
          <w:rFonts w:hint="eastAsia" w:ascii="宋体" w:hAnsi="宋体"/>
          <w:highlight w: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68C857A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8.4.2 项目进度计划的内容</w:t>
      </w:r>
    </w:p>
    <w:p w14:paraId="158F0C9B">
      <w:pPr>
        <w:pStyle w:val="84"/>
        <w:spacing w:line="360" w:lineRule="auto"/>
        <w:ind w:firstLine="600"/>
        <w:rPr>
          <w:rStyle w:val="86"/>
          <w:rFonts w:hint="eastAsia" w:ascii="宋体" w:hAnsi="宋体"/>
          <w:highlight w:val="none"/>
        </w:rPr>
      </w:pPr>
      <w:r>
        <w:rPr>
          <w:rStyle w:val="86"/>
          <w:rFonts w:hint="eastAsia" w:ascii="宋体" w:hAnsi="宋体"/>
          <w:highlight w: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78803EF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8.4.3 项目进度计划的修订</w:t>
      </w:r>
    </w:p>
    <w:p w14:paraId="62C70697">
      <w:pPr>
        <w:pStyle w:val="84"/>
        <w:spacing w:line="360" w:lineRule="auto"/>
        <w:ind w:firstLine="600"/>
        <w:rPr>
          <w:rStyle w:val="86"/>
          <w:rFonts w:hint="eastAsia" w:ascii="宋体" w:hAnsi="宋体"/>
          <w:highlight w:val="none"/>
        </w:rPr>
      </w:pPr>
      <w:r>
        <w:rPr>
          <w:rStyle w:val="86"/>
          <w:rFonts w:hint="eastAsia" w:ascii="宋体" w:hAnsi="宋体"/>
          <w:highlight w:val="none"/>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1F7C3832">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52232F5">
      <w:pPr>
        <w:pStyle w:val="84"/>
        <w:spacing w:line="360" w:lineRule="auto"/>
        <w:ind w:firstLine="600"/>
        <w:rPr>
          <w:rStyle w:val="86"/>
          <w:rFonts w:hint="eastAsia" w:ascii="宋体" w:hAnsi="宋体"/>
          <w:highlight w:val="none"/>
        </w:rPr>
      </w:pPr>
      <w:r>
        <w:rPr>
          <w:rStyle w:val="86"/>
          <w:rFonts w:hint="eastAsia" w:ascii="宋体" w:hAnsi="宋体"/>
          <w:highlight w:val="none"/>
        </w:rPr>
        <w:t>除合同当事人另有约定外，项目进度计划的修订并不能减轻或者免除双方按第8.7款[工期延误]、第8.8款[工期提前]、第8.9款[暂停工作]应承担的合同责任。</w:t>
      </w:r>
    </w:p>
    <w:p w14:paraId="32D3212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8.5 进度报告</w:t>
      </w:r>
    </w:p>
    <w:p w14:paraId="2131FECC">
      <w:pPr>
        <w:pStyle w:val="84"/>
        <w:spacing w:line="360" w:lineRule="auto"/>
        <w:ind w:firstLine="600"/>
        <w:rPr>
          <w:rStyle w:val="86"/>
          <w:rFonts w:hint="eastAsia" w:ascii="宋体" w:hAnsi="宋体"/>
          <w:highlight w:val="none"/>
        </w:rPr>
      </w:pPr>
      <w:r>
        <w:rPr>
          <w:rStyle w:val="86"/>
          <w:rFonts w:hint="eastAsia" w:ascii="宋体" w:hAnsi="宋体"/>
          <w:highlight w:val="none"/>
        </w:rPr>
        <w:t>项目实施过程中，承包人应进行实际进度记录，并根据工程师的要求编制月进度报告，并提交给工程师。进度报告应包含以下主要内容：</w:t>
      </w:r>
    </w:p>
    <w:p w14:paraId="0BCD9D7C">
      <w:pPr>
        <w:pStyle w:val="84"/>
        <w:spacing w:line="360" w:lineRule="auto"/>
        <w:ind w:firstLine="600"/>
        <w:rPr>
          <w:rStyle w:val="86"/>
          <w:rFonts w:hint="eastAsia" w:ascii="宋体" w:hAnsi="宋体"/>
          <w:highlight w:val="none"/>
        </w:rPr>
      </w:pPr>
      <w:r>
        <w:rPr>
          <w:rStyle w:val="86"/>
          <w:rFonts w:hint="eastAsia" w:ascii="宋体" w:hAnsi="宋体"/>
          <w:highlight w:val="none"/>
        </w:rPr>
        <w:t>（1） 工程设计、采购、施工等各个工作内容的进展报告；</w:t>
      </w:r>
    </w:p>
    <w:p w14:paraId="55E6FB48">
      <w:pPr>
        <w:pStyle w:val="84"/>
        <w:spacing w:line="360" w:lineRule="auto"/>
        <w:ind w:firstLine="600"/>
        <w:rPr>
          <w:rStyle w:val="86"/>
          <w:rFonts w:hint="eastAsia" w:ascii="宋体" w:hAnsi="宋体"/>
          <w:highlight w:val="none"/>
        </w:rPr>
      </w:pPr>
      <w:r>
        <w:rPr>
          <w:rStyle w:val="86"/>
          <w:rFonts w:hint="eastAsia" w:ascii="宋体" w:hAnsi="宋体"/>
          <w:highlight w:val="none"/>
        </w:rPr>
        <w:t>（2） 工程施工方法的一般说明；</w:t>
      </w:r>
    </w:p>
    <w:p w14:paraId="1FD7EA8A">
      <w:pPr>
        <w:pStyle w:val="84"/>
        <w:spacing w:line="360" w:lineRule="auto"/>
        <w:ind w:firstLine="600"/>
        <w:rPr>
          <w:rStyle w:val="86"/>
          <w:rFonts w:hint="eastAsia" w:ascii="宋体" w:hAnsi="宋体"/>
          <w:highlight w:val="none"/>
        </w:rPr>
      </w:pPr>
      <w:r>
        <w:rPr>
          <w:rStyle w:val="86"/>
          <w:rFonts w:hint="eastAsia" w:ascii="宋体" w:hAnsi="宋体"/>
          <w:highlight w:val="none"/>
        </w:rPr>
        <w:t>（3） 当月工程实施介入的项目人员、设备和材料的预估明细报告；</w:t>
      </w:r>
    </w:p>
    <w:p w14:paraId="17968191">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（4） 当月实际进度与进度计划对比分析，以及提出未来可能引起工期延误的情形，同时提出应对措施；需要修订项目进度计划的，应对项目进度计划的修订部分进行说明； </w:t>
      </w:r>
    </w:p>
    <w:p w14:paraId="7CF27931">
      <w:pPr>
        <w:pStyle w:val="84"/>
        <w:spacing w:line="360" w:lineRule="auto"/>
        <w:ind w:firstLine="600"/>
        <w:rPr>
          <w:rStyle w:val="86"/>
          <w:rFonts w:hint="eastAsia" w:ascii="宋体" w:hAnsi="宋体"/>
          <w:highlight w:val="none"/>
        </w:rPr>
      </w:pPr>
      <w:r>
        <w:rPr>
          <w:rStyle w:val="86"/>
          <w:rFonts w:hint="eastAsia" w:ascii="宋体" w:hAnsi="宋体"/>
          <w:highlight w:val="none"/>
        </w:rPr>
        <w:t>（5） 承包人对于解决工期延误所提出的建议；</w:t>
      </w:r>
    </w:p>
    <w:p w14:paraId="29350549">
      <w:pPr>
        <w:pStyle w:val="84"/>
        <w:spacing w:line="360" w:lineRule="auto"/>
        <w:ind w:firstLine="600"/>
        <w:rPr>
          <w:rStyle w:val="86"/>
          <w:rFonts w:hint="eastAsia" w:ascii="宋体" w:hAnsi="宋体"/>
          <w:highlight w:val="none"/>
        </w:rPr>
      </w:pPr>
      <w:r>
        <w:rPr>
          <w:rStyle w:val="86"/>
          <w:rFonts w:hint="eastAsia" w:ascii="宋体" w:hAnsi="宋体"/>
          <w:highlight w:val="none"/>
        </w:rPr>
        <w:t>（6） 其他与工程有关的重大事项。</w:t>
      </w:r>
    </w:p>
    <w:p w14:paraId="5F38C2BC">
      <w:pPr>
        <w:pStyle w:val="84"/>
        <w:spacing w:line="360" w:lineRule="auto"/>
        <w:ind w:firstLine="600"/>
        <w:rPr>
          <w:rStyle w:val="86"/>
          <w:rFonts w:hint="eastAsia" w:ascii="宋体" w:hAnsi="宋体"/>
          <w:highlight w:val="none"/>
        </w:rPr>
      </w:pPr>
      <w:r>
        <w:rPr>
          <w:rStyle w:val="86"/>
          <w:rFonts w:hint="eastAsia" w:ascii="宋体" w:hAnsi="宋体"/>
          <w:highlight w:val="none"/>
        </w:rPr>
        <w:t>进度报告的具体要求等，在专用合同条件约定。</w:t>
      </w:r>
    </w:p>
    <w:p w14:paraId="057A1663">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8.6 提前预警</w:t>
      </w:r>
    </w:p>
    <w:p w14:paraId="30C8E795">
      <w:pPr>
        <w:pStyle w:val="84"/>
        <w:spacing w:line="360" w:lineRule="auto"/>
        <w:ind w:firstLine="600"/>
        <w:rPr>
          <w:rStyle w:val="86"/>
          <w:rFonts w:hint="eastAsia" w:ascii="宋体" w:hAnsi="宋体"/>
          <w:highlight w:val="none"/>
        </w:rPr>
      </w:pPr>
      <w:r>
        <w:rPr>
          <w:rStyle w:val="86"/>
          <w:rFonts w:hint="eastAsia" w:ascii="宋体" w:hAnsi="宋体"/>
          <w:highlight w:val="none"/>
        </w:rPr>
        <w:t>任何一方应当在下列情形发生时尽快书面通知另一方：</w:t>
      </w:r>
    </w:p>
    <w:p w14:paraId="37B587BF">
      <w:pPr>
        <w:pStyle w:val="84"/>
        <w:spacing w:line="360" w:lineRule="auto"/>
        <w:ind w:firstLine="600"/>
        <w:rPr>
          <w:rStyle w:val="86"/>
          <w:rFonts w:hint="eastAsia" w:ascii="宋体" w:hAnsi="宋体"/>
          <w:highlight w:val="none"/>
        </w:rPr>
      </w:pPr>
      <w:r>
        <w:rPr>
          <w:rStyle w:val="86"/>
          <w:rFonts w:hint="eastAsia" w:ascii="宋体" w:hAnsi="宋体"/>
          <w:highlight w:val="none"/>
        </w:rPr>
        <w:t>（1） 该情形可能对合同的履行或实现合同目的产生不利影响；</w:t>
      </w:r>
    </w:p>
    <w:p w14:paraId="04240773">
      <w:pPr>
        <w:pStyle w:val="84"/>
        <w:spacing w:line="360" w:lineRule="auto"/>
        <w:ind w:firstLine="600"/>
        <w:rPr>
          <w:rStyle w:val="86"/>
          <w:rFonts w:hint="eastAsia" w:ascii="宋体" w:hAnsi="宋体"/>
          <w:highlight w:val="none"/>
        </w:rPr>
      </w:pPr>
      <w:r>
        <w:rPr>
          <w:rStyle w:val="86"/>
          <w:rFonts w:hint="eastAsia" w:ascii="宋体" w:hAnsi="宋体"/>
          <w:highlight w:val="none"/>
        </w:rPr>
        <w:t>（2） 该情形可能对工程完成后的使用产生不利影响；</w:t>
      </w:r>
    </w:p>
    <w:p w14:paraId="410FCD10">
      <w:pPr>
        <w:pStyle w:val="84"/>
        <w:spacing w:line="360" w:lineRule="auto"/>
        <w:ind w:firstLine="600"/>
        <w:rPr>
          <w:rStyle w:val="86"/>
          <w:rFonts w:hint="eastAsia" w:ascii="宋体" w:hAnsi="宋体"/>
          <w:highlight w:val="none"/>
        </w:rPr>
      </w:pPr>
      <w:r>
        <w:rPr>
          <w:rStyle w:val="86"/>
          <w:rFonts w:hint="eastAsia" w:ascii="宋体" w:hAnsi="宋体"/>
          <w:highlight w:val="none"/>
        </w:rPr>
        <w:t>（3） 该情形可能导致合同价款增加；</w:t>
      </w:r>
    </w:p>
    <w:p w14:paraId="531439DA">
      <w:pPr>
        <w:pStyle w:val="84"/>
        <w:spacing w:line="360" w:lineRule="auto"/>
        <w:ind w:firstLine="600"/>
        <w:rPr>
          <w:rStyle w:val="86"/>
          <w:rFonts w:hint="eastAsia" w:ascii="宋体" w:hAnsi="宋体"/>
          <w:highlight w:val="none"/>
        </w:rPr>
      </w:pPr>
      <w:r>
        <w:rPr>
          <w:rStyle w:val="86"/>
          <w:rFonts w:hint="eastAsia" w:ascii="宋体" w:hAnsi="宋体"/>
          <w:highlight w:val="none"/>
        </w:rPr>
        <w:t>（4） 该情形可能导致整个工程或单位/区段工程的工期延长。</w:t>
      </w:r>
    </w:p>
    <w:p w14:paraId="7E9B39C8">
      <w:pPr>
        <w:pStyle w:val="84"/>
        <w:spacing w:line="360" w:lineRule="auto"/>
        <w:ind w:firstLine="600"/>
        <w:rPr>
          <w:rStyle w:val="86"/>
          <w:rFonts w:hint="eastAsia" w:ascii="宋体" w:hAnsi="宋体"/>
          <w:highlight w:val="none"/>
        </w:rPr>
      </w:pPr>
      <w:r>
        <w:rPr>
          <w:rStyle w:val="86"/>
          <w:rFonts w:hint="eastAsia" w:ascii="宋体" w:hAnsi="宋体"/>
          <w:highlight w:val="none"/>
        </w:rPr>
        <w:t>发包人有权要求承包人根据第13.2款[承包人的合理化建议]的约定提交变更建议，采取措施尽量避免或最小化上述情形的发生或影响。</w:t>
      </w:r>
    </w:p>
    <w:p w14:paraId="0621A4A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8.7 工期延误</w:t>
      </w:r>
    </w:p>
    <w:p w14:paraId="77C5AAE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8.7.1 因发包人原因导致工期延误</w:t>
      </w:r>
    </w:p>
    <w:p w14:paraId="32C4CAEB">
      <w:pPr>
        <w:pStyle w:val="84"/>
        <w:spacing w:line="360" w:lineRule="auto"/>
        <w:ind w:firstLine="600"/>
        <w:rPr>
          <w:rStyle w:val="86"/>
          <w:rFonts w:hint="eastAsia" w:ascii="宋体" w:hAnsi="宋体"/>
          <w:highlight w:val="none"/>
        </w:rPr>
      </w:pPr>
      <w:r>
        <w:rPr>
          <w:rStyle w:val="86"/>
          <w:rFonts w:hint="eastAsia" w:ascii="宋体" w:hAnsi="宋体"/>
          <w:highlight w:val="none"/>
        </w:rPr>
        <w:t>在合同履行过程中，因下列情况导致工期延误和（或）费用增加的，由发包人承担由此延误的工期和（或）增加的费用，且发包人应支付承包人合理的利润：</w:t>
      </w:r>
    </w:p>
    <w:p w14:paraId="09BB40BE">
      <w:pPr>
        <w:pStyle w:val="84"/>
        <w:spacing w:line="360" w:lineRule="auto"/>
        <w:ind w:firstLine="600"/>
        <w:rPr>
          <w:rStyle w:val="86"/>
          <w:rFonts w:hint="eastAsia" w:ascii="宋体" w:hAnsi="宋体"/>
          <w:highlight w:val="none"/>
        </w:rPr>
      </w:pPr>
      <w:r>
        <w:rPr>
          <w:rStyle w:val="86"/>
          <w:rFonts w:hint="eastAsia" w:ascii="宋体" w:hAnsi="宋体"/>
          <w:highlight w:val="none"/>
        </w:rPr>
        <w:t>（1） 根据第13条[变更与调整]的约定构成一项变更的；</w:t>
      </w:r>
    </w:p>
    <w:p w14:paraId="01892C2F">
      <w:pPr>
        <w:pStyle w:val="84"/>
        <w:spacing w:line="360" w:lineRule="auto"/>
        <w:ind w:firstLine="600"/>
        <w:rPr>
          <w:rStyle w:val="86"/>
          <w:rFonts w:hint="eastAsia" w:ascii="宋体" w:hAnsi="宋体"/>
          <w:highlight w:val="none"/>
        </w:rPr>
      </w:pPr>
      <w:r>
        <w:rPr>
          <w:rStyle w:val="86"/>
          <w:rFonts w:hint="eastAsia" w:ascii="宋体" w:hAnsi="宋体"/>
          <w:highlight w:val="none"/>
        </w:rPr>
        <w:t>（2） 发包人违反本合同约定，导致工期延误和（或）费用增加的；</w:t>
      </w:r>
    </w:p>
    <w:p w14:paraId="711C4CFB">
      <w:pPr>
        <w:pStyle w:val="84"/>
        <w:spacing w:line="360" w:lineRule="auto"/>
        <w:ind w:firstLine="600"/>
        <w:rPr>
          <w:rStyle w:val="86"/>
          <w:rFonts w:hint="eastAsia" w:ascii="宋体" w:hAnsi="宋体"/>
          <w:highlight w:val="none"/>
        </w:rPr>
      </w:pPr>
      <w:r>
        <w:rPr>
          <w:rStyle w:val="86"/>
          <w:rFonts w:hint="eastAsia" w:ascii="宋体" w:hAnsi="宋体"/>
          <w:highlight w:val="none"/>
        </w:rPr>
        <w:t>（3） 发包人、发包人代表、工程师或发包人聘请的任意第三方造成或引起的任何延误、妨碍和阻碍；</w:t>
      </w:r>
    </w:p>
    <w:p w14:paraId="4E364AF8">
      <w:pPr>
        <w:pStyle w:val="84"/>
        <w:spacing w:line="360" w:lineRule="auto"/>
        <w:ind w:firstLine="600"/>
        <w:rPr>
          <w:rStyle w:val="86"/>
          <w:rFonts w:hint="eastAsia" w:ascii="宋体" w:hAnsi="宋体"/>
          <w:highlight w:val="none"/>
        </w:rPr>
      </w:pPr>
      <w:r>
        <w:rPr>
          <w:rStyle w:val="86"/>
          <w:rFonts w:hint="eastAsia" w:ascii="宋体" w:hAnsi="宋体"/>
          <w:highlight w:val="none"/>
        </w:rPr>
        <w:t>（4） 发包人未能依据第6.2.1项[发包人提供的材料和工程设备]的约定提供材料和工程设备导致工期延误和（或）费用增加的；</w:t>
      </w:r>
    </w:p>
    <w:p w14:paraId="3232FEBC">
      <w:pPr>
        <w:pStyle w:val="84"/>
        <w:spacing w:line="360" w:lineRule="auto"/>
        <w:ind w:firstLine="600"/>
        <w:rPr>
          <w:rStyle w:val="86"/>
          <w:rFonts w:hint="eastAsia" w:ascii="宋体" w:hAnsi="宋体"/>
          <w:highlight w:val="none"/>
        </w:rPr>
      </w:pPr>
      <w:r>
        <w:rPr>
          <w:rStyle w:val="86"/>
          <w:rFonts w:hint="eastAsia" w:ascii="宋体" w:hAnsi="宋体"/>
          <w:highlight w:val="none"/>
        </w:rPr>
        <w:t>（5） 因发包人原因导致的暂停施工；</w:t>
      </w:r>
    </w:p>
    <w:p w14:paraId="1CE92524">
      <w:pPr>
        <w:pStyle w:val="84"/>
        <w:spacing w:line="360" w:lineRule="auto"/>
        <w:ind w:firstLine="600"/>
        <w:rPr>
          <w:rStyle w:val="86"/>
          <w:rFonts w:hint="eastAsia" w:ascii="宋体" w:hAnsi="宋体"/>
          <w:highlight w:val="none"/>
        </w:rPr>
      </w:pPr>
      <w:r>
        <w:rPr>
          <w:rStyle w:val="86"/>
          <w:rFonts w:hint="eastAsia" w:ascii="宋体" w:hAnsi="宋体"/>
          <w:highlight w:val="none"/>
        </w:rPr>
        <w:t>（6） 发包人未及时履行相关合同义务，造成工期延误的其他原因。</w:t>
      </w:r>
    </w:p>
    <w:p w14:paraId="3069C24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8.7.2 因承包人原因导致工期延误</w:t>
      </w:r>
    </w:p>
    <w:p w14:paraId="44881E92">
      <w:pPr>
        <w:pStyle w:val="84"/>
        <w:spacing w:line="360" w:lineRule="auto"/>
        <w:ind w:firstLine="600"/>
        <w:rPr>
          <w:rStyle w:val="86"/>
          <w:rFonts w:hint="eastAsia" w:ascii="宋体" w:hAnsi="宋体"/>
          <w:highlight w:val="none"/>
        </w:rPr>
      </w:pPr>
      <w:r>
        <w:rPr>
          <w:rStyle w:val="86"/>
          <w:rFonts w:hint="eastAsia" w:ascii="宋体" w:hAnsi="宋体"/>
          <w:highlight w:val="none"/>
        </w:rPr>
        <w:t>由于承包人的原因，未能按项目进度计划完成工作，承包人应采取措施加快进度，并承担加快进度所增加的费用。</w:t>
      </w:r>
    </w:p>
    <w:p w14:paraId="192674D8">
      <w:pPr>
        <w:pStyle w:val="84"/>
        <w:spacing w:line="360" w:lineRule="auto"/>
        <w:ind w:firstLine="600"/>
        <w:rPr>
          <w:rStyle w:val="86"/>
          <w:rFonts w:hint="eastAsia" w:ascii="宋体" w:hAnsi="宋体"/>
          <w:highlight w:val="none"/>
        </w:rPr>
      </w:pPr>
      <w:r>
        <w:rPr>
          <w:rStyle w:val="86"/>
          <w:rFonts w:hint="eastAsia" w:ascii="宋体" w:hAnsi="宋体"/>
          <w:highlight w:val="none"/>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5BC1310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 xml:space="preserve">8.7.3 行政审批迟延 </w:t>
      </w:r>
    </w:p>
    <w:p w14:paraId="208B49D7">
      <w:pPr>
        <w:pStyle w:val="84"/>
        <w:spacing w:line="360" w:lineRule="auto"/>
        <w:ind w:firstLine="600"/>
        <w:rPr>
          <w:rStyle w:val="86"/>
          <w:rFonts w:hint="eastAsia" w:ascii="宋体" w:hAnsi="宋体"/>
          <w:highlight w:val="none"/>
        </w:rPr>
      </w:pPr>
      <w:r>
        <w:rPr>
          <w:rStyle w:val="86"/>
          <w:rFonts w:hint="eastAsia" w:ascii="宋体" w:hAnsi="宋体"/>
          <w:highlight w: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1E838B9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8.7.4 异常恶劣的气候条件</w:t>
      </w:r>
    </w:p>
    <w:p w14:paraId="2144CFC2">
      <w:pPr>
        <w:pStyle w:val="84"/>
        <w:spacing w:line="360" w:lineRule="auto"/>
        <w:ind w:firstLine="600"/>
        <w:rPr>
          <w:rStyle w:val="86"/>
          <w:rFonts w:hint="eastAsia" w:ascii="宋体" w:hAnsi="宋体"/>
          <w:highlight w:val="none"/>
        </w:rPr>
      </w:pPr>
      <w:r>
        <w:rPr>
          <w:rStyle w:val="86"/>
          <w:rFonts w:hint="eastAsia" w:ascii="宋体" w:hAnsi="宋体"/>
          <w:highlight w: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5A91DDA1">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1DA13013">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8.8 工期提前</w:t>
      </w:r>
    </w:p>
    <w:p w14:paraId="352BBAB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1BE6EF0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14:paraId="40A35FD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8.9 暂停工作 </w:t>
      </w:r>
    </w:p>
    <w:p w14:paraId="2493FAF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8.9.1 由发包人暂停工作</w:t>
      </w:r>
    </w:p>
    <w:p w14:paraId="412D4B3F">
      <w:pPr>
        <w:pStyle w:val="84"/>
        <w:spacing w:line="360" w:lineRule="auto"/>
        <w:ind w:firstLine="600"/>
        <w:rPr>
          <w:rStyle w:val="86"/>
          <w:rFonts w:hint="eastAsia" w:ascii="宋体" w:hAnsi="宋体"/>
          <w:highlight w:val="none"/>
        </w:rPr>
      </w:pPr>
      <w:r>
        <w:rPr>
          <w:rStyle w:val="86"/>
          <w:rFonts w:hint="eastAsia" w:ascii="宋体" w:hAnsi="宋体"/>
          <w:highlight w:val="none"/>
        </w:rPr>
        <w:t>发包人认为必要时，可通过工程师向承包人发出经发包人签认的暂停工作通知，应列明暂停原因、暂停的日期及预计暂停的期限。承包人应按该通知暂停工作。</w:t>
      </w:r>
    </w:p>
    <w:p w14:paraId="0F31BDAA">
      <w:pPr>
        <w:pStyle w:val="84"/>
        <w:spacing w:line="360" w:lineRule="auto"/>
        <w:ind w:firstLine="600"/>
        <w:rPr>
          <w:rStyle w:val="86"/>
          <w:rFonts w:hint="eastAsia" w:ascii="宋体" w:hAnsi="宋体"/>
          <w:highlight w:val="none"/>
        </w:rPr>
      </w:pPr>
      <w:r>
        <w:rPr>
          <w:rStyle w:val="86"/>
          <w:rFonts w:hint="eastAsia" w:ascii="宋体" w:hAnsi="宋体"/>
          <w:highlight w:val="none"/>
        </w:rPr>
        <w:t>承包人因执行暂停工作通知而造成费用的增加和（或）工期延误由发包人承担，并有权要求发包人支付合理利润，但由于承包人原因造成发包人暂停工作的除外。</w:t>
      </w:r>
    </w:p>
    <w:p w14:paraId="3FD6EBD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 xml:space="preserve">8.9.2 由承包人暂停工作 </w:t>
      </w:r>
    </w:p>
    <w:p w14:paraId="20EB95FB">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77C8603F">
      <w:pPr>
        <w:pStyle w:val="84"/>
        <w:spacing w:line="360" w:lineRule="auto"/>
        <w:ind w:firstLine="600"/>
        <w:rPr>
          <w:rStyle w:val="86"/>
          <w:rFonts w:hint="eastAsia" w:ascii="宋体" w:hAnsi="宋体"/>
          <w:highlight w:val="none"/>
        </w:rPr>
      </w:pPr>
      <w:r>
        <w:rPr>
          <w:rStyle w:val="86"/>
          <w:rFonts w:hint="eastAsia" w:ascii="宋体" w:hAnsi="宋体"/>
          <w:highlight w: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60403481">
      <w:pPr>
        <w:pStyle w:val="84"/>
        <w:spacing w:line="360" w:lineRule="auto"/>
        <w:ind w:firstLine="600"/>
        <w:rPr>
          <w:rStyle w:val="86"/>
          <w:rFonts w:hint="eastAsia" w:ascii="宋体" w:hAnsi="宋体"/>
          <w:highlight w:val="none"/>
        </w:rPr>
      </w:pPr>
      <w:r>
        <w:rPr>
          <w:rStyle w:val="86"/>
          <w:rFonts w:hint="eastAsia" w:ascii="宋体" w:hAnsi="宋体"/>
          <w:highlight w:val="none"/>
        </w:rPr>
        <w:t>（1） 发包人拖延、拒绝批准付款申请和支付证书，或未能按合同约定支付价款，导致付款延误的；</w:t>
      </w:r>
    </w:p>
    <w:p w14:paraId="6ED7C755">
      <w:pPr>
        <w:pStyle w:val="84"/>
        <w:spacing w:line="360" w:lineRule="auto"/>
        <w:ind w:firstLine="600"/>
        <w:rPr>
          <w:rStyle w:val="86"/>
          <w:rFonts w:hint="eastAsia" w:ascii="宋体" w:hAnsi="宋体"/>
          <w:highlight w:val="none"/>
        </w:rPr>
      </w:pPr>
      <w:r>
        <w:rPr>
          <w:rStyle w:val="86"/>
          <w:rFonts w:hint="eastAsia" w:ascii="宋体" w:hAnsi="宋体"/>
          <w:highlight w:val="none"/>
        </w:rPr>
        <w:t>（2） 发包人未按约定履行合同其他义务导致承包人无法继续履行合同的，或者发包人明确表示暂停或实质上已暂停履行合同的。</w:t>
      </w:r>
    </w:p>
    <w:p w14:paraId="3EB01E9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8.9.3 除上述原因以外的暂停工作，双方应遵守第17条[不可抗力]的相关约定。</w:t>
      </w:r>
    </w:p>
    <w:p w14:paraId="4529987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 xml:space="preserve">8.9.4 暂停工作期间的工程照管 </w:t>
      </w:r>
    </w:p>
    <w:p w14:paraId="3728CC58">
      <w:pPr>
        <w:pStyle w:val="84"/>
        <w:spacing w:line="360" w:lineRule="auto"/>
        <w:ind w:firstLine="600"/>
        <w:rPr>
          <w:rStyle w:val="86"/>
          <w:rFonts w:hint="eastAsia" w:ascii="宋体" w:hAnsi="宋体"/>
          <w:highlight w:val="none"/>
        </w:rPr>
      </w:pPr>
      <w:r>
        <w:rPr>
          <w:rStyle w:val="86"/>
          <w:rFonts w:hint="eastAsia" w:ascii="宋体" w:hAnsi="宋体"/>
          <w:highlight w:val="none"/>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5B251C8B">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因承包人未能尽到照管、保护的责任造成损失的，使发包人的费用增加，（或）竣工日期延误的，由承包人按本合同约定承担责任。</w:t>
      </w:r>
    </w:p>
    <w:p w14:paraId="684ADEE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8.9.5 拖长的暂停</w:t>
      </w:r>
    </w:p>
    <w:p w14:paraId="194F8362">
      <w:pPr>
        <w:pStyle w:val="84"/>
        <w:spacing w:line="360" w:lineRule="auto"/>
        <w:ind w:firstLine="600"/>
        <w:rPr>
          <w:rStyle w:val="86"/>
          <w:rFonts w:hint="eastAsia" w:ascii="宋体" w:hAnsi="宋体"/>
          <w:highlight w:val="none"/>
        </w:rPr>
      </w:pPr>
      <w:r>
        <w:rPr>
          <w:rStyle w:val="86"/>
          <w:rFonts w:hint="eastAsia" w:ascii="宋体" w:hAnsi="宋体"/>
          <w:highlight w:val="none"/>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79160C5E">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8.10 复工 </w:t>
      </w:r>
    </w:p>
    <w:p w14:paraId="0F2E7BE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8.10.1 收到发包人的复工通知后，承包人应按通知时间复工；发包人通知的复工时间应当给予承包人必要的准备复工时间。</w:t>
      </w:r>
    </w:p>
    <w:p w14:paraId="741F5E3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8.10.2 不论由于何种原因引起暂停工作，双方均可要求对方一同对受暂停影响的工程、工程设备和工程物资进行检查，承包人应将检查结果及需要恢复、修复的内容和估算通知发包人。</w:t>
      </w:r>
    </w:p>
    <w:p w14:paraId="5975723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8.10.3 除第17条[不可抗力]另有约定外，发生的恢复、修复价款及工期延误的后果由责任方承担。</w:t>
      </w:r>
    </w:p>
    <w:p w14:paraId="07EEF500">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 xml:space="preserve">第9条 竣工试验 </w:t>
      </w:r>
    </w:p>
    <w:p w14:paraId="70E1BF7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9.1 竣工试验的义务</w:t>
      </w:r>
    </w:p>
    <w:p w14:paraId="59A0E2F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9.1.1 承包人完成工程或区段工程进行竣工试验所需的作业，并根据第5.4款[竣工文件]和第5.5款[操作和维修手册]提交文件后，进行竣工试验。</w:t>
      </w:r>
    </w:p>
    <w:p w14:paraId="533A2B5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141F722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19563D88">
      <w:pPr>
        <w:pStyle w:val="84"/>
        <w:spacing w:line="360" w:lineRule="auto"/>
        <w:ind w:firstLine="600"/>
        <w:rPr>
          <w:rStyle w:val="86"/>
          <w:rFonts w:hint="eastAsia" w:ascii="宋体" w:hAnsi="宋体"/>
          <w:highlight w:val="none"/>
        </w:rPr>
      </w:pPr>
      <w:r>
        <w:rPr>
          <w:rStyle w:val="86"/>
          <w:rFonts w:hint="eastAsia" w:ascii="宋体" w:hAnsi="宋体"/>
          <w:highlight w:val="none"/>
        </w:rPr>
        <w:t>（1） 承包人进行启动前试验，包括适当的检查和功能性试验，以证明工程或区段工程的每一部分均能够安全地承受下一阶段试验；</w:t>
      </w:r>
    </w:p>
    <w:p w14:paraId="2FC87844">
      <w:pPr>
        <w:pStyle w:val="84"/>
        <w:spacing w:line="360" w:lineRule="auto"/>
        <w:ind w:firstLine="600"/>
        <w:rPr>
          <w:rStyle w:val="86"/>
          <w:rFonts w:hint="eastAsia" w:ascii="宋体" w:hAnsi="宋体"/>
          <w:highlight w:val="none"/>
        </w:rPr>
      </w:pPr>
      <w:r>
        <w:rPr>
          <w:rStyle w:val="86"/>
          <w:rFonts w:hint="eastAsia" w:ascii="宋体" w:hAnsi="宋体"/>
          <w:highlight w:val="none"/>
        </w:rPr>
        <w:t>（2） 承包人进行启动试验，以证明工程或区段工程能够在所有可利用的操作条件下安全运行，并按照专用合同条件和《发包人要求》中的规定操作；</w:t>
      </w:r>
    </w:p>
    <w:p w14:paraId="5F4F952B">
      <w:pPr>
        <w:pStyle w:val="84"/>
        <w:spacing w:line="360" w:lineRule="auto"/>
        <w:ind w:firstLine="600"/>
        <w:rPr>
          <w:rStyle w:val="86"/>
          <w:rFonts w:hint="eastAsia" w:ascii="宋体" w:hAnsi="宋体"/>
          <w:highlight w:val="none"/>
        </w:rPr>
      </w:pPr>
      <w:r>
        <w:rPr>
          <w:rStyle w:val="86"/>
          <w:rFonts w:hint="eastAsia" w:ascii="宋体" w:hAnsi="宋体"/>
          <w:highlight w:val="none"/>
        </w:rPr>
        <w:t>（3） 承包人进行试运行试验。当工程或区段工程能稳定安全运行时，承包人应通知工程师，可以进行其他竣工试验，包括各种性能测试，以证明工程或区段工程符合《发包人要求》中列明的性能保证指标。</w:t>
      </w:r>
    </w:p>
    <w:p w14:paraId="4EFD456C">
      <w:pPr>
        <w:pStyle w:val="84"/>
        <w:spacing w:line="360" w:lineRule="auto"/>
        <w:ind w:firstLine="600"/>
        <w:rPr>
          <w:rStyle w:val="86"/>
          <w:rFonts w:hint="eastAsia" w:ascii="宋体" w:hAnsi="宋体"/>
          <w:highlight w:val="none"/>
        </w:rPr>
      </w:pPr>
      <w:r>
        <w:rPr>
          <w:rStyle w:val="86"/>
          <w:rFonts w:hint="eastAsia" w:ascii="宋体" w:hAnsi="宋体"/>
          <w:highlight w:val="none"/>
        </w:rPr>
        <w:t>进行上述试验不应构成第10条[验收和工程接收]规定的接收，但试验所产生的任何产品或其他收益均应归属于发包人。</w:t>
      </w:r>
    </w:p>
    <w:p w14:paraId="6309A8B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7F5480E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9.2 延误的试验</w:t>
      </w:r>
    </w:p>
    <w:p w14:paraId="4652369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5197C96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9.2.2 承包人无正当理由延误进行竣工试验的，工程师可向其发出通知，要求其在收到通知后的21天内进行该项竣工试验。承包人应在该21天的期限内确定进行试验的日期，并至少提前7天通知工程师。</w:t>
      </w:r>
    </w:p>
    <w:p w14:paraId="30E6B98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9.2.3 如果承包人未在该期限内进行竣工试验，则发包人有权自行组织该项竣工试验，由此产生的合理费用由承包人承担。发包人应在试验完成后28天内向承包人发送试验结果。</w:t>
      </w:r>
    </w:p>
    <w:p w14:paraId="75734A2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9.3 重新试验 </w:t>
      </w:r>
    </w:p>
    <w:p w14:paraId="3EDD27F0">
      <w:pPr>
        <w:pStyle w:val="84"/>
        <w:spacing w:line="360" w:lineRule="auto"/>
        <w:ind w:firstLine="600"/>
        <w:rPr>
          <w:rStyle w:val="86"/>
          <w:rFonts w:hint="eastAsia" w:ascii="宋体" w:hAnsi="宋体"/>
          <w:highlight w:val="none"/>
        </w:rPr>
      </w:pPr>
      <w:r>
        <w:rPr>
          <w:rStyle w:val="86"/>
          <w:rFonts w:hint="eastAsia" w:ascii="宋体" w:hAnsi="宋体"/>
          <w:highlight w:val="none"/>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5327007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9.4 未能通过竣工试验</w:t>
      </w:r>
    </w:p>
    <w:p w14:paraId="701BC76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9.4.1 因发包人原因导致竣工试验未能通过的，承包人进行竣工试验的费用由发包人承担，竣工日期相应顺延。</w:t>
      </w:r>
    </w:p>
    <w:p w14:paraId="31B88BA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9.4.2 如果工程或区段工程未能通过根据第9.3款[重新试验]重新进行的竣工试验的，则：</w:t>
      </w:r>
    </w:p>
    <w:p w14:paraId="4A67968A">
      <w:pPr>
        <w:pStyle w:val="84"/>
        <w:spacing w:line="360" w:lineRule="auto"/>
        <w:ind w:firstLine="600"/>
        <w:rPr>
          <w:rStyle w:val="86"/>
          <w:rFonts w:hint="eastAsia" w:ascii="宋体" w:hAnsi="宋体"/>
          <w:highlight w:val="none"/>
        </w:rPr>
      </w:pPr>
      <w:r>
        <w:rPr>
          <w:rStyle w:val="86"/>
          <w:rFonts w:hint="eastAsia" w:ascii="宋体" w:hAnsi="宋体"/>
          <w:highlight w:val="none"/>
        </w:rPr>
        <w:t>（1） 发包人有权要求承包人根据第6.6款[缺陷和修补]继续进行修补和改正，并根据第9.3款[重新试验]再次进行竣工试验；</w:t>
      </w:r>
    </w:p>
    <w:p w14:paraId="6AF8AB31">
      <w:pPr>
        <w:pStyle w:val="84"/>
        <w:spacing w:line="360" w:lineRule="auto"/>
        <w:ind w:firstLine="600"/>
        <w:rPr>
          <w:rStyle w:val="86"/>
          <w:rFonts w:hint="eastAsia" w:ascii="宋体" w:hAnsi="宋体"/>
          <w:highlight w:val="none"/>
        </w:rPr>
      </w:pPr>
      <w:r>
        <w:rPr>
          <w:rStyle w:val="86"/>
          <w:rFonts w:hint="eastAsia" w:ascii="宋体" w:hAnsi="宋体"/>
          <w:highlight w:val="none"/>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3577D125">
      <w:pPr>
        <w:pStyle w:val="84"/>
        <w:spacing w:line="360" w:lineRule="auto"/>
        <w:ind w:firstLine="600"/>
        <w:rPr>
          <w:rStyle w:val="86"/>
          <w:rFonts w:hint="eastAsia" w:ascii="宋体" w:hAnsi="宋体"/>
          <w:highlight w:val="none"/>
        </w:rPr>
      </w:pPr>
      <w:r>
        <w:rPr>
          <w:rStyle w:val="86"/>
          <w:rFonts w:hint="eastAsia" w:ascii="宋体" w:hAnsi="宋体"/>
          <w:highlight w:val="none"/>
        </w:rPr>
        <w:t>（3） 未能通过竣工试验，使工程或区段工程的任何主要部分丧失了生产、使用功能时，发包人有权指令承包人更换相关部分，承包人应承担因此增加的费用和误期损害赔偿责任，并赔偿发包人的相应损失；</w:t>
      </w:r>
    </w:p>
    <w:p w14:paraId="2538F3C8">
      <w:pPr>
        <w:pStyle w:val="84"/>
        <w:spacing w:line="360" w:lineRule="auto"/>
        <w:ind w:firstLine="600"/>
        <w:rPr>
          <w:rStyle w:val="86"/>
          <w:rFonts w:hint="eastAsia" w:ascii="宋体" w:hAnsi="宋体"/>
          <w:highlight w:val="none"/>
        </w:rPr>
      </w:pPr>
      <w:r>
        <w:rPr>
          <w:rStyle w:val="86"/>
          <w:rFonts w:hint="eastAsia" w:ascii="宋体" w:hAnsi="宋体"/>
          <w:highlight w:val="none"/>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31A1C83B">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第10条 验收和工程接收</w:t>
      </w:r>
    </w:p>
    <w:p w14:paraId="183DAA0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10.1 竣工验收</w:t>
      </w:r>
    </w:p>
    <w:p w14:paraId="289F45F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10.1.1 竣工验收条件</w:t>
      </w:r>
    </w:p>
    <w:p w14:paraId="59DA6F14">
      <w:pPr>
        <w:pStyle w:val="84"/>
        <w:spacing w:line="360" w:lineRule="auto"/>
        <w:ind w:firstLine="600"/>
        <w:rPr>
          <w:rStyle w:val="86"/>
          <w:rFonts w:hint="eastAsia" w:ascii="宋体" w:hAnsi="宋体"/>
          <w:highlight w:val="none"/>
        </w:rPr>
      </w:pPr>
      <w:r>
        <w:rPr>
          <w:rStyle w:val="86"/>
          <w:rFonts w:hint="eastAsia" w:ascii="宋体" w:hAnsi="宋体"/>
          <w:highlight w:val="none"/>
        </w:rPr>
        <w:t>工程具备以下条件的，承包人可以申请竣工验收：</w:t>
      </w:r>
    </w:p>
    <w:p w14:paraId="4C6A02B2">
      <w:pPr>
        <w:pStyle w:val="84"/>
        <w:spacing w:line="360" w:lineRule="auto"/>
        <w:ind w:firstLine="600"/>
        <w:rPr>
          <w:rStyle w:val="86"/>
          <w:rFonts w:hint="eastAsia" w:ascii="宋体" w:hAnsi="宋体"/>
          <w:highlight w:val="none"/>
        </w:rPr>
      </w:pPr>
      <w:r>
        <w:rPr>
          <w:rStyle w:val="86"/>
          <w:rFonts w:hint="eastAsia" w:ascii="宋体" w:hAnsi="宋体"/>
          <w:highlight w:val="none"/>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2BF4CBFF">
      <w:pPr>
        <w:pStyle w:val="84"/>
        <w:spacing w:line="360" w:lineRule="auto"/>
        <w:ind w:firstLine="600"/>
        <w:rPr>
          <w:rStyle w:val="86"/>
          <w:rFonts w:hint="eastAsia" w:ascii="宋体" w:hAnsi="宋体"/>
          <w:highlight w:val="none"/>
        </w:rPr>
      </w:pPr>
      <w:r>
        <w:rPr>
          <w:rStyle w:val="86"/>
          <w:rFonts w:hint="eastAsia" w:ascii="宋体" w:hAnsi="宋体"/>
          <w:highlight w:val="none"/>
        </w:rPr>
        <w:t>（2） 已按合同约定编制了扫尾工作和缺陷修补工作清单以及相应实施计划；</w:t>
      </w:r>
    </w:p>
    <w:p w14:paraId="5452AD3A">
      <w:pPr>
        <w:pStyle w:val="84"/>
        <w:spacing w:line="360" w:lineRule="auto"/>
        <w:ind w:firstLine="600"/>
        <w:rPr>
          <w:rStyle w:val="86"/>
          <w:rFonts w:hint="eastAsia" w:ascii="宋体" w:hAnsi="宋体"/>
          <w:highlight w:val="none"/>
        </w:rPr>
      </w:pPr>
      <w:r>
        <w:rPr>
          <w:rStyle w:val="86"/>
          <w:rFonts w:hint="eastAsia" w:ascii="宋体" w:hAnsi="宋体"/>
          <w:highlight w:val="none"/>
        </w:rPr>
        <w:t>（3） 已按合同约定的内容和份数备齐竣工资料；</w:t>
      </w:r>
    </w:p>
    <w:p w14:paraId="706C61B8">
      <w:pPr>
        <w:pStyle w:val="84"/>
        <w:spacing w:line="360" w:lineRule="auto"/>
        <w:ind w:firstLine="600"/>
        <w:rPr>
          <w:rStyle w:val="86"/>
          <w:rFonts w:hint="eastAsia" w:ascii="宋体" w:hAnsi="宋体"/>
          <w:highlight w:val="none"/>
        </w:rPr>
      </w:pPr>
      <w:r>
        <w:rPr>
          <w:rStyle w:val="86"/>
          <w:rFonts w:hint="eastAsia" w:ascii="宋体" w:hAnsi="宋体"/>
          <w:highlight w:val="none"/>
        </w:rPr>
        <w:t>（4） 合同约定要求在竣工验收前应完成的其他工作。</w:t>
      </w:r>
    </w:p>
    <w:p w14:paraId="1F6CCA8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10.1.2 竣工验收程序</w:t>
      </w:r>
    </w:p>
    <w:p w14:paraId="11AEBA0F">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除专用合同条件另有约定外，承包人申请竣工验收的，应当按照以下程序进行：</w:t>
      </w:r>
    </w:p>
    <w:p w14:paraId="5264AA67">
      <w:pPr>
        <w:pStyle w:val="84"/>
        <w:spacing w:line="360" w:lineRule="auto"/>
        <w:ind w:firstLine="600"/>
        <w:rPr>
          <w:rStyle w:val="86"/>
          <w:rFonts w:hint="eastAsia" w:ascii="宋体" w:hAnsi="宋体"/>
          <w:highlight w:val="none"/>
        </w:rPr>
      </w:pPr>
      <w:r>
        <w:rPr>
          <w:rStyle w:val="86"/>
          <w:rFonts w:hint="eastAsia" w:ascii="宋体" w:hAnsi="宋体"/>
          <w:highlight w:val="none"/>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665CDF9C">
      <w:pPr>
        <w:pStyle w:val="84"/>
        <w:spacing w:line="360" w:lineRule="auto"/>
        <w:ind w:firstLine="600"/>
        <w:rPr>
          <w:rStyle w:val="86"/>
          <w:rFonts w:hint="eastAsia" w:ascii="宋体" w:hAnsi="宋体"/>
          <w:highlight w:val="none"/>
        </w:rPr>
      </w:pPr>
      <w:r>
        <w:rPr>
          <w:rStyle w:val="86"/>
          <w:rFonts w:hint="eastAsia" w:ascii="宋体" w:hAnsi="宋体"/>
          <w:highlight w:val="none"/>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7E1AD721">
      <w:pPr>
        <w:pStyle w:val="84"/>
        <w:spacing w:line="360" w:lineRule="auto"/>
        <w:ind w:firstLine="600"/>
        <w:rPr>
          <w:rStyle w:val="86"/>
          <w:rFonts w:hint="eastAsia" w:ascii="宋体" w:hAnsi="宋体"/>
          <w:highlight w:val="none"/>
        </w:rPr>
      </w:pPr>
      <w:r>
        <w:rPr>
          <w:rStyle w:val="86"/>
          <w:rFonts w:hint="eastAsia" w:ascii="宋体" w:hAnsi="宋体"/>
          <w:highlight w:val="none"/>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A260B2B">
      <w:pPr>
        <w:pStyle w:val="84"/>
        <w:spacing w:line="360" w:lineRule="auto"/>
        <w:ind w:firstLine="600"/>
        <w:rPr>
          <w:rStyle w:val="86"/>
          <w:rFonts w:hint="eastAsia" w:ascii="宋体" w:hAnsi="宋体"/>
          <w:highlight w:val="none"/>
        </w:rPr>
      </w:pPr>
      <w:r>
        <w:rPr>
          <w:rStyle w:val="86"/>
          <w:rFonts w:hint="eastAsia" w:ascii="宋体" w:hAnsi="宋体"/>
          <w:highlight w:val="none"/>
        </w:rPr>
        <w:t>（4） 因发包人原因，未在工程师收到承包人竣工验收申请报告之日起42天内完成竣工验收的，以承包人提交竣工验收申请报告之日作为工程实际竣工日期。</w:t>
      </w:r>
    </w:p>
    <w:p w14:paraId="1E0EE078">
      <w:pPr>
        <w:pStyle w:val="84"/>
        <w:spacing w:line="360" w:lineRule="auto"/>
        <w:ind w:firstLine="600"/>
        <w:rPr>
          <w:rStyle w:val="86"/>
          <w:rFonts w:hint="eastAsia" w:ascii="宋体" w:hAnsi="宋体"/>
          <w:highlight w:val="none"/>
        </w:rPr>
      </w:pPr>
      <w:r>
        <w:rPr>
          <w:rStyle w:val="86"/>
          <w:rFonts w:hint="eastAsia" w:ascii="宋体" w:hAnsi="宋体"/>
          <w:highlight w:val="none"/>
        </w:rPr>
        <w:t>（5） 工程未经竣工验收，发包人擅自使用的，以转移占有工程之日为实际竣工日期。</w:t>
      </w:r>
    </w:p>
    <w:p w14:paraId="728B29DB">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除专用合同条件另有约定外，发包人不按照本项和第10.4款[接收证书]约定组织竣工验收、颁发工程接收证书的，每逾期一天，应以签约合同价为基数，按照贷款市场报价利率（LPR）支付违约金。</w:t>
      </w:r>
    </w:p>
    <w:p w14:paraId="73FE577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10.2 单位/区段工程的验收</w:t>
      </w:r>
    </w:p>
    <w:p w14:paraId="5C52903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32D85CC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10.2.2 发包人在全部工程竣工前，使用已接收的单位/区段工程导致承包人费用增加的，发包人应承担由此增加的费用和（或）工期延误，并支付承包人合理利润。</w:t>
      </w:r>
    </w:p>
    <w:p w14:paraId="7B96545B">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10.3 工程的接收</w:t>
      </w:r>
    </w:p>
    <w:p w14:paraId="2252159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10.3.1 根据工程项目的具体情况和特点，可按工程或单位/区段工程进行接收，并在专用合同条件约定接收的先后顺序、时间安排和其他要求。</w:t>
      </w:r>
    </w:p>
    <w:p w14:paraId="0FEB5ED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10.3.2 除按本条约定已经提交的资料外，接收工程时承包人需提交竣工验收资料的类别、内容、份数和提交时间，在专用合同条件中约定。</w:t>
      </w:r>
    </w:p>
    <w:p w14:paraId="4FA006F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66A4778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10.3.4 承包人无正当理由不移交工程的，承包人应承担工程照管、成品保护、保管等与工程有关的各项费用，合同当事人可以在专用合同条件中另行约定承包人无正当理由不移交工程的违约责任。</w:t>
      </w:r>
    </w:p>
    <w:p w14:paraId="0FEF5E3E">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10.4 接收证书</w:t>
      </w:r>
    </w:p>
    <w:p w14:paraId="59FE70F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012F628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1595889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10.4.3 竣工验收合格而发包人无正当理由逾期不颁发工程接收证书的，自验收合格后第15天起视为已颁发工程接收证书。</w:t>
      </w:r>
    </w:p>
    <w:p w14:paraId="75B171E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4E8D69E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10.4.5 存在扫尾工作的，工程接收证书中应当将第14.5.3项[扫尾工作清单]中约定的扫尾工作清单作为工程接收证书附件。</w:t>
      </w:r>
    </w:p>
    <w:p w14:paraId="12A7895B">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10.5 竣工退场</w:t>
      </w:r>
    </w:p>
    <w:p w14:paraId="691BC4C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10.5.1 竣工退场</w:t>
      </w:r>
    </w:p>
    <w:p w14:paraId="1D117345">
      <w:pPr>
        <w:pStyle w:val="84"/>
        <w:spacing w:line="360" w:lineRule="auto"/>
        <w:ind w:firstLine="600"/>
        <w:rPr>
          <w:rStyle w:val="86"/>
          <w:rFonts w:hint="eastAsia" w:ascii="宋体" w:hAnsi="宋体"/>
          <w:highlight w:val="none"/>
        </w:rPr>
      </w:pPr>
      <w:r>
        <w:rPr>
          <w:rStyle w:val="86"/>
          <w:rFonts w:hint="eastAsia" w:ascii="宋体" w:hAnsi="宋体"/>
          <w:highlight w:val="none"/>
        </w:rPr>
        <w:t>颁发工程接收证书后，承包人应对施工现场进行清理，并撤离相关人员，使得施工现场处于以下状态，直至工程师检验合格为止：</w:t>
      </w:r>
    </w:p>
    <w:p w14:paraId="290E6189">
      <w:pPr>
        <w:pStyle w:val="84"/>
        <w:spacing w:line="360" w:lineRule="auto"/>
        <w:ind w:firstLine="600"/>
        <w:rPr>
          <w:rStyle w:val="86"/>
          <w:rFonts w:hint="eastAsia" w:ascii="宋体" w:hAnsi="宋体"/>
          <w:highlight w:val="none"/>
        </w:rPr>
      </w:pPr>
      <w:r>
        <w:rPr>
          <w:rStyle w:val="86"/>
          <w:rFonts w:hint="eastAsia" w:ascii="宋体" w:hAnsi="宋体"/>
          <w:highlight w:val="none"/>
        </w:rPr>
        <w:t>（1） 施工现场内残留的垃圾已全部清除出场；</w:t>
      </w:r>
    </w:p>
    <w:p w14:paraId="5F52C90D">
      <w:pPr>
        <w:pStyle w:val="84"/>
        <w:spacing w:line="360" w:lineRule="auto"/>
        <w:ind w:firstLine="600"/>
        <w:rPr>
          <w:rStyle w:val="86"/>
          <w:rFonts w:hint="eastAsia" w:ascii="宋体" w:hAnsi="宋体"/>
          <w:highlight w:val="none"/>
        </w:rPr>
      </w:pPr>
      <w:r>
        <w:rPr>
          <w:rStyle w:val="86"/>
          <w:rFonts w:hint="eastAsia" w:ascii="宋体" w:hAnsi="宋体"/>
          <w:highlight w:val="none"/>
        </w:rPr>
        <w:t>（2） 临时工程已拆除，场地已按合同约定进行清理、平整或复原；</w:t>
      </w:r>
    </w:p>
    <w:p w14:paraId="619EC60B">
      <w:pPr>
        <w:pStyle w:val="84"/>
        <w:spacing w:line="360" w:lineRule="auto"/>
        <w:ind w:firstLine="600"/>
        <w:rPr>
          <w:rStyle w:val="86"/>
          <w:rFonts w:hint="eastAsia" w:ascii="宋体" w:hAnsi="宋体"/>
          <w:highlight w:val="none"/>
        </w:rPr>
      </w:pPr>
      <w:r>
        <w:rPr>
          <w:rStyle w:val="86"/>
          <w:rFonts w:hint="eastAsia" w:ascii="宋体" w:hAnsi="宋体"/>
          <w:highlight w:val="none"/>
        </w:rPr>
        <w:t>（3） 按合同约定应撤离的人员、承包人提供的施工设备和剩余的材料，包括废弃的施工设备和材料，已按计划撤离施工现场；</w:t>
      </w:r>
    </w:p>
    <w:p w14:paraId="5F9434EE">
      <w:pPr>
        <w:pStyle w:val="84"/>
        <w:spacing w:line="360" w:lineRule="auto"/>
        <w:ind w:firstLine="600"/>
        <w:rPr>
          <w:rStyle w:val="86"/>
          <w:rFonts w:hint="eastAsia" w:ascii="宋体" w:hAnsi="宋体"/>
          <w:highlight w:val="none"/>
        </w:rPr>
      </w:pPr>
      <w:r>
        <w:rPr>
          <w:rStyle w:val="86"/>
          <w:rFonts w:hint="eastAsia" w:ascii="宋体" w:hAnsi="宋体"/>
          <w:highlight w:val="none"/>
        </w:rPr>
        <w:t>（4） 施工现场周边及其附近道路、河道的施工堆积物，已全部清理；</w:t>
      </w:r>
    </w:p>
    <w:p w14:paraId="55D32B69">
      <w:pPr>
        <w:pStyle w:val="84"/>
        <w:spacing w:line="360" w:lineRule="auto"/>
        <w:ind w:firstLine="600"/>
        <w:rPr>
          <w:rStyle w:val="86"/>
          <w:rFonts w:hint="eastAsia" w:ascii="宋体" w:hAnsi="宋体"/>
          <w:highlight w:val="none"/>
        </w:rPr>
      </w:pPr>
      <w:r>
        <w:rPr>
          <w:rStyle w:val="86"/>
          <w:rFonts w:hint="eastAsia" w:ascii="宋体" w:hAnsi="宋体"/>
          <w:highlight w:val="none"/>
        </w:rPr>
        <w:t>（5） 施工现场其他竣工退场工作已全部完成。</w:t>
      </w:r>
    </w:p>
    <w:p w14:paraId="74041FB9">
      <w:pPr>
        <w:pStyle w:val="84"/>
        <w:spacing w:line="360" w:lineRule="auto"/>
        <w:ind w:firstLine="600"/>
        <w:rPr>
          <w:rStyle w:val="86"/>
          <w:rFonts w:hint="eastAsia" w:ascii="宋体" w:hAnsi="宋体"/>
          <w:highlight w:val="none"/>
        </w:rPr>
      </w:pPr>
      <w:r>
        <w:rPr>
          <w:rStyle w:val="86"/>
          <w:rFonts w:hint="eastAsia" w:ascii="宋体" w:hAnsi="宋体"/>
          <w:highlight w: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7363AD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10.5.2 地表还原</w:t>
      </w:r>
    </w:p>
    <w:p w14:paraId="636FC318">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承包人应按合同约定和工程师的要求恢复临时占地及清理场地，否则发包人有权委托其他人恢复或清理，所发生的费用由承包人承担。</w:t>
      </w:r>
    </w:p>
    <w:p w14:paraId="6B50BFB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10.5.3 人员撤离</w:t>
      </w:r>
    </w:p>
    <w:p w14:paraId="676EC02E">
      <w:pPr>
        <w:pStyle w:val="84"/>
        <w:spacing w:line="360" w:lineRule="auto"/>
        <w:ind w:firstLine="600"/>
        <w:rPr>
          <w:rStyle w:val="86"/>
          <w:rFonts w:hint="eastAsia" w:ascii="宋体" w:hAnsi="宋体"/>
          <w:highlight w:val="none"/>
        </w:rPr>
      </w:pPr>
      <w:r>
        <w:rPr>
          <w:rStyle w:val="86"/>
          <w:rFonts w:hint="eastAsia" w:ascii="宋体" w:hAnsi="宋体"/>
          <w:highlight w:val="none"/>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321AD569">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 xml:space="preserve">第11条 缺陷责任与保修 </w:t>
      </w:r>
    </w:p>
    <w:p w14:paraId="662F74D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11.1 工程保修的原则</w:t>
      </w:r>
    </w:p>
    <w:p w14:paraId="1B6AA6D6">
      <w:pPr>
        <w:pStyle w:val="84"/>
        <w:spacing w:line="360" w:lineRule="auto"/>
        <w:ind w:firstLine="600"/>
        <w:rPr>
          <w:rStyle w:val="86"/>
          <w:rFonts w:hint="eastAsia" w:ascii="宋体" w:hAnsi="宋体"/>
          <w:highlight w:val="none"/>
        </w:rPr>
      </w:pPr>
      <w:r>
        <w:rPr>
          <w:rStyle w:val="86"/>
          <w:rFonts w:hint="eastAsia" w:ascii="宋体" w:hAnsi="宋体"/>
          <w:highlight w:val="none"/>
        </w:rPr>
        <w:t>在工程移交发包人后，因承包人原因产生的质量缺陷，承包人应承担质量缺陷责任和保修义务。缺陷责任期届满，承包人仍应按合同约定的工程各部位保修年限承担保修义务。</w:t>
      </w:r>
    </w:p>
    <w:p w14:paraId="0DB0B55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11.2 缺陷责任期 </w:t>
      </w:r>
    </w:p>
    <w:p w14:paraId="4F89A803">
      <w:pPr>
        <w:pStyle w:val="84"/>
        <w:spacing w:line="360" w:lineRule="auto"/>
        <w:ind w:firstLine="600"/>
        <w:rPr>
          <w:rStyle w:val="86"/>
          <w:rFonts w:hint="eastAsia" w:ascii="宋体" w:hAnsi="宋体"/>
          <w:highlight w:val="none"/>
        </w:rPr>
      </w:pPr>
      <w:r>
        <w:rPr>
          <w:rStyle w:val="86"/>
          <w:rFonts w:hint="eastAsia" w:ascii="宋体" w:hAnsi="宋体"/>
          <w:highlight w:val="none"/>
        </w:rPr>
        <w:t>缺陷责任期原则上从工程竣工验收合格之日起计算，合同当事人应在专用合同条件约定缺陷责任期的具体期限，但该期限最长不超过24个月。</w:t>
      </w:r>
    </w:p>
    <w:p w14:paraId="1B21101E">
      <w:pPr>
        <w:pStyle w:val="84"/>
        <w:spacing w:line="360" w:lineRule="auto"/>
        <w:ind w:firstLine="600"/>
        <w:rPr>
          <w:rStyle w:val="86"/>
          <w:rFonts w:hint="eastAsia" w:ascii="宋体" w:hAnsi="宋体"/>
          <w:highlight w:val="none"/>
        </w:rPr>
      </w:pPr>
      <w:r>
        <w:rPr>
          <w:rStyle w:val="86"/>
          <w:rFonts w:hint="eastAsia" w:ascii="宋体" w:hAnsi="宋体"/>
          <w:highlight w:val="none"/>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321DBE07">
      <w:pPr>
        <w:pStyle w:val="84"/>
        <w:spacing w:line="360" w:lineRule="auto"/>
        <w:ind w:firstLine="600"/>
        <w:rPr>
          <w:rStyle w:val="86"/>
          <w:rFonts w:hint="eastAsia" w:ascii="宋体" w:hAnsi="宋体"/>
          <w:highlight w:val="none"/>
        </w:rPr>
      </w:pPr>
      <w:r>
        <w:rPr>
          <w:rStyle w:val="86"/>
          <w:rFonts w:hint="eastAsia" w:ascii="宋体" w:hAnsi="宋体"/>
          <w:highlight w: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2BEE334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11.3 缺陷调查</w:t>
      </w:r>
    </w:p>
    <w:p w14:paraId="36689052">
      <w:pPr>
        <w:pStyle w:val="84"/>
        <w:widowControl/>
        <w:adjustRightInd w:val="0"/>
        <w:snapToGrid w:val="0"/>
        <w:spacing w:after="156" w:afterLines="50" w:line="360" w:lineRule="auto"/>
        <w:outlineLvl w:val="3"/>
        <w:rPr>
          <w:rStyle w:val="86"/>
          <w:rFonts w:hint="eastAsia" w:ascii="宋体" w:hAnsi="宋体"/>
          <w:b/>
          <w:highlight w:val="none"/>
        </w:rPr>
      </w:pPr>
      <w:r>
        <w:rPr>
          <w:rStyle w:val="86"/>
          <w:rFonts w:hint="eastAsia" w:ascii="宋体" w:hAnsi="宋体"/>
          <w:highlight w:val="none"/>
        </w:rPr>
        <w:t>11.3.1 承包人缺陷调查</w:t>
      </w:r>
    </w:p>
    <w:p w14:paraId="4629A85F">
      <w:pPr>
        <w:pStyle w:val="84"/>
        <w:spacing w:line="360" w:lineRule="auto"/>
        <w:ind w:firstLine="600"/>
        <w:rPr>
          <w:rStyle w:val="86"/>
          <w:rFonts w:hint="eastAsia" w:ascii="宋体" w:hAnsi="宋体"/>
          <w:highlight w:val="none"/>
        </w:rPr>
      </w:pPr>
      <w:r>
        <w:rPr>
          <w:rStyle w:val="86"/>
          <w:rFonts w:hint="eastAsia" w:ascii="宋体" w:hAnsi="宋体"/>
          <w:highlight w: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7EE3363E">
      <w:pPr>
        <w:pStyle w:val="84"/>
        <w:spacing w:line="360" w:lineRule="auto"/>
        <w:ind w:firstLine="600"/>
        <w:rPr>
          <w:rStyle w:val="86"/>
          <w:rFonts w:hint="eastAsia" w:ascii="宋体" w:hAnsi="宋体"/>
          <w:highlight w:val="none"/>
        </w:rPr>
      </w:pPr>
      <w:r>
        <w:rPr>
          <w:rStyle w:val="86"/>
          <w:rFonts w:hint="eastAsia" w:ascii="宋体" w:hAnsi="宋体"/>
          <w:highlight w: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6C712FC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11.3.2 缺陷责任</w:t>
      </w:r>
    </w:p>
    <w:p w14:paraId="0ACF4FEE">
      <w:pPr>
        <w:pStyle w:val="84"/>
        <w:spacing w:line="360" w:lineRule="auto"/>
        <w:ind w:firstLine="600"/>
        <w:rPr>
          <w:rStyle w:val="86"/>
          <w:rFonts w:hint="eastAsia" w:ascii="宋体" w:hAnsi="宋体"/>
          <w:highlight w:val="none"/>
        </w:rPr>
      </w:pPr>
      <w:r>
        <w:rPr>
          <w:rStyle w:val="86"/>
          <w:rFonts w:hint="eastAsia" w:ascii="宋体" w:hAnsi="宋体"/>
          <w:highlight w: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5BC9508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11.3.3 修复费用</w:t>
      </w:r>
    </w:p>
    <w:p w14:paraId="37B819FC">
      <w:pPr>
        <w:pStyle w:val="84"/>
        <w:spacing w:line="360" w:lineRule="auto"/>
        <w:ind w:firstLine="600"/>
        <w:rPr>
          <w:rStyle w:val="86"/>
          <w:rFonts w:hint="eastAsia" w:ascii="宋体" w:hAnsi="宋体"/>
          <w:highlight w:val="none"/>
        </w:rPr>
      </w:pPr>
      <w:r>
        <w:rPr>
          <w:rStyle w:val="86"/>
          <w:rFonts w:hint="eastAsia" w:ascii="宋体" w:hAnsi="宋体"/>
          <w:highlight w:val="none"/>
        </w:rPr>
        <w:t>发包人和承包人应共同查清缺陷或损坏的原因。经查明属承包人原因造成的，应由承包人承担修复的费用。经查验非承包人原因造成的，发包人应承担修复的费用，并支付承包人合理利润。</w:t>
      </w:r>
    </w:p>
    <w:p w14:paraId="7D2AFB99">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11.3.4 修复通知</w:t>
      </w:r>
    </w:p>
    <w:p w14:paraId="32405FE8">
      <w:pPr>
        <w:pStyle w:val="84"/>
        <w:spacing w:line="360" w:lineRule="auto"/>
        <w:ind w:firstLine="600"/>
        <w:rPr>
          <w:rStyle w:val="86"/>
          <w:rFonts w:hint="eastAsia" w:ascii="宋体" w:hAnsi="宋体"/>
          <w:highlight w:val="none"/>
        </w:rPr>
      </w:pPr>
      <w:r>
        <w:rPr>
          <w:rStyle w:val="86"/>
          <w:rFonts w:hint="eastAsia" w:ascii="宋体" w:hAnsi="宋体"/>
          <w:highlight w: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6AED8F4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11.3.5 在现场外修复</w:t>
      </w:r>
    </w:p>
    <w:p w14:paraId="1203354B">
      <w:pPr>
        <w:pStyle w:val="84"/>
        <w:spacing w:line="360" w:lineRule="auto"/>
        <w:ind w:firstLine="600"/>
        <w:rPr>
          <w:rStyle w:val="86"/>
          <w:rFonts w:hint="eastAsia" w:ascii="宋体" w:hAnsi="宋体"/>
          <w:highlight w:val="none"/>
        </w:rPr>
      </w:pPr>
      <w:r>
        <w:rPr>
          <w:rStyle w:val="86"/>
          <w:rFonts w:hint="eastAsia" w:ascii="宋体" w:hAnsi="宋体"/>
          <w:highlight w: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38A6C4A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11.3.6 未能修复</w:t>
      </w:r>
    </w:p>
    <w:p w14:paraId="458F4E6A">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5F6AFCEB">
      <w:pPr>
        <w:pStyle w:val="84"/>
        <w:spacing w:line="360" w:lineRule="auto"/>
        <w:ind w:firstLine="600"/>
        <w:rPr>
          <w:rStyle w:val="86"/>
          <w:rFonts w:hint="eastAsia" w:ascii="宋体" w:hAnsi="宋体"/>
          <w:highlight w:val="none"/>
        </w:rPr>
      </w:pPr>
      <w:r>
        <w:rPr>
          <w:rStyle w:val="86"/>
          <w:rFonts w:hint="eastAsia" w:ascii="宋体" w:hAnsi="宋体"/>
          <w:highlight w:val="none"/>
        </w:rPr>
        <w:t>如果工程或工程设备的缺陷或损害使发包人实质上失去了工程的整体功能，发包人有权向承包人追回已支付的工程款项，并要求其赔偿发包人相应损失。</w:t>
      </w:r>
    </w:p>
    <w:p w14:paraId="67706B4E">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11.4 缺陷修复后的进一步试验</w:t>
      </w:r>
    </w:p>
    <w:p w14:paraId="69D57E6E">
      <w:pPr>
        <w:pStyle w:val="84"/>
        <w:spacing w:line="360" w:lineRule="auto"/>
        <w:ind w:firstLine="600"/>
        <w:rPr>
          <w:rStyle w:val="86"/>
          <w:rFonts w:hint="eastAsia" w:ascii="宋体" w:hAnsi="宋体"/>
          <w:highlight w:val="none"/>
        </w:rPr>
      </w:pPr>
      <w:r>
        <w:rPr>
          <w:rStyle w:val="86"/>
          <w:rFonts w:hint="eastAsia" w:ascii="宋体" w:hAnsi="宋体"/>
          <w:highlight w:val="none"/>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51029BCE">
      <w:pPr>
        <w:pStyle w:val="84"/>
        <w:spacing w:line="360" w:lineRule="auto"/>
        <w:ind w:firstLine="600"/>
        <w:rPr>
          <w:rStyle w:val="86"/>
          <w:rFonts w:hint="eastAsia" w:ascii="宋体" w:hAnsi="宋体"/>
          <w:highlight w:val="none"/>
        </w:rPr>
      </w:pPr>
      <w:r>
        <w:rPr>
          <w:rStyle w:val="86"/>
          <w:rFonts w:hint="eastAsia" w:ascii="宋体" w:hAnsi="宋体"/>
          <w:highlight w:val="none"/>
        </w:rPr>
        <w:t>所有的重复试验应按照适用于先前试验的条款进行，但应由责任方承担修补工作的成本和重新试验的风险和费用。</w:t>
      </w:r>
    </w:p>
    <w:p w14:paraId="72E4344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11.5 承包人出入权</w:t>
      </w:r>
    </w:p>
    <w:p w14:paraId="67967E39">
      <w:pPr>
        <w:pStyle w:val="84"/>
        <w:spacing w:line="360" w:lineRule="auto"/>
        <w:ind w:firstLine="600"/>
        <w:rPr>
          <w:rStyle w:val="86"/>
          <w:rFonts w:hint="eastAsia" w:ascii="宋体" w:hAnsi="宋体"/>
          <w:highlight w:val="none"/>
        </w:rPr>
      </w:pPr>
      <w:r>
        <w:rPr>
          <w:rStyle w:val="86"/>
          <w:rFonts w:hint="eastAsia" w:ascii="宋体" w:hAnsi="宋体"/>
          <w:highlight w:val="none"/>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55CD03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11.6 缺陷责任期终止证书</w:t>
      </w:r>
    </w:p>
    <w:p w14:paraId="24BD505B">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7A07BB09">
      <w:pPr>
        <w:pStyle w:val="84"/>
        <w:spacing w:line="360" w:lineRule="auto"/>
        <w:ind w:firstLine="600"/>
        <w:rPr>
          <w:rStyle w:val="86"/>
          <w:rFonts w:hint="eastAsia" w:ascii="宋体" w:hAnsi="宋体"/>
          <w:highlight w:val="none"/>
        </w:rPr>
      </w:pPr>
      <w:r>
        <w:rPr>
          <w:rStyle w:val="86"/>
          <w:rFonts w:hint="eastAsia" w:ascii="宋体" w:hAnsi="宋体"/>
          <w:highlight w:val="none"/>
        </w:rPr>
        <w:t>如根据第10.5.3项[人员撤离]承包人在施工现场还留有人员、施工设备和临时工程的，承包人应当在收到缺陷责任期终止证书后28天内，将上述人员、施工设备和临时工程撤离施工现场。</w:t>
      </w:r>
    </w:p>
    <w:p w14:paraId="65A83A5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11.7 保修责任</w:t>
      </w:r>
    </w:p>
    <w:p w14:paraId="5D54E95F">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因承包人原因导致的质量缺陷责任，由合同当事人根据有关法律规定，在专用合同条件和工程质量保修书中约定工程质量保修范围、期限和责任。</w:t>
      </w:r>
    </w:p>
    <w:p w14:paraId="5969CE23">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第12条 竣工后试验</w:t>
      </w:r>
    </w:p>
    <w:p w14:paraId="7666A779">
      <w:pPr>
        <w:pStyle w:val="84"/>
        <w:spacing w:line="360" w:lineRule="auto"/>
        <w:ind w:firstLine="600"/>
        <w:rPr>
          <w:rStyle w:val="86"/>
          <w:rFonts w:hint="eastAsia" w:ascii="宋体" w:hAnsi="宋体"/>
          <w:highlight w:val="none"/>
        </w:rPr>
      </w:pPr>
      <w:r>
        <w:rPr>
          <w:rStyle w:val="86"/>
          <w:rFonts w:hint="eastAsia" w:ascii="宋体" w:hAnsi="宋体"/>
          <w:highlight w:val="none"/>
        </w:rPr>
        <w:t>本合同工程包含竣工后试验的，遵守本条约定。</w:t>
      </w:r>
    </w:p>
    <w:p w14:paraId="2E97173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12.1 竣工后试验的程序</w:t>
      </w:r>
    </w:p>
    <w:p w14:paraId="1906080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12.1.1 工程或区段工程被发包人接收后，在合理可行的情况下应根据合同约定尽早进行竣工后试验。</w:t>
      </w:r>
    </w:p>
    <w:p w14:paraId="2D70F02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4EA6216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0641F75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683EC60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12.1.5 竣工后试验的结果应由双方进行整理和评价，并应适当考虑发包人对工程或其任何部分的使用，对工程或区段工程的性能、特性和试验结果产生的影响。</w:t>
      </w:r>
    </w:p>
    <w:p w14:paraId="3214FF8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12.2 延误的试验 </w:t>
      </w:r>
    </w:p>
    <w:p w14:paraId="179AF51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12.2.1 如果竣工后试验因发包人原因被延误的，发包人应承担承包人由此增加的费用并支付承包人合理利润。</w:t>
      </w:r>
    </w:p>
    <w:p w14:paraId="3DF7391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12.2.2 如果因承包人以外的原因，导致竣工后试验未能在缺陷责任期或双方另行同意的其他期限内完成，则相关工程或区段工程应视为已通过该竣工后试验。</w:t>
      </w:r>
    </w:p>
    <w:p w14:paraId="6E33DA6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12.3 重新试验</w:t>
      </w:r>
    </w:p>
    <w:p w14:paraId="3078520F">
      <w:pPr>
        <w:pStyle w:val="84"/>
        <w:spacing w:line="360" w:lineRule="auto"/>
        <w:ind w:firstLine="600"/>
        <w:rPr>
          <w:rStyle w:val="86"/>
          <w:rFonts w:hint="eastAsia" w:ascii="宋体" w:hAnsi="宋体"/>
          <w:highlight w:val="none"/>
        </w:rPr>
      </w:pPr>
      <w:r>
        <w:rPr>
          <w:rStyle w:val="86"/>
          <w:rFonts w:hint="eastAsia" w:ascii="宋体" w:hAnsi="宋体"/>
          <w:highlight w:val="none"/>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05D56A0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12.4 未能通过竣工后试验</w:t>
      </w:r>
    </w:p>
    <w:p w14:paraId="5832C70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59F3509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63021A6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12.4.3 发包人无故拖延给予承包人进行调查、调整或修补所需的进入工程或区段工程的许可，并造成承包人费用增加的，应承担由此增加的费用并支付承包人合理利润。</w:t>
      </w:r>
    </w:p>
    <w:p w14:paraId="7670000F">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第13条 变更与调整</w:t>
      </w:r>
    </w:p>
    <w:p w14:paraId="12399EC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13.1 发包人变更权 </w:t>
      </w:r>
    </w:p>
    <w:p w14:paraId="20A4E6D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295E1FD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10D206D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13.2 承包人的合理化建议</w:t>
      </w:r>
    </w:p>
    <w:p w14:paraId="3FBFB55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13.2.1 承包人提出合理化建议的，应向工程师提交合理化建议说明，说明建议的内容、理由以及实施该建议对合同价格和工期的影响。</w:t>
      </w:r>
    </w:p>
    <w:p w14:paraId="2903A8E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4FB9BB4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13.2.3 合理化建议降低了合同价格、缩短了工期或者提高了工程经济效益的，双方可以按照专用合同条件的约定进行利益分享。</w:t>
      </w:r>
    </w:p>
    <w:p w14:paraId="2DDB848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13.3 变更程序</w:t>
      </w:r>
    </w:p>
    <w:p w14:paraId="392CF27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13.3.1 发包人提出变更</w:t>
      </w:r>
    </w:p>
    <w:p w14:paraId="64B38F28">
      <w:pPr>
        <w:pStyle w:val="84"/>
        <w:spacing w:line="360" w:lineRule="auto"/>
        <w:ind w:firstLine="600"/>
        <w:rPr>
          <w:rStyle w:val="86"/>
          <w:rFonts w:hint="eastAsia" w:ascii="宋体" w:hAnsi="宋体"/>
          <w:highlight w:val="none"/>
        </w:rPr>
      </w:pPr>
      <w:r>
        <w:rPr>
          <w:rStyle w:val="86"/>
          <w:rFonts w:hint="eastAsia" w:ascii="宋体" w:hAnsi="宋体"/>
          <w:highlight w:val="none"/>
        </w:rPr>
        <w:t>发包人提出变更的，应通过工程师向承包人发出书面形式的变更指示，变更指示应说明计划变更的工程范围和变更的内容。</w:t>
      </w:r>
    </w:p>
    <w:p w14:paraId="341871F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13.3.2 变更执行</w:t>
      </w:r>
    </w:p>
    <w:p w14:paraId="3BC499DB">
      <w:pPr>
        <w:pStyle w:val="84"/>
        <w:spacing w:line="360" w:lineRule="auto"/>
        <w:ind w:firstLine="600"/>
        <w:rPr>
          <w:rStyle w:val="86"/>
          <w:rFonts w:hint="eastAsia" w:ascii="宋体" w:hAnsi="宋体"/>
          <w:highlight w:val="none"/>
        </w:rPr>
      </w:pPr>
      <w:r>
        <w:rPr>
          <w:rStyle w:val="86"/>
          <w:rFonts w:hint="eastAsia" w:ascii="宋体" w:hAnsi="宋体"/>
          <w:highlight w: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1F41606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13.3.3 变更估价</w:t>
      </w:r>
    </w:p>
    <w:p w14:paraId="29A30803">
      <w:pPr>
        <w:pStyle w:val="84"/>
        <w:widowControl/>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13.3.3.1 变更估价原则</w:t>
      </w:r>
    </w:p>
    <w:p w14:paraId="05593059">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除专用合同条件另有约定外，变更估价按照本款约定处理：</w:t>
      </w:r>
    </w:p>
    <w:p w14:paraId="7A576DC7">
      <w:pPr>
        <w:pStyle w:val="84"/>
        <w:spacing w:line="360" w:lineRule="auto"/>
        <w:ind w:firstLine="600"/>
        <w:rPr>
          <w:rStyle w:val="86"/>
          <w:rFonts w:hint="eastAsia" w:ascii="宋体" w:hAnsi="宋体"/>
          <w:highlight w:val="none"/>
        </w:rPr>
      </w:pPr>
      <w:r>
        <w:rPr>
          <w:rStyle w:val="86"/>
          <w:rFonts w:hint="eastAsia" w:ascii="宋体" w:hAnsi="宋体"/>
          <w:highlight w:val="none"/>
        </w:rPr>
        <w:t>（1） 合同中未包含价格清单，合同价格应按照所执行的变更工程的成本加利润调整；</w:t>
      </w:r>
    </w:p>
    <w:p w14:paraId="7672FA26">
      <w:pPr>
        <w:pStyle w:val="84"/>
        <w:spacing w:line="360" w:lineRule="auto"/>
        <w:ind w:firstLine="600"/>
        <w:rPr>
          <w:rStyle w:val="86"/>
          <w:rFonts w:hint="eastAsia" w:ascii="宋体" w:hAnsi="宋体"/>
          <w:highlight w:val="none"/>
        </w:rPr>
      </w:pPr>
      <w:r>
        <w:rPr>
          <w:rStyle w:val="86"/>
          <w:rFonts w:hint="eastAsia" w:ascii="宋体" w:hAnsi="宋体"/>
          <w:highlight w:val="none"/>
        </w:rPr>
        <w:t>（2） 合同中包含价格清单，合同价格按照如下规则调整：</w:t>
      </w:r>
    </w:p>
    <w:p w14:paraId="7394B6CD">
      <w:pPr>
        <w:pStyle w:val="84"/>
        <w:spacing w:line="360" w:lineRule="auto"/>
        <w:ind w:firstLine="600"/>
        <w:rPr>
          <w:rStyle w:val="86"/>
          <w:rFonts w:hint="eastAsia" w:ascii="宋体" w:hAnsi="宋体"/>
          <w:highlight w:val="none"/>
        </w:rPr>
      </w:pPr>
      <w:r>
        <w:rPr>
          <w:rStyle w:val="86"/>
          <w:rFonts w:hint="eastAsia" w:ascii="宋体" w:hAnsi="宋体"/>
          <w:highlight w:val="none"/>
        </w:rPr>
        <w:t>1） 价格清单中有适用于变更工程项目的，应采用该项目的费率和价格；</w:t>
      </w:r>
    </w:p>
    <w:p w14:paraId="4781967C">
      <w:pPr>
        <w:pStyle w:val="84"/>
        <w:spacing w:line="360" w:lineRule="auto"/>
        <w:ind w:firstLine="600"/>
        <w:rPr>
          <w:rStyle w:val="86"/>
          <w:rFonts w:hint="eastAsia" w:ascii="宋体" w:hAnsi="宋体"/>
          <w:highlight w:val="none"/>
        </w:rPr>
      </w:pPr>
      <w:r>
        <w:rPr>
          <w:rStyle w:val="86"/>
          <w:rFonts w:hint="eastAsia" w:ascii="宋体" w:hAnsi="宋体"/>
          <w:highlight w:val="none"/>
        </w:rPr>
        <w:t>2） 价格清单中没有适用但有类似于变更工程项目的，可在合理范围内参照类似项目的费率或价格；</w:t>
      </w:r>
    </w:p>
    <w:p w14:paraId="3A7732F6">
      <w:pPr>
        <w:pStyle w:val="84"/>
        <w:spacing w:line="360" w:lineRule="auto"/>
        <w:ind w:firstLine="600"/>
        <w:rPr>
          <w:rStyle w:val="86"/>
          <w:rFonts w:hint="eastAsia" w:ascii="宋体" w:hAnsi="宋体"/>
          <w:highlight w:val="none"/>
        </w:rPr>
      </w:pPr>
      <w:r>
        <w:rPr>
          <w:rStyle w:val="86"/>
          <w:rFonts w:hint="eastAsia" w:ascii="宋体" w:hAnsi="宋体"/>
          <w:highlight w:val="none"/>
        </w:rPr>
        <w:t>3） 价格清单中没有适用也没有类似于变更工程项目的，该工程项目应按成本加利润原则调整适用新的费率或价格。</w:t>
      </w:r>
    </w:p>
    <w:p w14:paraId="00C0CC64">
      <w:pPr>
        <w:pStyle w:val="84"/>
        <w:widowControl/>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13.3.3.2 变更估价程序</w:t>
      </w:r>
    </w:p>
    <w:p w14:paraId="177A1782">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6DA0F171">
      <w:pPr>
        <w:pStyle w:val="84"/>
        <w:spacing w:line="360" w:lineRule="auto"/>
        <w:ind w:firstLine="600"/>
        <w:rPr>
          <w:rStyle w:val="86"/>
          <w:rFonts w:hint="eastAsia" w:ascii="宋体" w:hAnsi="宋体"/>
          <w:highlight w:val="none"/>
        </w:rPr>
      </w:pPr>
      <w:r>
        <w:rPr>
          <w:rStyle w:val="86"/>
          <w:rFonts w:hint="eastAsia" w:ascii="宋体" w:hAnsi="宋体"/>
          <w:highlight w:val="none"/>
        </w:rPr>
        <w:t>因变更引起的价格调整应计入最近一期的进度款中支付。</w:t>
      </w:r>
    </w:p>
    <w:p w14:paraId="2ED7FD4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13.3.4 变更引起的工期调整</w:t>
      </w:r>
    </w:p>
    <w:p w14:paraId="5489E40F">
      <w:pPr>
        <w:pStyle w:val="84"/>
        <w:spacing w:line="360" w:lineRule="auto"/>
        <w:ind w:firstLine="600"/>
        <w:rPr>
          <w:rStyle w:val="86"/>
          <w:rFonts w:hint="eastAsia" w:ascii="宋体" w:hAnsi="宋体"/>
          <w:highlight w:val="none"/>
        </w:rPr>
      </w:pPr>
      <w:r>
        <w:rPr>
          <w:rStyle w:val="86"/>
          <w:rFonts w:hint="eastAsia" w:ascii="宋体" w:hAnsi="宋体"/>
          <w:highlight w:val="none"/>
        </w:rPr>
        <w:t>因变更引起工期变化的，合同当事人均可要求调整合同工期，由合同当事人按照第3.6款[商定或确定]并参考工程所在地的工期定额标准确定增减工期天数。</w:t>
      </w:r>
    </w:p>
    <w:p w14:paraId="02BD3903">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13.4 暂估价</w:t>
      </w:r>
    </w:p>
    <w:p w14:paraId="47EC510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13.4.1 依法必须招标的暂估价项目</w:t>
      </w:r>
    </w:p>
    <w:p w14:paraId="519FAF71">
      <w:pPr>
        <w:pStyle w:val="84"/>
        <w:spacing w:line="360" w:lineRule="auto"/>
        <w:ind w:firstLine="600"/>
        <w:rPr>
          <w:rStyle w:val="86"/>
          <w:rFonts w:hint="eastAsia" w:ascii="宋体" w:hAnsi="宋体"/>
          <w:highlight w:val="none"/>
        </w:rPr>
      </w:pPr>
      <w:r>
        <w:rPr>
          <w:rStyle w:val="86"/>
          <w:rFonts w:hint="eastAsia" w:ascii="宋体" w:hAnsi="宋体"/>
          <w:highlight w:val="none"/>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4FC7FF8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专用合同条件约定由发包人和承包人共同作为招标人的，与组织招标工作有关的费用在专用合同条件中约定。</w:t>
      </w:r>
    </w:p>
    <w:p w14:paraId="184D0A92">
      <w:pPr>
        <w:pStyle w:val="84"/>
        <w:spacing w:line="360" w:lineRule="auto"/>
        <w:ind w:firstLine="600"/>
        <w:rPr>
          <w:rStyle w:val="86"/>
          <w:rFonts w:hint="eastAsia" w:ascii="宋体" w:hAnsi="宋体"/>
          <w:highlight w:val="none"/>
        </w:rPr>
      </w:pPr>
      <w:r>
        <w:rPr>
          <w:rStyle w:val="86"/>
          <w:rFonts w:hint="eastAsia" w:ascii="宋体" w:hAnsi="宋体"/>
          <w:highlight w:val="none"/>
        </w:rPr>
        <w:t>具体的招标程序以及发包人和承包人权利义务关系可在专用合同条件中约定。暂估价项目的中标金额与价格清单中所列暂估价的金额差以及相应的税金等其他费用应列入合同价格。</w:t>
      </w:r>
    </w:p>
    <w:p w14:paraId="38FE1BC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13.4.2 不属于依法必须招标的暂估价项目</w:t>
      </w:r>
    </w:p>
    <w:p w14:paraId="4030F797">
      <w:pPr>
        <w:pStyle w:val="84"/>
        <w:spacing w:line="360" w:lineRule="auto"/>
        <w:ind w:firstLine="600"/>
        <w:rPr>
          <w:rStyle w:val="86"/>
          <w:rFonts w:hint="eastAsia" w:ascii="宋体" w:hAnsi="宋体"/>
          <w:highlight w:val="none"/>
        </w:rPr>
      </w:pPr>
      <w:r>
        <w:rPr>
          <w:rStyle w:val="86"/>
          <w:rFonts w:hint="eastAsia" w:ascii="宋体" w:hAnsi="宋体"/>
          <w:highlight w: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4C5E20C5">
      <w:pPr>
        <w:pStyle w:val="84"/>
        <w:spacing w:line="360" w:lineRule="auto"/>
        <w:ind w:firstLine="600"/>
        <w:rPr>
          <w:rStyle w:val="86"/>
          <w:rFonts w:hint="eastAsia" w:ascii="宋体" w:hAnsi="宋体"/>
          <w:highlight w:val="none"/>
        </w:rPr>
      </w:pPr>
      <w:r>
        <w:rPr>
          <w:rStyle w:val="86"/>
          <w:rFonts w:hint="eastAsia" w:ascii="宋体" w:hAnsi="宋体"/>
          <w:highlight w: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B1D40B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13.5 暂列金额 </w:t>
      </w:r>
    </w:p>
    <w:p w14:paraId="142E2525">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7D1F2EEE">
      <w:pPr>
        <w:pStyle w:val="84"/>
        <w:spacing w:line="360" w:lineRule="auto"/>
        <w:ind w:firstLine="600"/>
        <w:rPr>
          <w:rStyle w:val="86"/>
          <w:rFonts w:hint="eastAsia" w:ascii="宋体" w:hAnsi="宋体"/>
          <w:highlight w:val="none"/>
        </w:rPr>
      </w:pPr>
      <w:r>
        <w:rPr>
          <w:rStyle w:val="86"/>
          <w:rFonts w:hint="eastAsia" w:ascii="宋体" w:hAnsi="宋体"/>
          <w:highlight w:val="none"/>
        </w:rPr>
        <w:t>对于每笔暂列金额，发包人可以指示用于下列支付：</w:t>
      </w:r>
    </w:p>
    <w:p w14:paraId="5D52B43B">
      <w:pPr>
        <w:pStyle w:val="84"/>
        <w:spacing w:line="360" w:lineRule="auto"/>
        <w:ind w:firstLine="600"/>
        <w:rPr>
          <w:rStyle w:val="86"/>
          <w:rFonts w:hint="eastAsia" w:ascii="宋体" w:hAnsi="宋体"/>
          <w:highlight w:val="none"/>
        </w:rPr>
      </w:pPr>
      <w:r>
        <w:rPr>
          <w:rStyle w:val="86"/>
          <w:rFonts w:hint="eastAsia" w:ascii="宋体" w:hAnsi="宋体"/>
          <w:highlight w:val="none"/>
        </w:rPr>
        <w:t>（1） 发包人根据第13.1款[发包人变更权]指示变更，决定对合同价格和付款计划表（如有）进行调整的、由承包人实施的工作（包括要提供的工程设备、材料和服务）；</w:t>
      </w:r>
    </w:p>
    <w:p w14:paraId="01569879">
      <w:pPr>
        <w:pStyle w:val="84"/>
        <w:spacing w:line="360" w:lineRule="auto"/>
        <w:ind w:firstLine="600"/>
        <w:rPr>
          <w:rStyle w:val="86"/>
          <w:rFonts w:hint="eastAsia" w:ascii="宋体" w:hAnsi="宋体"/>
          <w:highlight w:val="none"/>
        </w:rPr>
      </w:pPr>
      <w:r>
        <w:rPr>
          <w:rStyle w:val="86"/>
          <w:rFonts w:hint="eastAsia" w:ascii="宋体" w:hAnsi="宋体"/>
          <w:highlight w:val="none"/>
        </w:rPr>
        <w:t>（2） 承包人购买的工程设备、材料、工作或服务，应支付包括承包人已付（或应付）的实际金额以及相应的管理费等费用和利润（管理费和利润应以实际金额为基数根据合同约定的费率（如有）或百分比计算）。</w:t>
      </w:r>
    </w:p>
    <w:p w14:paraId="6D8DDBA7">
      <w:pPr>
        <w:pStyle w:val="84"/>
        <w:spacing w:line="360" w:lineRule="auto"/>
        <w:ind w:firstLine="600"/>
        <w:rPr>
          <w:rStyle w:val="86"/>
          <w:rFonts w:hint="eastAsia" w:ascii="宋体" w:hAnsi="宋体"/>
          <w:highlight w:val="none"/>
        </w:rPr>
      </w:pPr>
      <w:r>
        <w:rPr>
          <w:rStyle w:val="86"/>
          <w:rFonts w:hint="eastAsia" w:ascii="宋体" w:hAnsi="宋体"/>
          <w:highlight w:val="none"/>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38EAC0BB">
      <w:pPr>
        <w:pStyle w:val="84"/>
        <w:spacing w:line="360" w:lineRule="auto"/>
        <w:ind w:firstLine="600"/>
        <w:rPr>
          <w:rStyle w:val="86"/>
          <w:rFonts w:hint="eastAsia" w:ascii="宋体" w:hAnsi="宋体"/>
          <w:highlight w:val="none"/>
        </w:rPr>
      </w:pPr>
      <w:r>
        <w:rPr>
          <w:rStyle w:val="86"/>
          <w:rFonts w:hint="eastAsia" w:ascii="宋体" w:hAnsi="宋体"/>
          <w:highlight w:val="none"/>
        </w:rPr>
        <w:t>每份包含暂列金额的文件还应包括用以证明暂列金额的所有有效的发票、凭证和账户或收据。</w:t>
      </w:r>
    </w:p>
    <w:p w14:paraId="7CB30413">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13.6 计日工</w:t>
      </w:r>
    </w:p>
    <w:p w14:paraId="1219E33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76E4ECD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13.6.2 采用计日工计价的任何一项工作，承包人应在该项工作实施过程中，每天提交以下报表和有关凭证报送工程师审查：</w:t>
      </w:r>
    </w:p>
    <w:p w14:paraId="3E1727BC">
      <w:pPr>
        <w:pStyle w:val="84"/>
        <w:spacing w:line="360" w:lineRule="auto"/>
        <w:ind w:firstLine="600"/>
        <w:rPr>
          <w:rStyle w:val="86"/>
          <w:rFonts w:hint="eastAsia" w:ascii="宋体" w:hAnsi="宋体"/>
          <w:highlight w:val="none"/>
        </w:rPr>
      </w:pPr>
      <w:r>
        <w:rPr>
          <w:rStyle w:val="86"/>
          <w:rFonts w:hint="eastAsia" w:ascii="宋体" w:hAnsi="宋体"/>
          <w:highlight w:val="none"/>
        </w:rPr>
        <w:t>（1） 工作名称、内容和数量；</w:t>
      </w:r>
    </w:p>
    <w:p w14:paraId="599CDE04">
      <w:pPr>
        <w:pStyle w:val="84"/>
        <w:spacing w:line="360" w:lineRule="auto"/>
        <w:ind w:firstLine="600"/>
        <w:rPr>
          <w:rStyle w:val="86"/>
          <w:rFonts w:hint="eastAsia" w:ascii="宋体" w:hAnsi="宋体"/>
          <w:highlight w:val="none"/>
        </w:rPr>
      </w:pPr>
      <w:r>
        <w:rPr>
          <w:rStyle w:val="86"/>
          <w:rFonts w:hint="eastAsia" w:ascii="宋体" w:hAnsi="宋体"/>
          <w:highlight w:val="none"/>
        </w:rPr>
        <w:t>（2） 投入该工作的所有人员的姓名、专业、工种、级别和耗用工时；</w:t>
      </w:r>
    </w:p>
    <w:p w14:paraId="238362B3">
      <w:pPr>
        <w:pStyle w:val="84"/>
        <w:spacing w:line="360" w:lineRule="auto"/>
        <w:ind w:firstLine="600"/>
        <w:rPr>
          <w:rStyle w:val="86"/>
          <w:rFonts w:hint="eastAsia" w:ascii="宋体" w:hAnsi="宋体"/>
          <w:highlight w:val="none"/>
        </w:rPr>
      </w:pPr>
      <w:r>
        <w:rPr>
          <w:rStyle w:val="86"/>
          <w:rFonts w:hint="eastAsia" w:ascii="宋体" w:hAnsi="宋体"/>
          <w:highlight w:val="none"/>
        </w:rPr>
        <w:t>（3） 投入该工作的材料类别和数量；</w:t>
      </w:r>
    </w:p>
    <w:p w14:paraId="27E66889">
      <w:pPr>
        <w:pStyle w:val="84"/>
        <w:spacing w:line="360" w:lineRule="auto"/>
        <w:ind w:firstLine="600"/>
        <w:rPr>
          <w:rStyle w:val="86"/>
          <w:rFonts w:hint="eastAsia" w:ascii="宋体" w:hAnsi="宋体"/>
          <w:highlight w:val="none"/>
        </w:rPr>
      </w:pPr>
      <w:r>
        <w:rPr>
          <w:rStyle w:val="86"/>
          <w:rFonts w:hint="eastAsia" w:ascii="宋体" w:hAnsi="宋体"/>
          <w:highlight w:val="none"/>
        </w:rPr>
        <w:t>（4） 投入该工作的施工设备型号、台数和耗用台时；</w:t>
      </w:r>
    </w:p>
    <w:p w14:paraId="1BF53334">
      <w:pPr>
        <w:pStyle w:val="84"/>
        <w:spacing w:line="360" w:lineRule="auto"/>
        <w:ind w:firstLine="600"/>
        <w:rPr>
          <w:rStyle w:val="86"/>
          <w:rFonts w:hint="eastAsia" w:ascii="宋体" w:hAnsi="宋体"/>
          <w:highlight w:val="none"/>
        </w:rPr>
      </w:pPr>
      <w:r>
        <w:rPr>
          <w:rStyle w:val="86"/>
          <w:rFonts w:hint="eastAsia" w:ascii="宋体" w:hAnsi="宋体"/>
          <w:highlight w:val="none"/>
        </w:rPr>
        <w:t>（5） 其他有关资料和凭证。</w:t>
      </w:r>
    </w:p>
    <w:p w14:paraId="4131FBF0">
      <w:pPr>
        <w:pStyle w:val="84"/>
        <w:spacing w:line="360" w:lineRule="auto"/>
        <w:ind w:firstLine="600"/>
        <w:rPr>
          <w:rStyle w:val="86"/>
          <w:rFonts w:hint="eastAsia" w:ascii="宋体" w:hAnsi="宋体"/>
          <w:highlight w:val="none"/>
        </w:rPr>
      </w:pPr>
      <w:r>
        <w:rPr>
          <w:rStyle w:val="86"/>
          <w:rFonts w:hint="eastAsia" w:ascii="宋体" w:hAnsi="宋体"/>
          <w:highlight w:val="none"/>
        </w:rPr>
        <w:t>计日工由承包人汇总后，列入最近一期进度付款申请单，由工程师审查并经发包人批准后列入进度付款。</w:t>
      </w:r>
    </w:p>
    <w:p w14:paraId="61096ED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13.7 法律变化引起的调整</w:t>
      </w:r>
    </w:p>
    <w:p w14:paraId="7F8DDFC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29DB2A6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13.7.2 因法律变化引起的合同价格和工期调整，合同当事人无法达成一致的，由工程师按第3.6款[商定或确定]的约定处理。</w:t>
      </w:r>
    </w:p>
    <w:p w14:paraId="6F574FD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13.7.3 因承包人原因造成工期延误，在工期延误期间出现法律变化的，由此增加的费用和（或）延误的工期由承包人承担。</w:t>
      </w:r>
    </w:p>
    <w:p w14:paraId="54E4748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13.7.4 因法律变化而需要对工程的实施进行任何调整的，承包人应迅速通知发包人，或者发包人应迅速通知承包人，并附上详细的辅助资料。发包人接到通知后，应根据第13.3款[变更程序]发出变更指示。</w:t>
      </w:r>
    </w:p>
    <w:p w14:paraId="335E3D01">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13.8 市场价格波动引起的调整</w:t>
      </w:r>
    </w:p>
    <w:p w14:paraId="55975B0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13.8.1 主要工程材料、设备、人工价格与招标时基期价相比，波动幅度超过合同约定幅度的，双方按照合同约定的价格调整方式调整。</w:t>
      </w:r>
    </w:p>
    <w:p w14:paraId="0FFFDB5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13.8.2 发包人与承包人在专用合同条件中约定采用《价格指数权重表》的，适用本项约定。</w:t>
      </w:r>
    </w:p>
    <w:p w14:paraId="5FDFD5AA">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13.8.2.1 双方当事人可以将部分主要工程材料、工程设备、人工价格及其他双方认为应当根据市场价格调整的费用列入附件6[价格指数权重表]，并根据以下公式计算差额并调整合同价格：</w:t>
      </w:r>
    </w:p>
    <w:p w14:paraId="5FBF15D3">
      <w:pPr>
        <w:pStyle w:val="84"/>
        <w:spacing w:line="360" w:lineRule="auto"/>
        <w:ind w:firstLine="600"/>
        <w:rPr>
          <w:rStyle w:val="86"/>
          <w:rFonts w:hint="eastAsia" w:ascii="宋体" w:hAnsi="宋体"/>
          <w:highlight w:val="none"/>
        </w:rPr>
      </w:pPr>
      <w:r>
        <w:rPr>
          <w:rStyle w:val="86"/>
          <w:rFonts w:hint="eastAsia" w:ascii="宋体" w:hAnsi="宋体"/>
          <w:highlight w:val="none"/>
        </w:rPr>
        <w:t>（1） 价格调整公式</w:t>
      </w:r>
    </w:p>
    <w:p w14:paraId="6D9E4DB1">
      <w:pPr>
        <w:pStyle w:val="84"/>
        <w:spacing w:line="360" w:lineRule="auto"/>
        <w:rPr>
          <w:rStyle w:val="86"/>
          <w:rFonts w:hint="eastAsia" w:ascii="宋体" w:hAnsi="宋体"/>
          <w:highlight w:val="none"/>
        </w:rPr>
      </w:pPr>
      <w:r>
        <w:rPr>
          <w:rFonts w:hint="eastAsia"/>
          <w:highlight w:val="none"/>
        </w:rPr>
        <w:drawing>
          <wp:inline distT="0" distB="0" distL="114300" distR="114300">
            <wp:extent cx="4773295" cy="677545"/>
            <wp:effectExtent l="0" t="0" r="12065" b="825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4773295" cy="677545"/>
                    </a:xfrm>
                    <a:prstGeom prst="rect">
                      <a:avLst/>
                    </a:prstGeom>
                    <a:noFill/>
                    <a:ln>
                      <a:noFill/>
                    </a:ln>
                  </pic:spPr>
                </pic:pic>
              </a:graphicData>
            </a:graphic>
          </wp:inline>
        </w:drawing>
      </w:r>
      <w:r>
        <w:rPr>
          <w:rStyle w:val="86"/>
          <w:rFonts w:hint="eastAsia" w:ascii="宋体" w:hAnsi="宋体"/>
          <w:highlight w:val="none"/>
        </w:rPr>
        <w:t xml:space="preserve"> </w:t>
      </w:r>
    </w:p>
    <w:p w14:paraId="1B8D20BF">
      <w:pPr>
        <w:pStyle w:val="84"/>
        <w:spacing w:line="360" w:lineRule="auto"/>
        <w:ind w:firstLine="600"/>
        <w:rPr>
          <w:rStyle w:val="86"/>
          <w:rFonts w:hint="eastAsia" w:ascii="宋体" w:hAnsi="宋体"/>
          <w:highlight w:val="none"/>
        </w:rPr>
      </w:pPr>
      <w:r>
        <w:rPr>
          <w:rStyle w:val="86"/>
          <w:rFonts w:hint="eastAsia" w:ascii="宋体" w:hAnsi="宋体"/>
          <w:highlight w:val="none"/>
        </w:rPr>
        <w:t>公式中：△P---需调整的价格差额；</w:t>
      </w:r>
    </w:p>
    <w:p w14:paraId="6C2E611C">
      <w:pPr>
        <w:pStyle w:val="84"/>
        <w:spacing w:line="360" w:lineRule="auto"/>
        <w:ind w:firstLine="600"/>
        <w:rPr>
          <w:rStyle w:val="86"/>
          <w:rFonts w:hint="eastAsia" w:ascii="宋体" w:hAnsi="宋体"/>
          <w:highlight w:val="none"/>
        </w:rPr>
      </w:pPr>
      <w:r>
        <w:rPr>
          <w:rStyle w:val="86"/>
          <w:rFonts w:hint="eastAsia" w:ascii="宋体" w:hAnsi="宋体"/>
          <w:highlight w:val="none"/>
        </w:rPr>
        <w:t>P</w:t>
      </w:r>
      <w:r>
        <w:rPr>
          <w:rStyle w:val="86"/>
          <w:rFonts w:hint="eastAsia" w:ascii="宋体" w:hAnsi="宋体"/>
          <w:highlight w:val="none"/>
          <w:vertAlign w:val="subscript"/>
        </w:rPr>
        <w:t>O</w:t>
      </w:r>
      <w:r>
        <w:rPr>
          <w:rStyle w:val="86"/>
          <w:rFonts w:hint="eastAsia" w:ascii="宋体" w:hAnsi="宋体"/>
          <w:highlight w:val="none"/>
        </w:rPr>
        <w:t>---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46A684A3">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A ---定值权重（即不调部分的权重）； </w:t>
      </w:r>
    </w:p>
    <w:p w14:paraId="1499C2CF">
      <w:pPr>
        <w:pStyle w:val="84"/>
        <w:spacing w:line="360" w:lineRule="auto"/>
        <w:ind w:firstLine="600"/>
        <w:rPr>
          <w:rStyle w:val="86"/>
          <w:rFonts w:hint="eastAsia" w:ascii="宋体" w:hAnsi="宋体"/>
          <w:highlight w:val="none"/>
        </w:rPr>
      </w:pPr>
      <w:r>
        <w:rPr>
          <w:rStyle w:val="86"/>
          <w:rFonts w:hint="eastAsia" w:ascii="宋体" w:hAnsi="宋体"/>
          <w:highlight w:val="none"/>
        </w:rPr>
        <w:t>B</w:t>
      </w:r>
      <w:r>
        <w:rPr>
          <w:rStyle w:val="86"/>
          <w:rFonts w:hint="eastAsia" w:ascii="宋体" w:hAnsi="宋体"/>
          <w:highlight w:val="none"/>
          <w:vertAlign w:val="subscript"/>
        </w:rPr>
        <w:t>1</w:t>
      </w:r>
      <w:r>
        <w:rPr>
          <w:rStyle w:val="86"/>
          <w:rFonts w:hint="eastAsia" w:ascii="宋体" w:hAnsi="宋体"/>
          <w:highlight w:val="none"/>
        </w:rPr>
        <w:t>；B</w:t>
      </w:r>
      <w:r>
        <w:rPr>
          <w:rStyle w:val="86"/>
          <w:rFonts w:hint="eastAsia" w:ascii="宋体" w:hAnsi="宋体"/>
          <w:highlight w:val="none"/>
          <w:vertAlign w:val="subscript"/>
        </w:rPr>
        <w:t>2</w:t>
      </w:r>
      <w:r>
        <w:rPr>
          <w:rStyle w:val="86"/>
          <w:rFonts w:hint="eastAsia" w:ascii="宋体" w:hAnsi="宋体"/>
          <w:highlight w:val="none"/>
        </w:rPr>
        <w:t>；B</w:t>
      </w:r>
      <w:r>
        <w:rPr>
          <w:rStyle w:val="86"/>
          <w:rFonts w:hint="eastAsia" w:ascii="宋体" w:hAnsi="宋体"/>
          <w:highlight w:val="none"/>
          <w:vertAlign w:val="subscript"/>
        </w:rPr>
        <w:t>3</w:t>
      </w:r>
      <w:r>
        <w:rPr>
          <w:rStyle w:val="86"/>
          <w:rFonts w:hint="eastAsia" w:ascii="宋体" w:hAnsi="宋体"/>
          <w:highlight w:val="none"/>
        </w:rPr>
        <w:t>；……B</w:t>
      </w:r>
      <w:r>
        <w:rPr>
          <w:rStyle w:val="86"/>
          <w:rFonts w:hint="eastAsia" w:ascii="宋体" w:hAnsi="宋体"/>
          <w:highlight w:val="none"/>
          <w:vertAlign w:val="subscript"/>
        </w:rPr>
        <w:t>n</w:t>
      </w:r>
      <w:r>
        <w:rPr>
          <w:rStyle w:val="86"/>
          <w:rFonts w:hint="eastAsia" w:ascii="宋体" w:hAnsi="宋体"/>
          <w:highlight w:val="none"/>
        </w:rPr>
        <w:t>---各可调因子的变值权重（即可调部分的权重）为各可调因子在投标函投标总报价中所占的比例，且A+B</w:t>
      </w:r>
      <w:r>
        <w:rPr>
          <w:rStyle w:val="86"/>
          <w:rFonts w:hint="eastAsia" w:ascii="宋体" w:hAnsi="宋体"/>
          <w:highlight w:val="none"/>
          <w:vertAlign w:val="subscript"/>
        </w:rPr>
        <w:t>1</w:t>
      </w:r>
      <w:r>
        <w:rPr>
          <w:rStyle w:val="86"/>
          <w:rFonts w:hint="eastAsia" w:ascii="宋体" w:hAnsi="宋体"/>
          <w:highlight w:val="none"/>
        </w:rPr>
        <w:t>+B</w:t>
      </w:r>
      <w:r>
        <w:rPr>
          <w:rStyle w:val="86"/>
          <w:rFonts w:hint="eastAsia" w:ascii="宋体" w:hAnsi="宋体"/>
          <w:highlight w:val="none"/>
          <w:vertAlign w:val="subscript"/>
        </w:rPr>
        <w:t>2</w:t>
      </w:r>
      <w:r>
        <w:rPr>
          <w:rStyle w:val="86"/>
          <w:rFonts w:hint="eastAsia" w:ascii="宋体" w:hAnsi="宋体"/>
          <w:highlight w:val="none"/>
        </w:rPr>
        <w:t>+B</w:t>
      </w:r>
      <w:r>
        <w:rPr>
          <w:rStyle w:val="86"/>
          <w:rFonts w:hint="eastAsia" w:ascii="宋体" w:hAnsi="宋体"/>
          <w:highlight w:val="none"/>
          <w:vertAlign w:val="subscript"/>
        </w:rPr>
        <w:t>3</w:t>
      </w:r>
      <w:r>
        <w:rPr>
          <w:rStyle w:val="86"/>
          <w:rFonts w:hint="eastAsia" w:ascii="宋体" w:hAnsi="宋体"/>
          <w:highlight w:val="none"/>
        </w:rPr>
        <w:t>+……+B</w:t>
      </w:r>
      <w:r>
        <w:rPr>
          <w:rStyle w:val="86"/>
          <w:rFonts w:hint="eastAsia" w:ascii="宋体" w:hAnsi="宋体"/>
          <w:highlight w:val="none"/>
          <w:vertAlign w:val="subscript"/>
        </w:rPr>
        <w:t>n</w:t>
      </w:r>
      <w:r>
        <w:rPr>
          <w:rStyle w:val="86"/>
          <w:rFonts w:hint="eastAsia" w:ascii="宋体" w:hAnsi="宋体"/>
          <w:highlight w:val="none"/>
        </w:rPr>
        <w:t>=1；</w:t>
      </w:r>
    </w:p>
    <w:p w14:paraId="1CDC0B93">
      <w:pPr>
        <w:pStyle w:val="84"/>
        <w:spacing w:line="360" w:lineRule="auto"/>
        <w:ind w:firstLine="600"/>
        <w:rPr>
          <w:rStyle w:val="86"/>
          <w:rFonts w:hint="eastAsia" w:ascii="宋体" w:hAnsi="宋体"/>
          <w:highlight w:val="none"/>
        </w:rPr>
      </w:pPr>
      <w:r>
        <w:rPr>
          <w:rStyle w:val="86"/>
          <w:rFonts w:hint="eastAsia" w:ascii="宋体" w:hAnsi="宋体"/>
          <w:highlight w:val="none"/>
        </w:rPr>
        <w:t>F</w:t>
      </w:r>
      <w:r>
        <w:rPr>
          <w:rStyle w:val="86"/>
          <w:rFonts w:hint="eastAsia" w:ascii="宋体" w:hAnsi="宋体"/>
          <w:highlight w:val="none"/>
          <w:vertAlign w:val="subscript"/>
        </w:rPr>
        <w:t>t1</w:t>
      </w:r>
      <w:r>
        <w:rPr>
          <w:rStyle w:val="86"/>
          <w:rFonts w:hint="eastAsia" w:ascii="宋体" w:hAnsi="宋体"/>
          <w:highlight w:val="none"/>
        </w:rPr>
        <w:t>；F</w:t>
      </w:r>
      <w:r>
        <w:rPr>
          <w:rStyle w:val="86"/>
          <w:rFonts w:hint="eastAsia" w:ascii="宋体" w:hAnsi="宋体"/>
          <w:highlight w:val="none"/>
          <w:vertAlign w:val="subscript"/>
        </w:rPr>
        <w:t>t2</w:t>
      </w:r>
      <w:r>
        <w:rPr>
          <w:rStyle w:val="86"/>
          <w:rFonts w:hint="eastAsia" w:ascii="宋体" w:hAnsi="宋体"/>
          <w:highlight w:val="none"/>
        </w:rPr>
        <w:t>；F</w:t>
      </w:r>
      <w:r>
        <w:rPr>
          <w:rStyle w:val="86"/>
          <w:rFonts w:hint="eastAsia" w:ascii="宋体" w:hAnsi="宋体"/>
          <w:highlight w:val="none"/>
          <w:vertAlign w:val="subscript"/>
        </w:rPr>
        <w:t>t3</w:t>
      </w:r>
      <w:r>
        <w:rPr>
          <w:rStyle w:val="86"/>
          <w:rFonts w:hint="eastAsia" w:ascii="宋体" w:hAnsi="宋体"/>
          <w:highlight w:val="none"/>
        </w:rPr>
        <w:t>；……F</w:t>
      </w:r>
      <w:r>
        <w:rPr>
          <w:rStyle w:val="86"/>
          <w:rFonts w:hint="eastAsia" w:ascii="宋体" w:hAnsi="宋体"/>
          <w:highlight w:val="none"/>
          <w:vertAlign w:val="subscript"/>
        </w:rPr>
        <w:t>tn</w:t>
      </w:r>
      <w:r>
        <w:rPr>
          <w:rStyle w:val="86"/>
          <w:rFonts w:hint="eastAsia" w:ascii="宋体" w:hAnsi="宋体"/>
          <w:highlight w:val="none"/>
        </w:rPr>
        <w:t>---各可调因子的当期价格指数，指付款证书相关周期最后一天的前42天的各可调因子的价格指数；</w:t>
      </w:r>
    </w:p>
    <w:p w14:paraId="76586759">
      <w:pPr>
        <w:pStyle w:val="84"/>
        <w:spacing w:line="360" w:lineRule="auto"/>
        <w:ind w:firstLine="600"/>
        <w:rPr>
          <w:rStyle w:val="86"/>
          <w:rFonts w:hint="eastAsia" w:ascii="宋体" w:hAnsi="宋体"/>
          <w:highlight w:val="none"/>
        </w:rPr>
      </w:pPr>
      <w:r>
        <w:rPr>
          <w:rStyle w:val="86"/>
          <w:rFonts w:hint="eastAsia" w:ascii="宋体" w:hAnsi="宋体"/>
          <w:highlight w:val="none"/>
        </w:rPr>
        <w:t>F</w:t>
      </w:r>
      <w:r>
        <w:rPr>
          <w:rStyle w:val="86"/>
          <w:rFonts w:hint="eastAsia" w:ascii="宋体" w:hAnsi="宋体"/>
          <w:highlight w:val="none"/>
          <w:vertAlign w:val="subscript"/>
        </w:rPr>
        <w:t>01</w:t>
      </w:r>
      <w:r>
        <w:rPr>
          <w:rStyle w:val="86"/>
          <w:rFonts w:hint="eastAsia" w:ascii="宋体" w:hAnsi="宋体"/>
          <w:highlight w:val="none"/>
        </w:rPr>
        <w:t>；F</w:t>
      </w:r>
      <w:r>
        <w:rPr>
          <w:rStyle w:val="86"/>
          <w:rFonts w:hint="eastAsia" w:ascii="宋体" w:hAnsi="宋体"/>
          <w:highlight w:val="none"/>
          <w:vertAlign w:val="subscript"/>
        </w:rPr>
        <w:t>02</w:t>
      </w:r>
      <w:r>
        <w:rPr>
          <w:rStyle w:val="86"/>
          <w:rFonts w:hint="eastAsia" w:ascii="宋体" w:hAnsi="宋体"/>
          <w:highlight w:val="none"/>
        </w:rPr>
        <w:t>；F</w:t>
      </w:r>
      <w:r>
        <w:rPr>
          <w:rStyle w:val="86"/>
          <w:rFonts w:hint="eastAsia" w:ascii="宋体" w:hAnsi="宋体"/>
          <w:highlight w:val="none"/>
          <w:vertAlign w:val="subscript"/>
        </w:rPr>
        <w:t>03</w:t>
      </w:r>
      <w:r>
        <w:rPr>
          <w:rStyle w:val="86"/>
          <w:rFonts w:hint="eastAsia" w:ascii="宋体" w:hAnsi="宋体"/>
          <w:highlight w:val="none"/>
        </w:rPr>
        <w:t>；……F</w:t>
      </w:r>
      <w:r>
        <w:rPr>
          <w:rStyle w:val="86"/>
          <w:rFonts w:hint="eastAsia" w:ascii="宋体" w:hAnsi="宋体"/>
          <w:highlight w:val="none"/>
          <w:vertAlign w:val="subscript"/>
        </w:rPr>
        <w:t>0n</w:t>
      </w:r>
      <w:r>
        <w:rPr>
          <w:rStyle w:val="86"/>
          <w:rFonts w:hint="eastAsia" w:ascii="宋体" w:hAnsi="宋体"/>
          <w:highlight w:val="none"/>
        </w:rPr>
        <w:t>---各可调因子的基本价格指数，指基准日期的各可调因子的价格指数。</w:t>
      </w:r>
    </w:p>
    <w:p w14:paraId="1FFE4496">
      <w:pPr>
        <w:pStyle w:val="84"/>
        <w:spacing w:line="360" w:lineRule="auto"/>
        <w:ind w:firstLine="600"/>
        <w:rPr>
          <w:rStyle w:val="86"/>
          <w:rFonts w:hint="eastAsia" w:ascii="宋体" w:hAnsi="宋体"/>
          <w:highlight w:val="none"/>
        </w:rPr>
      </w:pPr>
      <w:r>
        <w:rPr>
          <w:rStyle w:val="86"/>
          <w:rFonts w:hint="eastAsia" w:ascii="宋体" w:hAnsi="宋体"/>
          <w:highlight w: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1C012AC5">
      <w:pPr>
        <w:pStyle w:val="84"/>
        <w:spacing w:line="360" w:lineRule="auto"/>
        <w:ind w:firstLine="600"/>
        <w:rPr>
          <w:rStyle w:val="86"/>
          <w:rFonts w:hint="eastAsia" w:ascii="宋体" w:hAnsi="宋体"/>
          <w:highlight w:val="none"/>
        </w:rPr>
      </w:pPr>
      <w:r>
        <w:rPr>
          <w:rStyle w:val="86"/>
          <w:rFonts w:hint="eastAsia" w:ascii="宋体" w:hAnsi="宋体"/>
          <w:highlight w:val="none"/>
        </w:rPr>
        <w:t>（2） 暂时确定调整差额</w:t>
      </w:r>
    </w:p>
    <w:p w14:paraId="02DC8B1D">
      <w:pPr>
        <w:pStyle w:val="84"/>
        <w:spacing w:line="360" w:lineRule="auto"/>
        <w:ind w:firstLine="600"/>
        <w:rPr>
          <w:rStyle w:val="86"/>
          <w:rFonts w:hint="eastAsia" w:ascii="宋体" w:hAnsi="宋体"/>
          <w:highlight w:val="none"/>
        </w:rPr>
      </w:pPr>
      <w:r>
        <w:rPr>
          <w:rStyle w:val="86"/>
          <w:rFonts w:hint="eastAsia" w:ascii="宋体" w:hAnsi="宋体"/>
          <w:highlight w:val="none"/>
        </w:rPr>
        <w:t>在计算调整差额时得不到当期价格指数的，可暂用上一次价格指数计算，并在以后的付款中再按实际价格指数进行调整。</w:t>
      </w:r>
    </w:p>
    <w:p w14:paraId="7F33272A">
      <w:pPr>
        <w:pStyle w:val="84"/>
        <w:spacing w:line="360" w:lineRule="auto"/>
        <w:ind w:firstLine="600"/>
        <w:rPr>
          <w:rStyle w:val="86"/>
          <w:rFonts w:hint="eastAsia" w:ascii="宋体" w:hAnsi="宋体"/>
          <w:highlight w:val="none"/>
        </w:rPr>
      </w:pPr>
      <w:r>
        <w:rPr>
          <w:rStyle w:val="86"/>
          <w:rFonts w:hint="eastAsia" w:ascii="宋体" w:hAnsi="宋体"/>
          <w:highlight w:val="none"/>
        </w:rPr>
        <w:t>（3） 权重的调整</w:t>
      </w:r>
    </w:p>
    <w:p w14:paraId="59316DE2">
      <w:pPr>
        <w:pStyle w:val="84"/>
        <w:spacing w:line="360" w:lineRule="auto"/>
        <w:ind w:firstLine="600"/>
        <w:rPr>
          <w:rStyle w:val="86"/>
          <w:rFonts w:hint="eastAsia" w:ascii="宋体" w:hAnsi="宋体"/>
          <w:highlight w:val="none"/>
        </w:rPr>
      </w:pPr>
      <w:r>
        <w:rPr>
          <w:rStyle w:val="86"/>
          <w:rFonts w:hint="eastAsia" w:ascii="宋体" w:hAnsi="宋体"/>
          <w:highlight w:val="none"/>
        </w:rPr>
        <w:t>按第13.1款[发包人变更权]约定的变更导致原定合同中的权重不合理的，由工程师与承包人和发包人协商后进行调整。</w:t>
      </w:r>
    </w:p>
    <w:p w14:paraId="24B75002">
      <w:pPr>
        <w:pStyle w:val="84"/>
        <w:spacing w:line="360" w:lineRule="auto"/>
        <w:ind w:firstLine="600"/>
        <w:rPr>
          <w:rStyle w:val="86"/>
          <w:rFonts w:hint="eastAsia" w:ascii="宋体" w:hAnsi="宋体"/>
          <w:highlight w:val="none"/>
        </w:rPr>
      </w:pPr>
      <w:r>
        <w:rPr>
          <w:rStyle w:val="86"/>
          <w:rFonts w:hint="eastAsia" w:ascii="宋体" w:hAnsi="宋体"/>
          <w:highlight w:val="none"/>
        </w:rPr>
        <w:t>（4） 承包人原因工期延误后的价格调整</w:t>
      </w:r>
    </w:p>
    <w:p w14:paraId="7049C1B0">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3939D321">
      <w:pPr>
        <w:pStyle w:val="84"/>
        <w:spacing w:line="360" w:lineRule="auto"/>
        <w:ind w:firstLine="600"/>
        <w:rPr>
          <w:rStyle w:val="86"/>
          <w:rFonts w:hint="eastAsia" w:ascii="宋体" w:hAnsi="宋体"/>
          <w:highlight w:val="none"/>
        </w:rPr>
      </w:pPr>
      <w:r>
        <w:rPr>
          <w:rStyle w:val="86"/>
          <w:rFonts w:hint="eastAsia" w:ascii="宋体" w:hAnsi="宋体"/>
          <w:highlight w:val="none"/>
        </w:rPr>
        <w:t>（5） 发包人引起的工期延误后的价格调整</w:t>
      </w:r>
    </w:p>
    <w:p w14:paraId="75D3419F">
      <w:pPr>
        <w:pStyle w:val="84"/>
        <w:spacing w:line="360" w:lineRule="auto"/>
        <w:ind w:firstLine="600"/>
        <w:rPr>
          <w:rStyle w:val="86"/>
          <w:rFonts w:hint="eastAsia" w:ascii="宋体" w:hAnsi="宋体"/>
          <w:highlight w:val="none"/>
        </w:rPr>
      </w:pPr>
      <w:r>
        <w:rPr>
          <w:rStyle w:val="86"/>
          <w:rFonts w:hint="eastAsia" w:ascii="宋体" w:hAnsi="宋体"/>
          <w:highlight w: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4DA3BAE3">
      <w:pPr>
        <w:pStyle w:val="84"/>
        <w:autoSpaceDE w:val="0"/>
        <w:autoSpaceDN w:val="0"/>
        <w:adjustRightInd w:val="0"/>
        <w:snapToGrid w:val="0"/>
        <w:spacing w:after="156" w:afterLines="50" w:line="360" w:lineRule="auto"/>
        <w:rPr>
          <w:rStyle w:val="86"/>
          <w:rFonts w:hint="eastAsia" w:ascii="宋体" w:hAnsi="宋体"/>
          <w:highlight w:val="none"/>
        </w:rPr>
      </w:pPr>
      <w:r>
        <w:rPr>
          <w:rStyle w:val="86"/>
          <w:rFonts w:hint="eastAsia" w:ascii="宋体" w:hAnsi="宋体"/>
          <w:highlight w:val="none"/>
        </w:rPr>
        <w:t>13.8.2.2 未列入《价格指数权重表》的费用不因市场变化而调整。</w:t>
      </w:r>
    </w:p>
    <w:p w14:paraId="680BD21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13.8.3 双方约定采用其他方式调整合同价款的，以专用合同条件约定为准。</w:t>
      </w:r>
    </w:p>
    <w:p w14:paraId="6C472D30">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第14条 合同价格与支付</w:t>
      </w:r>
    </w:p>
    <w:p w14:paraId="2F3AC73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14.1 合同价格形式</w:t>
      </w:r>
    </w:p>
    <w:p w14:paraId="4C79EAC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14.1.1 除专用合同条件中另有约定外，本合同为总价合同，除根据第13条[变更与调整]，以及合同中其它相关增减金额的约定进行调整外，合同价格不做调整。</w:t>
      </w:r>
    </w:p>
    <w:p w14:paraId="474D5F5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14.1.2 除专用合同条件另有约定外：</w:t>
      </w:r>
    </w:p>
    <w:p w14:paraId="0148E011">
      <w:pPr>
        <w:pStyle w:val="84"/>
        <w:spacing w:line="360" w:lineRule="auto"/>
        <w:ind w:firstLine="600"/>
        <w:rPr>
          <w:rStyle w:val="86"/>
          <w:rFonts w:hint="eastAsia" w:ascii="宋体" w:hAnsi="宋体"/>
          <w:highlight w:val="none"/>
        </w:rPr>
      </w:pPr>
      <w:r>
        <w:rPr>
          <w:rStyle w:val="86"/>
          <w:rFonts w:hint="eastAsia" w:ascii="宋体" w:hAnsi="宋体"/>
          <w:highlight w:val="none"/>
        </w:rPr>
        <w:t>（1） 工程款的支付应以合同协议书约定的签约合同价格为基础，按照合同约定进行调整；</w:t>
      </w:r>
    </w:p>
    <w:p w14:paraId="629F2352">
      <w:pPr>
        <w:pStyle w:val="84"/>
        <w:spacing w:line="360" w:lineRule="auto"/>
        <w:ind w:firstLine="600"/>
        <w:rPr>
          <w:rStyle w:val="86"/>
          <w:rFonts w:hint="eastAsia" w:ascii="宋体" w:hAnsi="宋体"/>
          <w:highlight w:val="none"/>
        </w:rPr>
      </w:pPr>
      <w:r>
        <w:rPr>
          <w:rStyle w:val="86"/>
          <w:rFonts w:hint="eastAsia" w:ascii="宋体" w:hAnsi="宋体"/>
          <w:highlight w:val="none"/>
        </w:rPr>
        <w:t>（2） 承包人应支付根据法律规定或合同约定应由其支付的各项税费，除第13.7款[法律变化引起的调整]约定外，合同价格不应因任何这些税费进行调整；</w:t>
      </w:r>
    </w:p>
    <w:p w14:paraId="37B1E558">
      <w:pPr>
        <w:pStyle w:val="84"/>
        <w:spacing w:line="360" w:lineRule="auto"/>
        <w:ind w:firstLine="600"/>
        <w:rPr>
          <w:rStyle w:val="86"/>
          <w:rFonts w:hint="eastAsia" w:ascii="宋体" w:hAnsi="宋体"/>
          <w:highlight w:val="none"/>
        </w:rPr>
      </w:pPr>
      <w:r>
        <w:rPr>
          <w:rStyle w:val="86"/>
          <w:rFonts w:hint="eastAsia" w:ascii="宋体" w:hAnsi="宋体"/>
          <w:highlight w: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213246B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14.1.3 合同约定工程的某部分按照实际完成的工程量进行支付的，应按照专用合同条件的约定进行计量和估价，并据此调整合同价格。</w:t>
      </w:r>
    </w:p>
    <w:p w14:paraId="64FFC1C6">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14.2 预付款</w:t>
      </w:r>
    </w:p>
    <w:p w14:paraId="5CB4B4F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14.2.1 预付款支付</w:t>
      </w:r>
    </w:p>
    <w:p w14:paraId="03B61140">
      <w:pPr>
        <w:pStyle w:val="84"/>
        <w:spacing w:line="360" w:lineRule="auto"/>
        <w:ind w:firstLine="600"/>
        <w:rPr>
          <w:rStyle w:val="86"/>
          <w:rFonts w:hint="eastAsia" w:ascii="宋体" w:hAnsi="宋体"/>
          <w:highlight w:val="none"/>
        </w:rPr>
      </w:pPr>
      <w:r>
        <w:rPr>
          <w:rStyle w:val="86"/>
          <w:rFonts w:hint="eastAsia" w:ascii="宋体" w:hAnsi="宋体"/>
          <w:highlight w:val="none"/>
        </w:rPr>
        <w:t>预付款的额度和支付按照专用合同条件约定执行。预付款应当专用于承包人为合同工程的设计和工程实施购置材料、工程设备、施工设备、修建临时设施以及组织施工队伍进场等合同工作。</w:t>
      </w:r>
    </w:p>
    <w:p w14:paraId="79A27DF0">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除专用合同条件另有约定外，预付款在进度付款中同比例扣回。在颁发工程接收证书前，提前解除合同的，尚未扣完的预付款应与合同价款一并结算。</w:t>
      </w:r>
    </w:p>
    <w:p w14:paraId="750DB385">
      <w:pPr>
        <w:pStyle w:val="84"/>
        <w:spacing w:line="360" w:lineRule="auto"/>
        <w:ind w:firstLine="600"/>
        <w:rPr>
          <w:rStyle w:val="86"/>
          <w:rFonts w:hint="eastAsia" w:ascii="宋体" w:hAnsi="宋体"/>
          <w:highlight w:val="none"/>
        </w:rPr>
      </w:pPr>
      <w:r>
        <w:rPr>
          <w:rStyle w:val="86"/>
          <w:rFonts w:hint="eastAsia" w:ascii="宋体" w:hAnsi="宋体"/>
          <w:highlight w:val="none"/>
        </w:rPr>
        <w:t>发包人逾期支付预付款超过7天的，承包人有权向发包人发出要求预付的催告通知，发包人收到通知后7天内仍未支付的，承包人有权暂停施工，并按第15.1.1项[发包人违约的情形]执行。</w:t>
      </w:r>
    </w:p>
    <w:p w14:paraId="35A8AE8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14.2.2 预付款担保</w:t>
      </w:r>
    </w:p>
    <w:p w14:paraId="3433A6E2">
      <w:pPr>
        <w:pStyle w:val="84"/>
        <w:spacing w:line="360" w:lineRule="auto"/>
        <w:ind w:firstLine="600"/>
        <w:rPr>
          <w:rStyle w:val="86"/>
          <w:rFonts w:hint="eastAsia" w:ascii="宋体" w:hAnsi="宋体"/>
          <w:highlight w:val="none"/>
        </w:rPr>
      </w:pPr>
      <w:r>
        <w:rPr>
          <w:rStyle w:val="86"/>
          <w:rFonts w:hint="eastAsia" w:ascii="宋体" w:hAnsi="宋体"/>
          <w:highlight w: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3EFC770E">
      <w:pPr>
        <w:pStyle w:val="84"/>
        <w:spacing w:line="360" w:lineRule="auto"/>
        <w:ind w:firstLine="600"/>
        <w:rPr>
          <w:rStyle w:val="86"/>
          <w:rFonts w:hint="eastAsia" w:ascii="宋体" w:hAnsi="宋体"/>
          <w:highlight w:val="none"/>
        </w:rPr>
      </w:pPr>
      <w:r>
        <w:rPr>
          <w:rStyle w:val="86"/>
          <w:rFonts w:hint="eastAsia" w:ascii="宋体" w:hAnsi="宋体"/>
          <w:highlight w:val="none"/>
        </w:rPr>
        <w:t>发包人在工程款中逐期扣回预付款后，预付款担保额度应相应减少，但剩余的预付款担保金额不得低于未被扣回的预付款金额。</w:t>
      </w:r>
    </w:p>
    <w:p w14:paraId="4C6B65D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14.3 工程进度款</w:t>
      </w:r>
    </w:p>
    <w:p w14:paraId="2BB9DDF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14.3.1 工程进度付款申请</w:t>
      </w:r>
    </w:p>
    <w:p w14:paraId="7096A480">
      <w:pPr>
        <w:pStyle w:val="84"/>
        <w:spacing w:line="360" w:lineRule="auto"/>
        <w:ind w:firstLine="600"/>
        <w:rPr>
          <w:rStyle w:val="86"/>
          <w:rFonts w:hint="eastAsia" w:ascii="宋体" w:hAnsi="宋体"/>
          <w:highlight w:val="none"/>
        </w:rPr>
      </w:pPr>
      <w:r>
        <w:rPr>
          <w:rStyle w:val="86"/>
          <w:rFonts w:hint="eastAsia" w:ascii="宋体" w:hAnsi="宋体"/>
          <w:highlight w:val="none"/>
        </w:rPr>
        <w:t>（1）人工费的申请</w:t>
      </w:r>
    </w:p>
    <w:p w14:paraId="0E6DDFA0">
      <w:pPr>
        <w:pStyle w:val="84"/>
        <w:spacing w:line="360" w:lineRule="auto"/>
        <w:ind w:firstLine="600"/>
        <w:rPr>
          <w:rStyle w:val="86"/>
          <w:rFonts w:hint="eastAsia" w:ascii="宋体" w:hAnsi="宋体"/>
          <w:highlight w:val="none"/>
        </w:rPr>
      </w:pPr>
      <w:r>
        <w:rPr>
          <w:rStyle w:val="86"/>
          <w:rFonts w:hint="eastAsia" w:ascii="宋体" w:hAnsi="宋体"/>
          <w:highlight w:val="none"/>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61B4A143">
      <w:pPr>
        <w:pStyle w:val="84"/>
        <w:spacing w:line="360" w:lineRule="auto"/>
        <w:ind w:firstLine="600"/>
        <w:rPr>
          <w:rStyle w:val="86"/>
          <w:rFonts w:hint="eastAsia" w:ascii="宋体" w:hAnsi="宋体"/>
          <w:highlight w:val="none"/>
        </w:rPr>
      </w:pPr>
      <w:r>
        <w:rPr>
          <w:rStyle w:val="86"/>
          <w:rFonts w:hint="eastAsia" w:ascii="宋体" w:hAnsi="宋体"/>
          <w:highlight w:val="none"/>
        </w:rPr>
        <w:t>（2）除专用合同条件另有约定外，承包人应在每月月末向工程师提交进度付款申请单，该进度付款申请单应包括下列内容：</w:t>
      </w:r>
    </w:p>
    <w:p w14:paraId="1C0A1329">
      <w:pPr>
        <w:pStyle w:val="84"/>
        <w:spacing w:line="360" w:lineRule="auto"/>
        <w:ind w:firstLine="600"/>
        <w:rPr>
          <w:rStyle w:val="86"/>
          <w:rFonts w:hint="eastAsia" w:ascii="宋体" w:hAnsi="宋体"/>
          <w:highlight w:val="none"/>
        </w:rPr>
      </w:pPr>
      <w:r>
        <w:rPr>
          <w:rStyle w:val="86"/>
          <w:rFonts w:hint="eastAsia" w:ascii="宋体" w:hAnsi="宋体"/>
          <w:highlight w:val="none"/>
        </w:rPr>
        <w:t>1） 截至本次付款周期内已完成工作对应的金额；</w:t>
      </w:r>
    </w:p>
    <w:p w14:paraId="5DF6D79F">
      <w:pPr>
        <w:pStyle w:val="84"/>
        <w:spacing w:line="360" w:lineRule="auto"/>
        <w:ind w:firstLine="600"/>
        <w:rPr>
          <w:rStyle w:val="86"/>
          <w:rFonts w:hint="eastAsia" w:ascii="宋体" w:hAnsi="宋体"/>
          <w:highlight w:val="none"/>
        </w:rPr>
      </w:pPr>
      <w:r>
        <w:rPr>
          <w:rStyle w:val="86"/>
          <w:rFonts w:hint="eastAsia" w:ascii="宋体" w:hAnsi="宋体"/>
          <w:highlight w:val="none"/>
        </w:rPr>
        <w:t>2） 扣除依据本款第（1）目约定中已扣除的人工费金额；</w:t>
      </w:r>
    </w:p>
    <w:p w14:paraId="797F0DC6">
      <w:pPr>
        <w:pStyle w:val="84"/>
        <w:spacing w:line="360" w:lineRule="auto"/>
        <w:ind w:firstLine="600"/>
        <w:rPr>
          <w:rStyle w:val="86"/>
          <w:rFonts w:hint="eastAsia" w:ascii="宋体" w:hAnsi="宋体"/>
          <w:highlight w:val="none"/>
        </w:rPr>
      </w:pPr>
      <w:r>
        <w:rPr>
          <w:rStyle w:val="86"/>
          <w:rFonts w:hint="eastAsia" w:ascii="宋体" w:hAnsi="宋体"/>
          <w:highlight w:val="none"/>
        </w:rPr>
        <w:t>3） 根据第13条[变更与调整]应增加和扣减的变更金额；</w:t>
      </w:r>
    </w:p>
    <w:p w14:paraId="01DF1208">
      <w:pPr>
        <w:pStyle w:val="84"/>
        <w:spacing w:line="360" w:lineRule="auto"/>
        <w:ind w:firstLine="600"/>
        <w:rPr>
          <w:rStyle w:val="86"/>
          <w:rFonts w:hint="eastAsia" w:ascii="宋体" w:hAnsi="宋体"/>
          <w:highlight w:val="none"/>
        </w:rPr>
      </w:pPr>
      <w:r>
        <w:rPr>
          <w:rStyle w:val="86"/>
          <w:rFonts w:hint="eastAsia" w:ascii="宋体" w:hAnsi="宋体"/>
          <w:highlight w:val="none"/>
        </w:rPr>
        <w:t>4） 根据第14.2款[预付款]约定应支付的预付款和扣减的返还预付款；</w:t>
      </w:r>
    </w:p>
    <w:p w14:paraId="1EC980FD">
      <w:pPr>
        <w:pStyle w:val="84"/>
        <w:spacing w:line="360" w:lineRule="auto"/>
        <w:ind w:firstLine="600"/>
        <w:rPr>
          <w:rStyle w:val="86"/>
          <w:rFonts w:hint="eastAsia" w:ascii="宋体" w:hAnsi="宋体"/>
          <w:highlight w:val="none"/>
        </w:rPr>
      </w:pPr>
      <w:r>
        <w:rPr>
          <w:rStyle w:val="86"/>
          <w:rFonts w:hint="eastAsia" w:ascii="宋体" w:hAnsi="宋体"/>
          <w:highlight w:val="none"/>
        </w:rPr>
        <w:t>5） 根据第14.6.2项[质量保证金的预留]约定应预留的质量保证金金额；</w:t>
      </w:r>
    </w:p>
    <w:p w14:paraId="23CD6A00">
      <w:pPr>
        <w:pStyle w:val="84"/>
        <w:spacing w:line="360" w:lineRule="auto"/>
        <w:ind w:firstLine="600"/>
        <w:rPr>
          <w:rStyle w:val="86"/>
          <w:rFonts w:hint="eastAsia" w:ascii="宋体" w:hAnsi="宋体"/>
          <w:highlight w:val="none"/>
        </w:rPr>
      </w:pPr>
      <w:r>
        <w:rPr>
          <w:rStyle w:val="86"/>
          <w:rFonts w:hint="eastAsia" w:ascii="宋体" w:hAnsi="宋体"/>
          <w:highlight w:val="none"/>
        </w:rPr>
        <w:t>6） 根据第19条[索赔]应增加和扣减的索赔金额；</w:t>
      </w:r>
    </w:p>
    <w:p w14:paraId="49728177">
      <w:pPr>
        <w:pStyle w:val="84"/>
        <w:spacing w:line="360" w:lineRule="auto"/>
        <w:ind w:firstLine="600"/>
        <w:rPr>
          <w:rStyle w:val="86"/>
          <w:rFonts w:hint="eastAsia" w:ascii="宋体" w:hAnsi="宋体"/>
          <w:highlight w:val="none"/>
        </w:rPr>
      </w:pPr>
      <w:r>
        <w:rPr>
          <w:rStyle w:val="86"/>
          <w:rFonts w:hint="eastAsia" w:ascii="宋体" w:hAnsi="宋体"/>
          <w:highlight w:val="none"/>
        </w:rPr>
        <w:t>7） 对已签发的进度款支付证书中出现错误的修正，应在本次进度付款中支付或扣除的金额；</w:t>
      </w:r>
    </w:p>
    <w:p w14:paraId="300E2E50">
      <w:pPr>
        <w:pStyle w:val="84"/>
        <w:spacing w:line="360" w:lineRule="auto"/>
        <w:ind w:firstLine="600"/>
        <w:rPr>
          <w:rStyle w:val="86"/>
          <w:rFonts w:hint="eastAsia" w:ascii="宋体" w:hAnsi="宋体"/>
          <w:highlight w:val="none"/>
        </w:rPr>
      </w:pPr>
      <w:r>
        <w:rPr>
          <w:rStyle w:val="86"/>
          <w:rFonts w:hint="eastAsia" w:ascii="宋体" w:hAnsi="宋体"/>
          <w:highlight w:val="none"/>
        </w:rPr>
        <w:t>8） 根据合同约定应增加和扣减的其他金额。</w:t>
      </w:r>
    </w:p>
    <w:p w14:paraId="230C06F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14.3.2 进度付款审核和支付</w:t>
      </w:r>
    </w:p>
    <w:p w14:paraId="3F59791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015AB9C8">
      <w:pPr>
        <w:pStyle w:val="84"/>
        <w:spacing w:line="360" w:lineRule="auto"/>
        <w:ind w:firstLine="600"/>
        <w:rPr>
          <w:rStyle w:val="86"/>
          <w:rFonts w:hint="eastAsia" w:ascii="宋体" w:hAnsi="宋体"/>
          <w:highlight w:val="none"/>
        </w:rPr>
      </w:pPr>
      <w:r>
        <w:rPr>
          <w:rStyle w:val="86"/>
          <w:rFonts w:hint="eastAsia" w:ascii="宋体" w:hAnsi="宋体"/>
          <w:highlight w: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68214DA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41852DD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发包人签发进度款支付证书，不表明发包人已同意、批准或接受了承包人完成的相应部分的工作。</w:t>
      </w:r>
    </w:p>
    <w:p w14:paraId="3A60169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14.3.3 进度付款的修正</w:t>
      </w:r>
    </w:p>
    <w:p w14:paraId="3928634D">
      <w:pPr>
        <w:pStyle w:val="84"/>
        <w:spacing w:line="360" w:lineRule="auto"/>
        <w:ind w:firstLine="600"/>
        <w:rPr>
          <w:rStyle w:val="86"/>
          <w:rFonts w:hint="eastAsia" w:ascii="宋体" w:hAnsi="宋体"/>
          <w:highlight w:val="none"/>
        </w:rPr>
      </w:pPr>
      <w:r>
        <w:rPr>
          <w:rStyle w:val="86"/>
          <w:rFonts w:hint="eastAsia" w:ascii="宋体" w:hAnsi="宋体"/>
          <w:highlight w:val="none"/>
        </w:rPr>
        <w:t>在对已签发的进度款支付证书进行阶段汇总和复核中发现错误、遗漏或重复的，发包人和承包人均有权提出修正申请。经发包人和承包人同意的修正，应在下期进度付款中支付或扣除。</w:t>
      </w:r>
    </w:p>
    <w:p w14:paraId="256D959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14.4 付款计划表</w:t>
      </w:r>
    </w:p>
    <w:p w14:paraId="1EE58E8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14.4.1 付款计划表的编制要求</w:t>
      </w:r>
    </w:p>
    <w:p w14:paraId="5F0DB513">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除专用合同条件另有约定外，付款计划表按如下要求编制：</w:t>
      </w:r>
    </w:p>
    <w:p w14:paraId="5A8C0F02">
      <w:pPr>
        <w:pStyle w:val="84"/>
        <w:spacing w:line="360" w:lineRule="auto"/>
        <w:ind w:firstLine="600"/>
        <w:rPr>
          <w:rStyle w:val="86"/>
          <w:rFonts w:hint="eastAsia" w:ascii="宋体" w:hAnsi="宋体"/>
          <w:highlight w:val="none"/>
        </w:rPr>
      </w:pPr>
      <w:r>
        <w:rPr>
          <w:rStyle w:val="86"/>
          <w:rFonts w:hint="eastAsia" w:ascii="宋体" w:hAnsi="宋体"/>
          <w:highlight w:val="none"/>
        </w:rPr>
        <w:t>（1） 付款计划表中所列的每期付款金额，应为第14.3.1项[工程进度付款申请]每期进度款的估算金额；</w:t>
      </w:r>
    </w:p>
    <w:p w14:paraId="570DB3D5">
      <w:pPr>
        <w:pStyle w:val="84"/>
        <w:spacing w:line="360" w:lineRule="auto"/>
        <w:ind w:firstLine="600"/>
        <w:rPr>
          <w:rStyle w:val="86"/>
          <w:rFonts w:hint="eastAsia" w:ascii="宋体" w:hAnsi="宋体"/>
          <w:highlight w:val="none"/>
        </w:rPr>
      </w:pPr>
      <w:r>
        <w:rPr>
          <w:rStyle w:val="86"/>
          <w:rFonts w:hint="eastAsia" w:ascii="宋体" w:hAnsi="宋体"/>
          <w:highlight w:val="none"/>
        </w:rPr>
        <w:t>（2） 实际进度与项目进度计划不一致的，合同当事人可按照第3.6款[商定或确定]修改付款计划表；</w:t>
      </w:r>
    </w:p>
    <w:p w14:paraId="11969B4D">
      <w:pPr>
        <w:pStyle w:val="84"/>
        <w:spacing w:line="360" w:lineRule="auto"/>
        <w:ind w:firstLine="600"/>
        <w:rPr>
          <w:rStyle w:val="86"/>
          <w:rFonts w:hint="eastAsia" w:ascii="宋体" w:hAnsi="宋体"/>
          <w:highlight w:val="none"/>
        </w:rPr>
      </w:pPr>
      <w:r>
        <w:rPr>
          <w:rStyle w:val="86"/>
          <w:rFonts w:hint="eastAsia" w:ascii="宋体" w:hAnsi="宋体"/>
          <w:highlight w:val="none"/>
        </w:rPr>
        <w:t>（3） 不采用付款计划表的，承包人应向工程师提交按季度编制的支付估算付款计划表，用于支付参考。</w:t>
      </w:r>
    </w:p>
    <w:p w14:paraId="5371410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14.4.2 付款计划表的编制与审批</w:t>
      </w:r>
    </w:p>
    <w:p w14:paraId="63CBC991">
      <w:pPr>
        <w:pStyle w:val="84"/>
        <w:spacing w:line="360" w:lineRule="auto"/>
        <w:ind w:firstLine="600"/>
        <w:rPr>
          <w:rStyle w:val="86"/>
          <w:rFonts w:hint="eastAsia" w:ascii="宋体" w:hAnsi="宋体"/>
          <w:highlight w:val="none"/>
        </w:rPr>
      </w:pPr>
      <w:r>
        <w:rPr>
          <w:rStyle w:val="86"/>
          <w:rFonts w:hint="eastAsia" w:ascii="宋体" w:hAnsi="宋体"/>
          <w:highlight w:val="none"/>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495C0248">
      <w:pPr>
        <w:pStyle w:val="84"/>
        <w:spacing w:line="360" w:lineRule="auto"/>
        <w:ind w:firstLine="600"/>
        <w:rPr>
          <w:rStyle w:val="86"/>
          <w:rFonts w:hint="eastAsia" w:ascii="宋体" w:hAnsi="宋体"/>
          <w:highlight w:val="none"/>
        </w:rPr>
      </w:pPr>
      <w:r>
        <w:rPr>
          <w:rStyle w:val="86"/>
          <w:rFonts w:hint="eastAsia" w:ascii="宋体" w:hAnsi="宋体"/>
          <w:highlight w:val="none"/>
        </w:rPr>
        <w:t>（2） 工程师应在收到付款计划表后7天内完成审核并报送发包人。发包人应在收到经工程师审核的付款计划表后7天内完成审批，经发包人批准的付款计划表为有约束力的付款计划表。</w:t>
      </w:r>
    </w:p>
    <w:p w14:paraId="09AFFC63">
      <w:pPr>
        <w:pStyle w:val="84"/>
        <w:spacing w:line="360" w:lineRule="auto"/>
        <w:ind w:firstLine="600"/>
        <w:rPr>
          <w:rStyle w:val="86"/>
          <w:rFonts w:hint="eastAsia" w:ascii="宋体" w:hAnsi="宋体"/>
          <w:highlight w:val="none"/>
        </w:rPr>
      </w:pPr>
      <w:r>
        <w:rPr>
          <w:rStyle w:val="86"/>
          <w:rFonts w:hint="eastAsia" w:ascii="宋体" w:hAnsi="宋体"/>
          <w:highlight w:val="none"/>
        </w:rPr>
        <w:t>（3） 发包人逾期未完成付款计划表审批的，也未及时要求承包人进行修正和提供补充资料的，则承包人提交的付款计划表视为已经获得发包人批准。</w:t>
      </w:r>
    </w:p>
    <w:p w14:paraId="3159D0F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14.5 竣工结算</w:t>
      </w:r>
    </w:p>
    <w:p w14:paraId="540449D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14.5.1 竣工结算申请</w:t>
      </w:r>
    </w:p>
    <w:p w14:paraId="7CD52074">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0EFD5429">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除专用合同条件另有约定外，竣工结算申请单应包括以下内容：</w:t>
      </w:r>
    </w:p>
    <w:p w14:paraId="2B7F8CA5">
      <w:pPr>
        <w:pStyle w:val="84"/>
        <w:spacing w:line="360" w:lineRule="auto"/>
        <w:ind w:firstLine="600"/>
        <w:rPr>
          <w:rStyle w:val="86"/>
          <w:rFonts w:hint="eastAsia" w:ascii="宋体" w:hAnsi="宋体"/>
          <w:highlight w:val="none"/>
        </w:rPr>
      </w:pPr>
      <w:r>
        <w:rPr>
          <w:rStyle w:val="86"/>
          <w:rFonts w:hint="eastAsia" w:ascii="宋体" w:hAnsi="宋体"/>
          <w:highlight w:val="none"/>
        </w:rPr>
        <w:t>（1） 竣工结算合同价格；</w:t>
      </w:r>
    </w:p>
    <w:p w14:paraId="3EB10571">
      <w:pPr>
        <w:pStyle w:val="84"/>
        <w:spacing w:line="360" w:lineRule="auto"/>
        <w:ind w:firstLine="600"/>
        <w:rPr>
          <w:rStyle w:val="86"/>
          <w:rFonts w:hint="eastAsia" w:ascii="宋体" w:hAnsi="宋体"/>
          <w:highlight w:val="none"/>
        </w:rPr>
      </w:pPr>
      <w:r>
        <w:rPr>
          <w:rStyle w:val="86"/>
          <w:rFonts w:hint="eastAsia" w:ascii="宋体" w:hAnsi="宋体"/>
          <w:highlight w:val="none"/>
        </w:rPr>
        <w:t>（2） 发包人已支付承包人的款项；</w:t>
      </w:r>
    </w:p>
    <w:p w14:paraId="2D894542">
      <w:pPr>
        <w:pStyle w:val="84"/>
        <w:spacing w:line="360" w:lineRule="auto"/>
        <w:ind w:firstLine="600"/>
        <w:rPr>
          <w:rStyle w:val="86"/>
          <w:rFonts w:hint="eastAsia" w:ascii="宋体" w:hAnsi="宋体"/>
          <w:highlight w:val="none"/>
        </w:rPr>
      </w:pPr>
      <w:r>
        <w:rPr>
          <w:rStyle w:val="86"/>
          <w:rFonts w:hint="eastAsia" w:ascii="宋体" w:hAnsi="宋体"/>
          <w:highlight w:val="none"/>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0CA4BCBA">
      <w:pPr>
        <w:pStyle w:val="84"/>
        <w:spacing w:line="360" w:lineRule="auto"/>
        <w:ind w:firstLine="600"/>
        <w:rPr>
          <w:rStyle w:val="86"/>
          <w:rFonts w:hint="eastAsia" w:ascii="宋体" w:hAnsi="宋体"/>
          <w:highlight w:val="none"/>
        </w:rPr>
      </w:pPr>
      <w:r>
        <w:rPr>
          <w:rStyle w:val="86"/>
          <w:rFonts w:hint="eastAsia" w:ascii="宋体" w:hAnsi="宋体"/>
          <w:highlight w:val="none"/>
        </w:rPr>
        <w:t>（4） 发包人应支付承包人的合同价款。</w:t>
      </w:r>
    </w:p>
    <w:p w14:paraId="71DAF7E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14.5.2 竣工结算审核</w:t>
      </w:r>
    </w:p>
    <w:p w14:paraId="1A9915DA">
      <w:pPr>
        <w:pStyle w:val="84"/>
        <w:spacing w:line="360" w:lineRule="auto"/>
        <w:ind w:firstLine="600"/>
        <w:rPr>
          <w:rStyle w:val="86"/>
          <w:rFonts w:hint="eastAsia" w:ascii="宋体" w:hAnsi="宋体"/>
          <w:highlight w:val="none"/>
        </w:rPr>
      </w:pPr>
      <w:r>
        <w:rPr>
          <w:rStyle w:val="86"/>
          <w:rFonts w:hint="eastAsia" w:ascii="宋体" w:hAnsi="宋体"/>
          <w:highlight w:val="none"/>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15E7FEB4">
      <w:pPr>
        <w:pStyle w:val="84"/>
        <w:spacing w:line="360" w:lineRule="auto"/>
        <w:ind w:firstLine="600"/>
        <w:rPr>
          <w:rStyle w:val="86"/>
          <w:rFonts w:hint="eastAsia" w:ascii="宋体" w:hAnsi="宋体"/>
          <w:highlight w:val="none"/>
        </w:rPr>
      </w:pPr>
      <w:r>
        <w:rPr>
          <w:rStyle w:val="86"/>
          <w:rFonts w:hint="eastAsia" w:ascii="宋体" w:hAnsi="宋体"/>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9C62731">
      <w:pPr>
        <w:pStyle w:val="84"/>
        <w:spacing w:line="360" w:lineRule="auto"/>
        <w:ind w:firstLine="600"/>
        <w:rPr>
          <w:rStyle w:val="86"/>
          <w:rFonts w:hint="eastAsia" w:ascii="宋体" w:hAnsi="宋体"/>
          <w:highlight w:val="none"/>
        </w:rPr>
      </w:pPr>
      <w:r>
        <w:rPr>
          <w:rStyle w:val="86"/>
          <w:rFonts w:hint="eastAsia" w:ascii="宋体" w:hAnsi="宋体"/>
          <w:highlight w:val="none"/>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7DC3C5B5">
      <w:pPr>
        <w:pStyle w:val="84"/>
        <w:spacing w:line="360" w:lineRule="auto"/>
        <w:ind w:firstLine="600"/>
        <w:rPr>
          <w:rStyle w:val="86"/>
          <w:rFonts w:hint="eastAsia" w:ascii="宋体" w:hAnsi="宋体"/>
          <w:highlight w:val="none"/>
        </w:rPr>
      </w:pPr>
      <w:r>
        <w:rPr>
          <w:rStyle w:val="86"/>
          <w:rFonts w:hint="eastAsia" w:ascii="宋体" w:hAnsi="宋体"/>
          <w:highlight w:val="none"/>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4D725A2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14.5.3 扫尾工作清单</w:t>
      </w:r>
    </w:p>
    <w:p w14:paraId="775E7BE4">
      <w:pPr>
        <w:pStyle w:val="84"/>
        <w:spacing w:line="360" w:lineRule="auto"/>
        <w:ind w:firstLine="600"/>
        <w:rPr>
          <w:rStyle w:val="86"/>
          <w:rFonts w:hint="eastAsia" w:ascii="宋体" w:hAnsi="宋体"/>
          <w:highlight w:val="none"/>
        </w:rPr>
      </w:pPr>
      <w:r>
        <w:rPr>
          <w:rStyle w:val="86"/>
          <w:rFonts w:hint="eastAsia" w:ascii="宋体" w:hAnsi="宋体"/>
          <w:highlight w:val="none"/>
        </w:rPr>
        <w:t>经双方协商，部分工作在工程竣工验收后进行的，承包人应当编制扫尾工作清单，扫尾工作清单中应当列明承包人应当完成的扫尾工作的内容及完成时间。</w:t>
      </w:r>
    </w:p>
    <w:p w14:paraId="67E9A510">
      <w:pPr>
        <w:pStyle w:val="84"/>
        <w:spacing w:line="360" w:lineRule="auto"/>
        <w:ind w:firstLine="600"/>
        <w:rPr>
          <w:rStyle w:val="86"/>
          <w:rFonts w:hint="eastAsia" w:ascii="宋体" w:hAnsi="宋体"/>
          <w:highlight w:val="none"/>
        </w:rPr>
      </w:pPr>
      <w:r>
        <w:rPr>
          <w:rStyle w:val="86"/>
          <w:rFonts w:hint="eastAsia" w:ascii="宋体" w:hAnsi="宋体"/>
          <w:highlight w:val="none"/>
        </w:rPr>
        <w:t>承包人完成扫尾工作清单中的内容应取得的费用包含在第14.5.1项[竣工结算申请]及第14.5.2项[竣工结算审核]中一并结算。</w:t>
      </w:r>
    </w:p>
    <w:p w14:paraId="367DA7A7">
      <w:pPr>
        <w:pStyle w:val="84"/>
        <w:spacing w:line="360" w:lineRule="auto"/>
        <w:ind w:firstLine="600"/>
        <w:rPr>
          <w:rStyle w:val="86"/>
          <w:rFonts w:hint="eastAsia" w:ascii="宋体" w:hAnsi="宋体"/>
          <w:highlight w:val="none"/>
        </w:rPr>
      </w:pPr>
      <w:r>
        <w:rPr>
          <w:rStyle w:val="86"/>
          <w:rFonts w:hint="eastAsia" w:ascii="宋体" w:hAnsi="宋体"/>
          <w:highlight w:val="none"/>
        </w:rPr>
        <w:t>扫尾工作的缺陷责任期按第11条[缺陷责任与保修]处理。承包人未能按照扫尾工作清单约定的完成时间完成扫尾工作的，视为承包人原因导致的工程质量缺陷按照第11.3款[缺陷调查]处理。</w:t>
      </w:r>
    </w:p>
    <w:p w14:paraId="54F316A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14.6 质量保证金 </w:t>
      </w:r>
    </w:p>
    <w:p w14:paraId="600F2E47">
      <w:pPr>
        <w:pStyle w:val="84"/>
        <w:spacing w:line="360" w:lineRule="auto"/>
        <w:ind w:firstLine="600"/>
        <w:rPr>
          <w:rStyle w:val="86"/>
          <w:rFonts w:hint="eastAsia" w:ascii="宋体" w:hAnsi="宋体"/>
          <w:highlight w:val="none"/>
        </w:rPr>
      </w:pPr>
      <w:r>
        <w:rPr>
          <w:rStyle w:val="86"/>
          <w:rFonts w:hint="eastAsia" w:ascii="宋体" w:hAnsi="宋体"/>
          <w:highlight w:val="none"/>
        </w:rPr>
        <w:t>经合同当事人协商一致提供质量保证金的，应在专用合同条件中予以明确。在工程项目竣工前，承包人已经提供履约担保的，发包人不得同时要求承包人提供质量保证金。</w:t>
      </w:r>
    </w:p>
    <w:p w14:paraId="50D5BA6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14.6.1 承包人提供质量保证金的方式</w:t>
      </w:r>
    </w:p>
    <w:p w14:paraId="090DBFE3">
      <w:pPr>
        <w:pStyle w:val="84"/>
        <w:spacing w:line="360" w:lineRule="auto"/>
        <w:ind w:firstLine="600"/>
        <w:rPr>
          <w:rStyle w:val="86"/>
          <w:rFonts w:hint="eastAsia" w:ascii="宋体" w:hAnsi="宋体"/>
          <w:highlight w:val="none"/>
        </w:rPr>
      </w:pPr>
      <w:r>
        <w:rPr>
          <w:rStyle w:val="86"/>
          <w:rFonts w:hint="eastAsia" w:ascii="宋体" w:hAnsi="宋体"/>
          <w:highlight w:val="none"/>
        </w:rPr>
        <w:t>承包人提供质量保证金有以下三种方式：</w:t>
      </w:r>
    </w:p>
    <w:p w14:paraId="66018043">
      <w:pPr>
        <w:pStyle w:val="84"/>
        <w:spacing w:line="360" w:lineRule="auto"/>
        <w:ind w:firstLine="600"/>
        <w:rPr>
          <w:rStyle w:val="86"/>
          <w:rFonts w:hint="eastAsia" w:ascii="宋体" w:hAnsi="宋体"/>
          <w:highlight w:val="none"/>
        </w:rPr>
      </w:pPr>
      <w:r>
        <w:rPr>
          <w:rStyle w:val="86"/>
          <w:rFonts w:hint="eastAsia" w:ascii="宋体" w:hAnsi="宋体"/>
          <w:highlight w:val="none"/>
        </w:rPr>
        <w:t>（1） 提交工程质量保证担保；</w:t>
      </w:r>
    </w:p>
    <w:p w14:paraId="67D15D29">
      <w:pPr>
        <w:pStyle w:val="84"/>
        <w:spacing w:line="360" w:lineRule="auto"/>
        <w:ind w:firstLine="600"/>
        <w:rPr>
          <w:rStyle w:val="86"/>
          <w:rFonts w:hint="eastAsia" w:ascii="宋体" w:hAnsi="宋体"/>
          <w:highlight w:val="none"/>
        </w:rPr>
      </w:pPr>
      <w:r>
        <w:rPr>
          <w:rStyle w:val="86"/>
          <w:rFonts w:hint="eastAsia" w:ascii="宋体" w:hAnsi="宋体"/>
          <w:highlight w:val="none"/>
        </w:rPr>
        <w:t>（2） 预留相应比例的工程款；</w:t>
      </w:r>
    </w:p>
    <w:p w14:paraId="621BDC9D">
      <w:pPr>
        <w:pStyle w:val="84"/>
        <w:spacing w:line="360" w:lineRule="auto"/>
        <w:ind w:firstLine="600"/>
        <w:rPr>
          <w:rStyle w:val="86"/>
          <w:rFonts w:hint="eastAsia" w:ascii="宋体" w:hAnsi="宋体"/>
          <w:highlight w:val="none"/>
        </w:rPr>
      </w:pPr>
      <w:r>
        <w:rPr>
          <w:rStyle w:val="86"/>
          <w:rFonts w:hint="eastAsia" w:ascii="宋体" w:hAnsi="宋体"/>
          <w:highlight w:val="none"/>
        </w:rPr>
        <w:t>（3） 双方约定的其他方式。</w:t>
      </w:r>
    </w:p>
    <w:p w14:paraId="1924DEC1">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66F4CFD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14.6.2 质量保证金的预留</w:t>
      </w:r>
    </w:p>
    <w:p w14:paraId="297BA776">
      <w:pPr>
        <w:pStyle w:val="84"/>
        <w:spacing w:line="360" w:lineRule="auto"/>
        <w:ind w:firstLine="600"/>
        <w:rPr>
          <w:rStyle w:val="86"/>
          <w:rFonts w:hint="eastAsia" w:ascii="宋体" w:hAnsi="宋体"/>
          <w:highlight w:val="none"/>
        </w:rPr>
      </w:pPr>
      <w:r>
        <w:rPr>
          <w:rStyle w:val="86"/>
          <w:rFonts w:hint="eastAsia" w:ascii="宋体" w:hAnsi="宋体"/>
          <w:highlight w:val="none"/>
        </w:rPr>
        <w:t>双方约定采用预留相应比例的工程款方式提供质量保证金的，质量保证金的预留有以下三种方式：</w:t>
      </w:r>
    </w:p>
    <w:p w14:paraId="5B948E27">
      <w:pPr>
        <w:pStyle w:val="84"/>
        <w:spacing w:line="360" w:lineRule="auto"/>
        <w:ind w:firstLine="600"/>
        <w:rPr>
          <w:rStyle w:val="86"/>
          <w:rFonts w:hint="eastAsia" w:ascii="宋体" w:hAnsi="宋体"/>
          <w:highlight w:val="none"/>
        </w:rPr>
      </w:pPr>
      <w:r>
        <w:rPr>
          <w:rStyle w:val="86"/>
          <w:rFonts w:hint="eastAsia" w:ascii="宋体" w:hAnsi="宋体"/>
          <w:highlight w:val="none"/>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7CDEFA67">
      <w:pPr>
        <w:pStyle w:val="84"/>
        <w:spacing w:line="360" w:lineRule="auto"/>
        <w:ind w:firstLine="600"/>
        <w:rPr>
          <w:rStyle w:val="86"/>
          <w:rFonts w:hint="eastAsia" w:ascii="宋体" w:hAnsi="宋体"/>
          <w:highlight w:val="none"/>
        </w:rPr>
      </w:pPr>
      <w:r>
        <w:rPr>
          <w:rStyle w:val="86"/>
          <w:rFonts w:hint="eastAsia" w:ascii="宋体" w:hAnsi="宋体"/>
          <w:highlight w:val="none"/>
        </w:rPr>
        <w:t>（2） 工程竣工结算时一次性预留质量保证金；</w:t>
      </w:r>
    </w:p>
    <w:p w14:paraId="1360D190">
      <w:pPr>
        <w:pStyle w:val="84"/>
        <w:spacing w:line="360" w:lineRule="auto"/>
        <w:ind w:firstLine="600"/>
        <w:rPr>
          <w:rStyle w:val="86"/>
          <w:rFonts w:hint="eastAsia" w:ascii="宋体" w:hAnsi="宋体"/>
          <w:highlight w:val="none"/>
        </w:rPr>
      </w:pPr>
      <w:r>
        <w:rPr>
          <w:rStyle w:val="86"/>
          <w:rFonts w:hint="eastAsia" w:ascii="宋体" w:hAnsi="宋体"/>
          <w:highlight w:val="none"/>
        </w:rPr>
        <w:t>（3） 双方约定的其他预留方式。</w:t>
      </w:r>
    </w:p>
    <w:p w14:paraId="0F6131A2">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3F46027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14.6.3 质量保证金的返还</w:t>
      </w:r>
    </w:p>
    <w:p w14:paraId="22CDC726">
      <w:pPr>
        <w:pStyle w:val="84"/>
        <w:spacing w:line="360" w:lineRule="auto"/>
        <w:ind w:firstLine="600"/>
        <w:rPr>
          <w:rStyle w:val="86"/>
          <w:rFonts w:hint="eastAsia" w:ascii="宋体" w:hAnsi="宋体"/>
          <w:highlight w:val="none"/>
        </w:rPr>
      </w:pPr>
      <w:r>
        <w:rPr>
          <w:rStyle w:val="86"/>
          <w:rFonts w:hint="eastAsia" w:ascii="宋体" w:hAnsi="宋体"/>
          <w:highlight w:val="none"/>
        </w:rPr>
        <w:t>缺陷责任期内，承包人认真履行合同约定的责任，缺陷责任期满，发包人根据第11.6款[缺陷责任期终止证书]向承包人颁发缺陷责任期终止证书后，承包人可向发包人申请返还质量保证金。</w:t>
      </w:r>
    </w:p>
    <w:p w14:paraId="696D970A">
      <w:pPr>
        <w:pStyle w:val="84"/>
        <w:spacing w:line="360" w:lineRule="auto"/>
        <w:ind w:firstLine="600"/>
        <w:rPr>
          <w:rStyle w:val="86"/>
          <w:rFonts w:hint="eastAsia" w:ascii="宋体" w:hAnsi="宋体"/>
          <w:highlight w:val="none"/>
        </w:rPr>
      </w:pPr>
      <w:r>
        <w:rPr>
          <w:rStyle w:val="86"/>
          <w:rFonts w:hint="eastAsia" w:ascii="宋体" w:hAnsi="宋体"/>
          <w:highlight w:val="none"/>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27F8F331">
      <w:pPr>
        <w:pStyle w:val="84"/>
        <w:spacing w:line="360" w:lineRule="auto"/>
        <w:ind w:firstLine="600"/>
        <w:rPr>
          <w:rStyle w:val="86"/>
          <w:rFonts w:hint="eastAsia" w:ascii="宋体" w:hAnsi="宋体"/>
          <w:highlight w:val="none"/>
        </w:rPr>
      </w:pPr>
      <w:r>
        <w:rPr>
          <w:rStyle w:val="86"/>
          <w:rFonts w:hint="eastAsia" w:ascii="宋体" w:hAnsi="宋体"/>
          <w:highlight w:val="none"/>
        </w:rPr>
        <w:t>发包人和承包人对质量保证金预留、返还以及工程维修质量、费用有争议的，按本合同第20条[争议解决]约定的争议和纠纷解决程序处理。</w:t>
      </w:r>
    </w:p>
    <w:p w14:paraId="497A73F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14.7 最终结清 </w:t>
      </w:r>
    </w:p>
    <w:p w14:paraId="0F59533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14.7.1 最终结清申请单</w:t>
      </w:r>
    </w:p>
    <w:p w14:paraId="559F3CA2">
      <w:pPr>
        <w:pStyle w:val="84"/>
        <w:spacing w:line="360" w:lineRule="auto"/>
        <w:ind w:firstLine="600"/>
        <w:rPr>
          <w:rStyle w:val="86"/>
          <w:rFonts w:hint="eastAsia" w:ascii="宋体" w:hAnsi="宋体"/>
          <w:highlight w:val="none"/>
        </w:rPr>
      </w:pPr>
      <w:r>
        <w:rPr>
          <w:rStyle w:val="86"/>
          <w:rFonts w:hint="eastAsia" w:ascii="宋体" w:hAnsi="宋体"/>
          <w:highlight w:val="none"/>
        </w:rPr>
        <w:t>（1） 除专用合同条件另有约定外，承包人应在缺陷责任期终止证书颁发后7天内，按专用合同条件约定的份数向发包人提交最终结清申请单，并提供相关证明材料。</w:t>
      </w:r>
    </w:p>
    <w:p w14:paraId="6738425A">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除专用合同条件另有约定外，最终结清申请单应列明质量保证金、应扣除的质量保证金、缺陷责任期内发生的增减费用。</w:t>
      </w:r>
    </w:p>
    <w:p w14:paraId="06A7BFF1">
      <w:pPr>
        <w:pStyle w:val="84"/>
        <w:spacing w:line="360" w:lineRule="auto"/>
        <w:ind w:firstLine="600"/>
        <w:rPr>
          <w:rStyle w:val="86"/>
          <w:rFonts w:hint="eastAsia" w:ascii="宋体" w:hAnsi="宋体"/>
          <w:highlight w:val="none"/>
        </w:rPr>
      </w:pPr>
      <w:r>
        <w:rPr>
          <w:rStyle w:val="86"/>
          <w:rFonts w:hint="eastAsia" w:ascii="宋体" w:hAnsi="宋体"/>
          <w:highlight w:val="none"/>
        </w:rPr>
        <w:t>（2） 发包人对最终结清申请单内容有异议的，有权要求承包人进行修正和提供补充资料，承包人应向发包人提交修正后的最终结清申请单。</w:t>
      </w:r>
    </w:p>
    <w:p w14:paraId="23403915">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14.7.2 最终结清证书和支付</w:t>
      </w:r>
    </w:p>
    <w:p w14:paraId="6339D908">
      <w:pPr>
        <w:pStyle w:val="84"/>
        <w:spacing w:line="360" w:lineRule="auto"/>
        <w:ind w:firstLine="600"/>
        <w:rPr>
          <w:rStyle w:val="86"/>
          <w:rFonts w:hint="eastAsia" w:ascii="宋体" w:hAnsi="宋体"/>
          <w:highlight w:val="none"/>
        </w:rPr>
      </w:pPr>
      <w:r>
        <w:rPr>
          <w:rStyle w:val="86"/>
          <w:rFonts w:hint="eastAsia" w:ascii="宋体" w:hAnsi="宋体"/>
          <w:highlight w:val="none"/>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87174C6">
      <w:pPr>
        <w:pStyle w:val="84"/>
        <w:spacing w:line="360" w:lineRule="auto"/>
        <w:ind w:firstLine="600"/>
        <w:rPr>
          <w:rStyle w:val="86"/>
          <w:rFonts w:hint="eastAsia" w:ascii="宋体" w:hAnsi="宋体"/>
          <w:highlight w:val="none"/>
        </w:rPr>
      </w:pPr>
      <w:r>
        <w:rPr>
          <w:rStyle w:val="86"/>
          <w:rFonts w:hint="eastAsia" w:ascii="宋体" w:hAnsi="宋体"/>
          <w:highlight w:val="none"/>
        </w:rPr>
        <w:t>（2） 除专用合同条件另有约定外，发包人应在颁发最终结清证书后7天内完成支付。发包人逾期支付的，按照贷款市场报价利率（LPR）支付利息；逾期支付超过56天的，按照贷款市场报价利率（LPR）的两倍支付利息。</w:t>
      </w:r>
    </w:p>
    <w:p w14:paraId="10A2DBE9">
      <w:pPr>
        <w:pStyle w:val="84"/>
        <w:spacing w:line="360" w:lineRule="auto"/>
        <w:ind w:firstLine="600"/>
        <w:rPr>
          <w:rStyle w:val="86"/>
          <w:rFonts w:hint="eastAsia" w:ascii="宋体" w:hAnsi="宋体"/>
          <w:highlight w:val="none"/>
        </w:rPr>
      </w:pPr>
      <w:r>
        <w:rPr>
          <w:rStyle w:val="86"/>
          <w:rFonts w:hint="eastAsia" w:ascii="宋体" w:hAnsi="宋体"/>
          <w:highlight w:val="none"/>
        </w:rPr>
        <w:t>（3） 承包人对发包人颁发的最终结清证书有异议的，按第20条[争议解决]的约定办理。</w:t>
      </w:r>
    </w:p>
    <w:p w14:paraId="244C84EB">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第15条 违约</w:t>
      </w:r>
    </w:p>
    <w:p w14:paraId="7DF2158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15.1 发包人违约</w:t>
      </w:r>
    </w:p>
    <w:p w14:paraId="3612886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15.1.1 发包人违约的情形</w:t>
      </w:r>
    </w:p>
    <w:p w14:paraId="22159F3A">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除专用合同条件另有约定外，在合同履行过程中发生的下列情形，属于发包人违约：</w:t>
      </w:r>
    </w:p>
    <w:p w14:paraId="2FAFF57D">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（1） 因发包人原因导致开始工作日期延误的； </w:t>
      </w:r>
    </w:p>
    <w:p w14:paraId="28DA4C4D">
      <w:pPr>
        <w:pStyle w:val="84"/>
        <w:spacing w:line="360" w:lineRule="auto"/>
        <w:ind w:firstLine="600"/>
        <w:rPr>
          <w:rStyle w:val="86"/>
          <w:rFonts w:hint="eastAsia" w:ascii="宋体" w:hAnsi="宋体"/>
          <w:highlight w:val="none"/>
        </w:rPr>
      </w:pPr>
      <w:r>
        <w:rPr>
          <w:rStyle w:val="86"/>
          <w:rFonts w:hint="eastAsia" w:ascii="宋体" w:hAnsi="宋体"/>
          <w:highlight w:val="none"/>
        </w:rPr>
        <w:t>（2） 因发包人原因未能按合同约定支付合同价款的；</w:t>
      </w:r>
    </w:p>
    <w:p w14:paraId="6A329C28">
      <w:pPr>
        <w:pStyle w:val="84"/>
        <w:spacing w:line="360" w:lineRule="auto"/>
        <w:ind w:firstLine="600"/>
        <w:rPr>
          <w:rStyle w:val="86"/>
          <w:rFonts w:hint="eastAsia" w:ascii="宋体" w:hAnsi="宋体"/>
          <w:highlight w:val="none"/>
        </w:rPr>
      </w:pPr>
      <w:r>
        <w:rPr>
          <w:rStyle w:val="86"/>
          <w:rFonts w:hint="eastAsia" w:ascii="宋体" w:hAnsi="宋体"/>
          <w:highlight w:val="none"/>
        </w:rPr>
        <w:t>（3） 发包人违反第13.1.1项约定，自行实施被取消的工作或转由他人实施的；</w:t>
      </w:r>
    </w:p>
    <w:p w14:paraId="76B07D5A">
      <w:pPr>
        <w:pStyle w:val="84"/>
        <w:spacing w:line="360" w:lineRule="auto"/>
        <w:ind w:firstLine="600"/>
        <w:rPr>
          <w:rStyle w:val="86"/>
          <w:rFonts w:hint="eastAsia" w:ascii="宋体" w:hAnsi="宋体"/>
          <w:highlight w:val="none"/>
        </w:rPr>
      </w:pPr>
      <w:r>
        <w:rPr>
          <w:rStyle w:val="86"/>
          <w:rFonts w:hint="eastAsia" w:ascii="宋体" w:hAnsi="宋体"/>
          <w:highlight w:val="none"/>
        </w:rPr>
        <w:t>（4） 因发包人违反合同约定造成工程暂停施工的；</w:t>
      </w:r>
    </w:p>
    <w:p w14:paraId="5358F763">
      <w:pPr>
        <w:pStyle w:val="84"/>
        <w:spacing w:line="360" w:lineRule="auto"/>
        <w:ind w:firstLine="600"/>
        <w:rPr>
          <w:rStyle w:val="86"/>
          <w:rFonts w:hint="eastAsia" w:ascii="宋体" w:hAnsi="宋体"/>
          <w:highlight w:val="none"/>
        </w:rPr>
      </w:pPr>
      <w:r>
        <w:rPr>
          <w:rStyle w:val="86"/>
          <w:rFonts w:hint="eastAsia" w:ascii="宋体" w:hAnsi="宋体"/>
          <w:highlight w:val="none"/>
        </w:rPr>
        <w:t>（5） 工程师无正当理由没有在约定期限内发出复工指示，导致承包人无法复工的；</w:t>
      </w:r>
    </w:p>
    <w:p w14:paraId="47843B54">
      <w:pPr>
        <w:pStyle w:val="84"/>
        <w:spacing w:line="360" w:lineRule="auto"/>
        <w:ind w:firstLine="600"/>
        <w:rPr>
          <w:rStyle w:val="86"/>
          <w:rFonts w:hint="eastAsia" w:ascii="宋体" w:hAnsi="宋体"/>
          <w:highlight w:val="none"/>
        </w:rPr>
      </w:pPr>
      <w:r>
        <w:rPr>
          <w:rStyle w:val="86"/>
          <w:rFonts w:hint="eastAsia" w:ascii="宋体" w:hAnsi="宋体"/>
          <w:highlight w:val="none"/>
        </w:rPr>
        <w:t>（6） 发包人明确表示或者以其行为表明不履行合同主要义务的；</w:t>
      </w:r>
    </w:p>
    <w:p w14:paraId="7C484CAD">
      <w:pPr>
        <w:pStyle w:val="84"/>
        <w:spacing w:line="360" w:lineRule="auto"/>
        <w:ind w:firstLine="600"/>
        <w:rPr>
          <w:rStyle w:val="86"/>
          <w:rFonts w:hint="eastAsia" w:ascii="宋体" w:hAnsi="宋体"/>
          <w:highlight w:val="none"/>
        </w:rPr>
      </w:pPr>
      <w:r>
        <w:rPr>
          <w:rStyle w:val="86"/>
          <w:rFonts w:hint="eastAsia" w:ascii="宋体" w:hAnsi="宋体"/>
          <w:highlight w:val="none"/>
        </w:rPr>
        <w:t>（7） 发包人未能按照合同约定履行其他义务的。</w:t>
      </w:r>
    </w:p>
    <w:p w14:paraId="3E8C963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15.1.2 通知改正</w:t>
      </w:r>
    </w:p>
    <w:p w14:paraId="3DA02515">
      <w:pPr>
        <w:pStyle w:val="84"/>
        <w:spacing w:line="360" w:lineRule="auto"/>
        <w:ind w:firstLine="600"/>
        <w:rPr>
          <w:rStyle w:val="86"/>
          <w:rFonts w:hint="eastAsia" w:ascii="宋体" w:hAnsi="宋体"/>
          <w:highlight w:val="none"/>
        </w:rPr>
      </w:pPr>
      <w:r>
        <w:rPr>
          <w:rStyle w:val="86"/>
          <w:rFonts w:hint="eastAsia" w:ascii="宋体" w:hAnsi="宋体"/>
          <w:highlight w:val="none"/>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p>
    <w:p w14:paraId="748B52F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15.1.3 发包人违约的责任</w:t>
      </w:r>
    </w:p>
    <w:p w14:paraId="5EF3D609">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发包人应承担因其违约给承包人增加的费用和（或）延误的工期，并支付承包人合理的利润。此外，合同当事人可在专用合同条件中另行约定发包人违约责任的承担方式和计算方法。</w:t>
      </w:r>
    </w:p>
    <w:p w14:paraId="6FE91E0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15.2 承包人违约</w:t>
      </w:r>
    </w:p>
    <w:p w14:paraId="79E45FC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15.2.1 承包人违约的情形</w:t>
      </w:r>
    </w:p>
    <w:p w14:paraId="7AB9627D">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除专用合同条件另有约定外，在履行合同过程中发生的下列情况之一的，属于承包人违约：</w:t>
      </w:r>
    </w:p>
    <w:p w14:paraId="67B6CFF4">
      <w:pPr>
        <w:pStyle w:val="84"/>
        <w:spacing w:line="360" w:lineRule="auto"/>
        <w:ind w:firstLine="600"/>
        <w:rPr>
          <w:rStyle w:val="86"/>
          <w:rFonts w:hint="eastAsia" w:ascii="宋体" w:hAnsi="宋体"/>
          <w:highlight w:val="none"/>
        </w:rPr>
      </w:pPr>
      <w:r>
        <w:rPr>
          <w:rStyle w:val="86"/>
          <w:rFonts w:hint="eastAsia" w:ascii="宋体" w:hAnsi="宋体"/>
          <w:highlight w:val="none"/>
        </w:rPr>
        <w:t>（1） 承包人的原因导致的承包人文件、实施和竣工的工程不符合法律法规、工程质量验收标准以及合同约定；</w:t>
      </w:r>
    </w:p>
    <w:p w14:paraId="21B78904">
      <w:pPr>
        <w:pStyle w:val="84"/>
        <w:spacing w:line="360" w:lineRule="auto"/>
        <w:ind w:firstLine="600"/>
        <w:rPr>
          <w:rStyle w:val="86"/>
          <w:rFonts w:hint="eastAsia" w:ascii="宋体" w:hAnsi="宋体"/>
          <w:highlight w:val="none"/>
        </w:rPr>
      </w:pPr>
      <w:r>
        <w:rPr>
          <w:rStyle w:val="86"/>
          <w:rFonts w:hint="eastAsia" w:ascii="宋体" w:hAnsi="宋体"/>
          <w:highlight w:val="none"/>
        </w:rPr>
        <w:t>（2） 承包人违反合同约定进行转包或违法分包的；</w:t>
      </w:r>
    </w:p>
    <w:p w14:paraId="1D67D2D7">
      <w:pPr>
        <w:pStyle w:val="84"/>
        <w:spacing w:line="360" w:lineRule="auto"/>
        <w:ind w:firstLine="600"/>
        <w:rPr>
          <w:rStyle w:val="86"/>
          <w:rFonts w:hint="eastAsia" w:ascii="宋体" w:hAnsi="宋体"/>
          <w:highlight w:val="none"/>
        </w:rPr>
      </w:pPr>
      <w:r>
        <w:rPr>
          <w:rStyle w:val="86"/>
          <w:rFonts w:hint="eastAsia" w:ascii="宋体" w:hAnsi="宋体"/>
          <w:highlight w:val="none"/>
        </w:rPr>
        <w:t>（3） 承包人违反约定采购和使用不合格材料或工程设备；</w:t>
      </w:r>
    </w:p>
    <w:p w14:paraId="14DCFFCE">
      <w:pPr>
        <w:pStyle w:val="84"/>
        <w:spacing w:line="360" w:lineRule="auto"/>
        <w:ind w:firstLine="600"/>
        <w:rPr>
          <w:rStyle w:val="86"/>
          <w:rFonts w:hint="eastAsia" w:ascii="宋体" w:hAnsi="宋体"/>
          <w:highlight w:val="none"/>
        </w:rPr>
      </w:pPr>
      <w:r>
        <w:rPr>
          <w:rStyle w:val="86"/>
          <w:rFonts w:hint="eastAsia" w:ascii="宋体" w:hAnsi="宋体"/>
          <w:highlight w:val="none"/>
        </w:rPr>
        <w:t>（4） 因承包人原因导致工程质量不符合合同要求的；</w:t>
      </w:r>
    </w:p>
    <w:p w14:paraId="54E85E25">
      <w:pPr>
        <w:pStyle w:val="84"/>
        <w:spacing w:line="360" w:lineRule="auto"/>
        <w:ind w:firstLine="600"/>
        <w:rPr>
          <w:rStyle w:val="86"/>
          <w:rFonts w:hint="eastAsia" w:ascii="宋体" w:hAnsi="宋体"/>
          <w:highlight w:val="none"/>
        </w:rPr>
      </w:pPr>
      <w:r>
        <w:rPr>
          <w:rStyle w:val="86"/>
          <w:rFonts w:hint="eastAsia" w:ascii="宋体" w:hAnsi="宋体"/>
          <w:highlight w:val="none"/>
        </w:rPr>
        <w:t>（5） 承包人未经工程师批准，擅自将已按合同约定进入施工现场的施工设备、临时设施或材料撤离施工现场；</w:t>
      </w:r>
    </w:p>
    <w:p w14:paraId="310493B0">
      <w:pPr>
        <w:pStyle w:val="84"/>
        <w:spacing w:line="360" w:lineRule="auto"/>
        <w:ind w:firstLine="600"/>
        <w:rPr>
          <w:rStyle w:val="86"/>
          <w:rFonts w:hint="eastAsia" w:ascii="宋体" w:hAnsi="宋体"/>
          <w:highlight w:val="none"/>
        </w:rPr>
      </w:pPr>
      <w:r>
        <w:rPr>
          <w:rStyle w:val="86"/>
          <w:rFonts w:hint="eastAsia" w:ascii="宋体" w:hAnsi="宋体"/>
          <w:highlight w:val="none"/>
        </w:rPr>
        <w:t>（6） 承包人未能按项目进度计划及时完成合同约定的工作，造成工期延误；</w:t>
      </w:r>
    </w:p>
    <w:p w14:paraId="0DCC761F">
      <w:pPr>
        <w:pStyle w:val="84"/>
        <w:spacing w:line="360" w:lineRule="auto"/>
        <w:ind w:firstLine="600"/>
        <w:rPr>
          <w:rStyle w:val="86"/>
          <w:rFonts w:hint="eastAsia" w:ascii="宋体" w:hAnsi="宋体"/>
          <w:highlight w:val="none"/>
        </w:rPr>
      </w:pPr>
      <w:r>
        <w:rPr>
          <w:rStyle w:val="86"/>
          <w:rFonts w:hint="eastAsia" w:ascii="宋体" w:hAnsi="宋体"/>
          <w:highlight w:val="none"/>
        </w:rPr>
        <w:t>（7） 由于承包人原因未能通过竣工试验或竣工后试验的；</w:t>
      </w:r>
    </w:p>
    <w:p w14:paraId="5CF0D67C">
      <w:pPr>
        <w:pStyle w:val="84"/>
        <w:spacing w:line="360" w:lineRule="auto"/>
        <w:ind w:firstLine="600"/>
        <w:rPr>
          <w:rStyle w:val="86"/>
          <w:rFonts w:hint="eastAsia" w:ascii="宋体" w:hAnsi="宋体"/>
          <w:highlight w:val="none"/>
        </w:rPr>
      </w:pPr>
      <w:r>
        <w:rPr>
          <w:rStyle w:val="86"/>
          <w:rFonts w:hint="eastAsia" w:ascii="宋体" w:hAnsi="宋体"/>
          <w:highlight w:val="none"/>
        </w:rPr>
        <w:t>（8） 承包人在缺陷责任期及保修期内，未能在合理期限对工程缺陷进行修复，或拒绝按发包人指示进行修复的；</w:t>
      </w:r>
    </w:p>
    <w:p w14:paraId="1F8B7F0F">
      <w:pPr>
        <w:pStyle w:val="84"/>
        <w:spacing w:line="360" w:lineRule="auto"/>
        <w:ind w:firstLine="600"/>
        <w:rPr>
          <w:rStyle w:val="86"/>
          <w:rFonts w:hint="eastAsia" w:ascii="宋体" w:hAnsi="宋体"/>
          <w:highlight w:val="none"/>
        </w:rPr>
      </w:pPr>
      <w:r>
        <w:rPr>
          <w:rStyle w:val="86"/>
          <w:rFonts w:hint="eastAsia" w:ascii="宋体" w:hAnsi="宋体"/>
          <w:highlight w:val="none"/>
        </w:rPr>
        <w:t>（9） 承包人明确表示或者以其行为表明不履行合同主要义务的；</w:t>
      </w:r>
    </w:p>
    <w:p w14:paraId="63586960">
      <w:pPr>
        <w:pStyle w:val="84"/>
        <w:spacing w:line="360" w:lineRule="auto"/>
        <w:ind w:firstLine="600"/>
        <w:rPr>
          <w:rStyle w:val="86"/>
          <w:rFonts w:hint="eastAsia" w:ascii="宋体" w:hAnsi="宋体"/>
          <w:highlight w:val="none"/>
        </w:rPr>
      </w:pPr>
      <w:r>
        <w:rPr>
          <w:rStyle w:val="86"/>
          <w:rFonts w:hint="eastAsia" w:ascii="宋体" w:hAnsi="宋体"/>
          <w:highlight w:val="none"/>
        </w:rPr>
        <w:t>（10） 承包人未能按照合同约定履行其他义务的。</w:t>
      </w:r>
    </w:p>
    <w:p w14:paraId="2F7CCDF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15.2.2 通知改正</w:t>
      </w:r>
    </w:p>
    <w:p w14:paraId="79097425">
      <w:pPr>
        <w:pStyle w:val="84"/>
        <w:spacing w:line="360" w:lineRule="auto"/>
        <w:ind w:firstLine="600"/>
        <w:rPr>
          <w:rStyle w:val="86"/>
          <w:rFonts w:hint="eastAsia" w:ascii="宋体" w:hAnsi="宋体"/>
          <w:highlight w:val="none"/>
        </w:rPr>
      </w:pPr>
      <w:r>
        <w:rPr>
          <w:rStyle w:val="86"/>
          <w:rFonts w:hint="eastAsia" w:ascii="宋体" w:hAnsi="宋体"/>
          <w:highlight w:val="none"/>
        </w:rPr>
        <w:t>承包人发生除第15.2.1项第(7)目、第(9)目约定以外的其他违约情况时，工程师可在专用合同条件约定的合理期限内向承包人发出整改通知，要求其在指定的期限内改正。</w:t>
      </w:r>
    </w:p>
    <w:p w14:paraId="0DA7C40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15.2.3 承包人违约的责任</w:t>
      </w:r>
    </w:p>
    <w:p w14:paraId="7DED3BFE">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承包人应承担因其违约行为而增加的费用和（或）延误的工期。此外，合同当事人可在专用合同条件中另行约定承包人违约责任的承担方式和计算方法。</w:t>
      </w:r>
    </w:p>
    <w:p w14:paraId="789322D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15.3 第三人造成的违约</w:t>
      </w:r>
    </w:p>
    <w:p w14:paraId="2FB46FDE">
      <w:pPr>
        <w:pStyle w:val="84"/>
        <w:spacing w:line="360" w:lineRule="auto"/>
        <w:ind w:firstLine="600"/>
        <w:rPr>
          <w:rStyle w:val="86"/>
          <w:rFonts w:hint="eastAsia" w:ascii="宋体" w:hAnsi="宋体"/>
          <w:highlight w:val="none"/>
        </w:rPr>
      </w:pPr>
      <w:r>
        <w:rPr>
          <w:rStyle w:val="86"/>
          <w:rFonts w:hint="eastAsia" w:ascii="宋体" w:hAnsi="宋体"/>
          <w:highlight w:val="none"/>
        </w:rPr>
        <w:t>在履行合同过程中，一方当事人因第三人的原因造成违约的，应当向对方当事人承担违约责任。一方当事人和第三人之间的纠纷，依照法律规定或者按照约定解决。</w:t>
      </w:r>
    </w:p>
    <w:p w14:paraId="10511FB2">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第16条 合同解除</w:t>
      </w:r>
    </w:p>
    <w:p w14:paraId="1005A389">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16.1 由发包人解除合同</w:t>
      </w:r>
    </w:p>
    <w:p w14:paraId="6718AEB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16.1.1 因承包人违约解除合同</w:t>
      </w:r>
    </w:p>
    <w:p w14:paraId="688ADBA4">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722BAF98">
      <w:pPr>
        <w:pStyle w:val="84"/>
        <w:spacing w:line="360" w:lineRule="auto"/>
        <w:ind w:firstLine="600"/>
        <w:rPr>
          <w:rStyle w:val="86"/>
          <w:rFonts w:hint="eastAsia" w:ascii="宋体" w:hAnsi="宋体"/>
          <w:highlight w:val="none"/>
        </w:rPr>
      </w:pPr>
      <w:r>
        <w:rPr>
          <w:rStyle w:val="86"/>
          <w:rFonts w:hint="eastAsia" w:ascii="宋体" w:hAnsi="宋体"/>
          <w:highlight w:val="none"/>
        </w:rPr>
        <w:t>（1） 承包人未能遵守第4.2款[履约担保]的约定；</w:t>
      </w:r>
    </w:p>
    <w:p w14:paraId="2F7F16FA">
      <w:pPr>
        <w:pStyle w:val="84"/>
        <w:spacing w:line="360" w:lineRule="auto"/>
        <w:ind w:firstLine="600"/>
        <w:rPr>
          <w:rStyle w:val="86"/>
          <w:rFonts w:hint="eastAsia" w:ascii="宋体" w:hAnsi="宋体"/>
          <w:highlight w:val="none"/>
        </w:rPr>
      </w:pPr>
      <w:r>
        <w:rPr>
          <w:rStyle w:val="86"/>
          <w:rFonts w:hint="eastAsia" w:ascii="宋体" w:hAnsi="宋体"/>
          <w:highlight w:val="none"/>
        </w:rPr>
        <w:t>（2） 承包人未能遵守第4.5款[分包]有关分包和转包的约定；</w:t>
      </w:r>
    </w:p>
    <w:p w14:paraId="270B12A6">
      <w:pPr>
        <w:pStyle w:val="84"/>
        <w:spacing w:line="360" w:lineRule="auto"/>
        <w:ind w:firstLine="600"/>
        <w:rPr>
          <w:rStyle w:val="86"/>
          <w:rFonts w:hint="eastAsia" w:ascii="宋体" w:hAnsi="宋体"/>
          <w:highlight w:val="none"/>
        </w:rPr>
      </w:pPr>
      <w:r>
        <w:rPr>
          <w:rStyle w:val="86"/>
          <w:rFonts w:hint="eastAsia" w:ascii="宋体" w:hAnsi="宋体"/>
          <w:highlight w:val="none"/>
        </w:rPr>
        <w:t>（3） 承包人实际进度明显落后于进度计划，并且未按发包人的指令采取措施并修正进度计划；</w:t>
      </w:r>
    </w:p>
    <w:p w14:paraId="6BE4BB12">
      <w:pPr>
        <w:pStyle w:val="84"/>
        <w:spacing w:line="360" w:lineRule="auto"/>
        <w:ind w:firstLine="600"/>
        <w:rPr>
          <w:rStyle w:val="86"/>
          <w:rFonts w:hint="eastAsia" w:ascii="宋体" w:hAnsi="宋体"/>
          <w:highlight w:val="none"/>
        </w:rPr>
      </w:pPr>
      <w:r>
        <w:rPr>
          <w:rStyle w:val="86"/>
          <w:rFonts w:hint="eastAsia" w:ascii="宋体" w:hAnsi="宋体"/>
          <w:highlight w:val="none"/>
        </w:rPr>
        <w:t>（4） 工程质量有严重缺陷，承包人无正当理由使修复开始日期拖延达28天以上；</w:t>
      </w:r>
    </w:p>
    <w:p w14:paraId="65789F7F">
      <w:pPr>
        <w:pStyle w:val="84"/>
        <w:spacing w:line="360" w:lineRule="auto"/>
        <w:ind w:firstLine="600"/>
        <w:rPr>
          <w:rStyle w:val="86"/>
          <w:rFonts w:hint="eastAsia" w:ascii="宋体" w:hAnsi="宋体"/>
          <w:highlight w:val="none"/>
        </w:rPr>
      </w:pPr>
      <w:r>
        <w:rPr>
          <w:rStyle w:val="86"/>
          <w:rFonts w:hint="eastAsia" w:ascii="宋体" w:hAnsi="宋体"/>
          <w:highlight w:val="none"/>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4EF9A2AC">
      <w:pPr>
        <w:pStyle w:val="84"/>
        <w:spacing w:line="360" w:lineRule="auto"/>
        <w:ind w:firstLine="600"/>
        <w:rPr>
          <w:rStyle w:val="86"/>
          <w:rFonts w:hint="eastAsia" w:ascii="宋体" w:hAnsi="宋体"/>
          <w:highlight w:val="none"/>
        </w:rPr>
      </w:pPr>
      <w:r>
        <w:rPr>
          <w:rStyle w:val="86"/>
          <w:rFonts w:hint="eastAsia" w:ascii="宋体" w:hAnsi="宋体"/>
          <w:highlight w:val="none"/>
        </w:rPr>
        <w:t>（6） 承包人明确表示或以自己的行为表明不履行合同、或经发包人以书面形式通知其履约后仍未能依约履行合同、或以不适当的方式履行合同；</w:t>
      </w:r>
    </w:p>
    <w:p w14:paraId="1E0DDBE3">
      <w:pPr>
        <w:pStyle w:val="84"/>
        <w:spacing w:line="360" w:lineRule="auto"/>
        <w:ind w:firstLine="600"/>
        <w:rPr>
          <w:rStyle w:val="86"/>
          <w:rFonts w:hint="eastAsia" w:ascii="宋体" w:hAnsi="宋体"/>
          <w:highlight w:val="none"/>
        </w:rPr>
      </w:pPr>
      <w:r>
        <w:rPr>
          <w:rStyle w:val="86"/>
          <w:rFonts w:hint="eastAsia" w:ascii="宋体" w:hAnsi="宋体"/>
          <w:highlight w:val="none"/>
        </w:rPr>
        <w:t>（7） 未能通过的竣工试验、未能通过的竣工后试验，使工程的任何部分和（或）整个工程丧失了主要使用功能、生产功能；</w:t>
      </w:r>
    </w:p>
    <w:p w14:paraId="60AD89FE">
      <w:pPr>
        <w:pStyle w:val="84"/>
        <w:spacing w:line="360" w:lineRule="auto"/>
        <w:ind w:firstLine="600"/>
        <w:rPr>
          <w:rStyle w:val="86"/>
          <w:rFonts w:hint="eastAsia" w:ascii="宋体" w:hAnsi="宋体"/>
          <w:highlight w:val="none"/>
        </w:rPr>
      </w:pPr>
      <w:r>
        <w:rPr>
          <w:rStyle w:val="86"/>
          <w:rFonts w:hint="eastAsia" w:ascii="宋体" w:hAnsi="宋体"/>
          <w:highlight w:val="none"/>
        </w:rPr>
        <w:t>（8） 因承包人的原因暂停工作超过56天且暂停影响到整个工程，或因承包人的原因暂停工作超过182天；</w:t>
      </w:r>
    </w:p>
    <w:p w14:paraId="26C6141F">
      <w:pPr>
        <w:pStyle w:val="84"/>
        <w:spacing w:line="360" w:lineRule="auto"/>
        <w:ind w:firstLine="600"/>
        <w:rPr>
          <w:rStyle w:val="86"/>
          <w:rFonts w:hint="eastAsia" w:ascii="宋体" w:hAnsi="宋体"/>
          <w:highlight w:val="none"/>
        </w:rPr>
      </w:pPr>
      <w:r>
        <w:rPr>
          <w:rStyle w:val="86"/>
          <w:rFonts w:hint="eastAsia" w:ascii="宋体" w:hAnsi="宋体"/>
          <w:highlight w:val="none"/>
        </w:rPr>
        <w:t>（9） 承包人未能遵守第8.2款[竣工日期]规定，延误超过182天；</w:t>
      </w:r>
    </w:p>
    <w:p w14:paraId="2633FF64">
      <w:pPr>
        <w:pStyle w:val="84"/>
        <w:spacing w:line="360" w:lineRule="auto"/>
        <w:ind w:firstLine="600"/>
        <w:rPr>
          <w:rStyle w:val="86"/>
          <w:rFonts w:hint="eastAsia" w:ascii="宋体" w:hAnsi="宋体"/>
          <w:highlight w:val="none"/>
        </w:rPr>
      </w:pPr>
      <w:r>
        <w:rPr>
          <w:rStyle w:val="86"/>
          <w:rFonts w:hint="eastAsia" w:ascii="宋体" w:hAnsi="宋体"/>
          <w:highlight w:val="none"/>
        </w:rPr>
        <w:t>（10） 工程师根据第15.2.2项[通知改正]发出整改通知后，承包人在指定的合理期限内仍不纠正违约行为并致使合同目的不能实现的。</w:t>
      </w:r>
    </w:p>
    <w:p w14:paraId="3FA1FB1D">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16.1.2 因承包人违约解除合同后承包人的义务</w:t>
      </w:r>
    </w:p>
    <w:p w14:paraId="7A933CEA">
      <w:pPr>
        <w:pStyle w:val="84"/>
        <w:spacing w:line="360" w:lineRule="auto"/>
        <w:ind w:firstLine="600"/>
        <w:rPr>
          <w:rStyle w:val="86"/>
          <w:rFonts w:hint="eastAsia" w:ascii="宋体" w:hAnsi="宋体"/>
          <w:highlight w:val="none"/>
        </w:rPr>
      </w:pPr>
      <w:r>
        <w:rPr>
          <w:rStyle w:val="86"/>
          <w:rFonts w:hint="eastAsia" w:ascii="宋体" w:hAnsi="宋体"/>
          <w:highlight w:val="none"/>
        </w:rPr>
        <w:t>合同解除后，承包人应按以下约定执行：</w:t>
      </w:r>
    </w:p>
    <w:p w14:paraId="0CC95A5B">
      <w:pPr>
        <w:pStyle w:val="84"/>
        <w:spacing w:line="360" w:lineRule="auto"/>
        <w:ind w:firstLine="600"/>
        <w:rPr>
          <w:rStyle w:val="86"/>
          <w:rFonts w:hint="eastAsia" w:ascii="宋体" w:hAnsi="宋体"/>
          <w:highlight w:val="none"/>
        </w:rPr>
      </w:pPr>
      <w:r>
        <w:rPr>
          <w:rStyle w:val="86"/>
          <w:rFonts w:hint="eastAsia" w:ascii="宋体" w:hAnsi="宋体"/>
          <w:highlight w:val="none"/>
        </w:rPr>
        <w:t>（1） 除了为保护生命、财产或工程安全、清理和必须执行的工作外，停止执行所有被通知解除的工作，并将相关人员撤离现场；</w:t>
      </w:r>
    </w:p>
    <w:p w14:paraId="35F7B4A7">
      <w:pPr>
        <w:pStyle w:val="84"/>
        <w:spacing w:line="360" w:lineRule="auto"/>
        <w:ind w:firstLine="600"/>
        <w:rPr>
          <w:rStyle w:val="86"/>
          <w:rFonts w:hint="eastAsia" w:ascii="宋体" w:hAnsi="宋体"/>
          <w:highlight w:val="none"/>
        </w:rPr>
      </w:pPr>
      <w:r>
        <w:rPr>
          <w:rStyle w:val="86"/>
          <w:rFonts w:hint="eastAsia" w:ascii="宋体" w:hAnsi="宋体"/>
          <w:highlight w:val="none"/>
        </w:rPr>
        <w:t>（2） 经发包人批准，承包人应将与被解除合同相关的和正在执行的分包合同及相关的责任和义务转让至发包人和（或）发包人指定方的名下，包括永久性工程及工程物资，以及相关工作；</w:t>
      </w:r>
    </w:p>
    <w:p w14:paraId="76CB84A5">
      <w:pPr>
        <w:pStyle w:val="84"/>
        <w:spacing w:line="360" w:lineRule="auto"/>
        <w:ind w:firstLine="600"/>
        <w:rPr>
          <w:rStyle w:val="86"/>
          <w:rFonts w:hint="eastAsia" w:ascii="宋体" w:hAnsi="宋体"/>
          <w:highlight w:val="none"/>
        </w:rPr>
      </w:pPr>
      <w:r>
        <w:rPr>
          <w:rStyle w:val="86"/>
          <w:rFonts w:hint="eastAsia" w:ascii="宋体" w:hAnsi="宋体"/>
          <w:highlight w:val="none"/>
        </w:rPr>
        <w:t>（3） 移交已完成的永久性工程及负责已运抵现场的工程物资。在移交前，妥善做好己完工程和已运抵现场的工程物资的保管、维护和保养；</w:t>
      </w:r>
    </w:p>
    <w:p w14:paraId="083FDF42">
      <w:pPr>
        <w:pStyle w:val="84"/>
        <w:spacing w:line="360" w:lineRule="auto"/>
        <w:ind w:firstLine="600"/>
        <w:rPr>
          <w:rStyle w:val="86"/>
          <w:rFonts w:hint="eastAsia" w:ascii="宋体" w:hAnsi="宋体"/>
          <w:highlight w:val="none"/>
        </w:rPr>
      </w:pPr>
      <w:r>
        <w:rPr>
          <w:rStyle w:val="86"/>
          <w:rFonts w:hint="eastAsia" w:ascii="宋体" w:hAnsi="宋体"/>
          <w:highlight w:val="none"/>
        </w:rPr>
        <w:t>（4） 将发包人提供的所有信息及承包人为本工程编制的设计文件、技术资料及其它文件移交给发包人。在承包人留有的资料文件中，销毁与发包人提供的所有信息相关的数据及资料的备份；</w:t>
      </w:r>
    </w:p>
    <w:p w14:paraId="1C89570B">
      <w:pPr>
        <w:pStyle w:val="84"/>
        <w:spacing w:line="360" w:lineRule="auto"/>
        <w:ind w:firstLine="600"/>
        <w:rPr>
          <w:rStyle w:val="86"/>
          <w:rFonts w:hint="eastAsia" w:ascii="宋体" w:hAnsi="宋体"/>
          <w:highlight w:val="none"/>
        </w:rPr>
      </w:pPr>
      <w:r>
        <w:rPr>
          <w:rStyle w:val="86"/>
          <w:rFonts w:hint="eastAsia" w:ascii="宋体" w:hAnsi="宋体"/>
          <w:highlight w:val="none"/>
        </w:rPr>
        <w:t>（5） 移交相应实施阶段已经付款的并已完成的和尚待完成的设计文件、图纸、资料、操作维修手册、施工组织设计、质检资料、竣工资料等；</w:t>
      </w:r>
    </w:p>
    <w:p w14:paraId="0A952FE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16.1.3 因承包人违约解除合同后的估价、付款和结算</w:t>
      </w:r>
    </w:p>
    <w:p w14:paraId="1900706E">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因承包人原因导致合同解除的，则合同当事人应在合同解除后28天内完成估价、付款和清算，并按以下约定执行：</w:t>
      </w:r>
    </w:p>
    <w:p w14:paraId="1282141C">
      <w:pPr>
        <w:pStyle w:val="84"/>
        <w:spacing w:line="360" w:lineRule="auto"/>
        <w:ind w:firstLine="600"/>
        <w:rPr>
          <w:rStyle w:val="86"/>
          <w:rFonts w:hint="eastAsia" w:ascii="宋体" w:hAnsi="宋体"/>
          <w:highlight w:val="none"/>
        </w:rPr>
      </w:pPr>
      <w:r>
        <w:rPr>
          <w:rStyle w:val="86"/>
          <w:rFonts w:hint="eastAsia" w:ascii="宋体" w:hAnsi="宋体"/>
          <w:highlight w:val="none"/>
        </w:rPr>
        <w:t>（1） 合同解除后，按第3.6款[商定或确定]商定或确定承包人实际完成工作对应的合同价款，以及承包人已提供的材料、工程设备、施工设备和临时工程等的价值；</w:t>
      </w:r>
    </w:p>
    <w:p w14:paraId="226574A0">
      <w:pPr>
        <w:pStyle w:val="84"/>
        <w:spacing w:line="360" w:lineRule="auto"/>
        <w:ind w:firstLine="600"/>
        <w:rPr>
          <w:rStyle w:val="86"/>
          <w:rFonts w:hint="eastAsia" w:ascii="宋体" w:hAnsi="宋体"/>
          <w:highlight w:val="none"/>
        </w:rPr>
      </w:pPr>
      <w:r>
        <w:rPr>
          <w:rStyle w:val="86"/>
          <w:rFonts w:hint="eastAsia" w:ascii="宋体" w:hAnsi="宋体"/>
          <w:highlight w:val="none"/>
        </w:rPr>
        <w:t>（2） 合同解除后，承包人应支付的违约金；</w:t>
      </w:r>
    </w:p>
    <w:p w14:paraId="0FB1DFEC">
      <w:pPr>
        <w:pStyle w:val="84"/>
        <w:spacing w:line="360" w:lineRule="auto"/>
        <w:ind w:firstLine="600"/>
        <w:rPr>
          <w:rStyle w:val="86"/>
          <w:rFonts w:hint="eastAsia" w:ascii="宋体" w:hAnsi="宋体"/>
          <w:highlight w:val="none"/>
        </w:rPr>
      </w:pPr>
      <w:r>
        <w:rPr>
          <w:rStyle w:val="86"/>
          <w:rFonts w:hint="eastAsia" w:ascii="宋体" w:hAnsi="宋体"/>
          <w:highlight w:val="none"/>
        </w:rPr>
        <w:t>（3） 合同解除后，因解除合同给发包人造成的损失；</w:t>
      </w:r>
    </w:p>
    <w:p w14:paraId="68ECDAF4">
      <w:pPr>
        <w:pStyle w:val="84"/>
        <w:spacing w:line="360" w:lineRule="auto"/>
        <w:ind w:firstLine="600"/>
        <w:rPr>
          <w:rStyle w:val="86"/>
          <w:rFonts w:hint="eastAsia" w:ascii="宋体" w:hAnsi="宋体"/>
          <w:highlight w:val="none"/>
        </w:rPr>
      </w:pPr>
      <w:r>
        <w:rPr>
          <w:rStyle w:val="86"/>
          <w:rFonts w:hint="eastAsia" w:ascii="宋体" w:hAnsi="宋体"/>
          <w:highlight w:val="none"/>
        </w:rPr>
        <w:t>（4） 合同解除后，承包人应按照发包人的指示完成现场的清理和撤离；</w:t>
      </w:r>
    </w:p>
    <w:p w14:paraId="5F9ABF28">
      <w:pPr>
        <w:pStyle w:val="84"/>
        <w:spacing w:line="360" w:lineRule="auto"/>
        <w:ind w:firstLine="600"/>
        <w:rPr>
          <w:rStyle w:val="86"/>
          <w:rFonts w:hint="eastAsia" w:ascii="宋体" w:hAnsi="宋体"/>
          <w:highlight w:val="none"/>
        </w:rPr>
      </w:pPr>
      <w:r>
        <w:rPr>
          <w:rStyle w:val="86"/>
          <w:rFonts w:hint="eastAsia" w:ascii="宋体" w:hAnsi="宋体"/>
          <w:highlight w:val="none"/>
        </w:rPr>
        <w:t>（5） 发包人和承包人应在合同解除后进行清算，出具最终结清付款证书，结清全部款项。</w:t>
      </w:r>
    </w:p>
    <w:p w14:paraId="6D485C01">
      <w:pPr>
        <w:pStyle w:val="84"/>
        <w:spacing w:line="360" w:lineRule="auto"/>
        <w:ind w:firstLine="600"/>
        <w:rPr>
          <w:rStyle w:val="86"/>
          <w:rFonts w:hint="eastAsia" w:ascii="宋体" w:hAnsi="宋体"/>
          <w:highlight w:val="none"/>
        </w:rPr>
      </w:pPr>
      <w:r>
        <w:rPr>
          <w:rStyle w:val="86"/>
          <w:rFonts w:hint="eastAsia" w:ascii="宋体" w:hAnsi="宋体"/>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560EE4EA">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16.1.4 因承包人违约解除合同的合同权益转让</w:t>
      </w:r>
    </w:p>
    <w:p w14:paraId="12B958B1">
      <w:pPr>
        <w:pStyle w:val="84"/>
        <w:spacing w:line="360" w:lineRule="auto"/>
        <w:ind w:firstLine="600"/>
        <w:rPr>
          <w:rStyle w:val="86"/>
          <w:rFonts w:hint="eastAsia" w:ascii="宋体" w:hAnsi="宋体"/>
          <w:highlight w:val="none"/>
        </w:rPr>
      </w:pPr>
      <w:r>
        <w:rPr>
          <w:rStyle w:val="86"/>
          <w:rFonts w:hint="eastAsia" w:ascii="宋体" w:hAnsi="宋体"/>
          <w:highlight w: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65F6BCE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16.2 由承包人解除合同</w:t>
      </w:r>
    </w:p>
    <w:p w14:paraId="30923654">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16.2.1 因发包人违约解除合同</w:t>
      </w:r>
    </w:p>
    <w:p w14:paraId="34154F07">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3408850B">
      <w:pPr>
        <w:pStyle w:val="84"/>
        <w:spacing w:line="360" w:lineRule="auto"/>
        <w:ind w:firstLine="600"/>
        <w:rPr>
          <w:rStyle w:val="86"/>
          <w:rFonts w:hint="eastAsia" w:ascii="宋体" w:hAnsi="宋体"/>
          <w:highlight w:val="none"/>
        </w:rPr>
      </w:pPr>
      <w:r>
        <w:rPr>
          <w:rStyle w:val="86"/>
          <w:rFonts w:hint="eastAsia" w:ascii="宋体" w:hAnsi="宋体"/>
          <w:highlight w:val="none"/>
        </w:rPr>
        <w:t>（1） 承包人就发包人未能遵守第2.5.2项关于发包人的资金安排发出通知后42天内，仍未收到合理的证明；</w:t>
      </w:r>
    </w:p>
    <w:p w14:paraId="41633FB1">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（2） 在第14条规定的付款时间到期后42天内，承包人仍未收到应付款项； </w:t>
      </w:r>
    </w:p>
    <w:p w14:paraId="2DA8C826">
      <w:pPr>
        <w:pStyle w:val="84"/>
        <w:spacing w:line="360" w:lineRule="auto"/>
        <w:ind w:firstLine="600"/>
        <w:rPr>
          <w:rStyle w:val="86"/>
          <w:rFonts w:hint="eastAsia" w:ascii="宋体" w:hAnsi="宋体"/>
          <w:highlight w:val="none"/>
        </w:rPr>
      </w:pPr>
      <w:r>
        <w:rPr>
          <w:rStyle w:val="86"/>
          <w:rFonts w:hint="eastAsia" w:ascii="宋体" w:hAnsi="宋体"/>
          <w:highlight w:val="none"/>
        </w:rPr>
        <w:t>（3） 发包人实质上未能根据合同约定履行其义务，构成根本性违约；</w:t>
      </w:r>
    </w:p>
    <w:p w14:paraId="7E4A3FB0">
      <w:pPr>
        <w:pStyle w:val="84"/>
        <w:spacing w:line="360" w:lineRule="auto"/>
        <w:ind w:firstLine="600"/>
        <w:rPr>
          <w:rStyle w:val="86"/>
          <w:rFonts w:hint="eastAsia" w:ascii="宋体" w:hAnsi="宋体"/>
          <w:highlight w:val="none"/>
        </w:rPr>
      </w:pPr>
      <w:r>
        <w:rPr>
          <w:rStyle w:val="86"/>
          <w:rFonts w:hint="eastAsia" w:ascii="宋体" w:hAnsi="宋体"/>
          <w:highlight w:val="none"/>
        </w:rPr>
        <w:t>（4） 发承包双方订立本合同协议书后的84天内，承包人未收到根据第8.1款[开始工作]的开始工作通知；</w:t>
      </w:r>
    </w:p>
    <w:p w14:paraId="671F7848">
      <w:pPr>
        <w:pStyle w:val="84"/>
        <w:spacing w:line="360" w:lineRule="auto"/>
        <w:ind w:firstLine="600"/>
        <w:rPr>
          <w:rStyle w:val="86"/>
          <w:rFonts w:hint="eastAsia" w:ascii="宋体" w:hAnsi="宋体"/>
          <w:highlight w:val="none"/>
        </w:rPr>
      </w:pPr>
      <w:r>
        <w:rPr>
          <w:rStyle w:val="86"/>
          <w:rFonts w:hint="eastAsia" w:ascii="宋体" w:hAnsi="宋体"/>
          <w:highlight w:val="none"/>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4C4F1857">
      <w:pPr>
        <w:pStyle w:val="84"/>
        <w:spacing w:line="360" w:lineRule="auto"/>
        <w:ind w:firstLine="600"/>
        <w:rPr>
          <w:rStyle w:val="86"/>
          <w:rFonts w:hint="eastAsia" w:ascii="宋体" w:hAnsi="宋体"/>
          <w:highlight w:val="none"/>
        </w:rPr>
      </w:pPr>
      <w:r>
        <w:rPr>
          <w:rStyle w:val="86"/>
          <w:rFonts w:hint="eastAsia" w:ascii="宋体" w:hAnsi="宋体"/>
          <w:highlight w:val="none"/>
        </w:rPr>
        <w:t>（6） 发包人未能遵守第2.5.3项的约定提交支付担保；</w:t>
      </w:r>
    </w:p>
    <w:p w14:paraId="50F4D381">
      <w:pPr>
        <w:pStyle w:val="84"/>
        <w:spacing w:line="360" w:lineRule="auto"/>
        <w:ind w:firstLine="600"/>
        <w:rPr>
          <w:rStyle w:val="86"/>
          <w:rFonts w:hint="eastAsia" w:ascii="宋体" w:hAnsi="宋体"/>
          <w:highlight w:val="none"/>
        </w:rPr>
      </w:pPr>
      <w:r>
        <w:rPr>
          <w:rStyle w:val="86"/>
          <w:rFonts w:hint="eastAsia" w:ascii="宋体" w:hAnsi="宋体"/>
          <w:highlight w:val="none"/>
        </w:rPr>
        <w:t>（7） 发包人未能执行第15.1.2项[通知改正]的约定，致使合同目的不能实现的；</w:t>
      </w:r>
    </w:p>
    <w:p w14:paraId="7B4ECC53">
      <w:pPr>
        <w:pStyle w:val="84"/>
        <w:spacing w:line="360" w:lineRule="auto"/>
        <w:ind w:firstLine="600"/>
        <w:rPr>
          <w:rStyle w:val="86"/>
          <w:rFonts w:hint="eastAsia" w:ascii="宋体" w:hAnsi="宋体"/>
          <w:highlight w:val="none"/>
        </w:rPr>
      </w:pPr>
      <w:r>
        <w:rPr>
          <w:rStyle w:val="86"/>
          <w:rFonts w:hint="eastAsia" w:ascii="宋体" w:hAnsi="宋体"/>
          <w:highlight w:val="none"/>
        </w:rPr>
        <w:t>（8） 因发包人的原因暂停工作超过56天且暂停影响到整个工程，或因发包人的原因暂停工作超过182天的；</w:t>
      </w:r>
    </w:p>
    <w:p w14:paraId="25B0BA66">
      <w:pPr>
        <w:pStyle w:val="84"/>
        <w:spacing w:line="360" w:lineRule="auto"/>
        <w:ind w:firstLine="600"/>
        <w:rPr>
          <w:rStyle w:val="86"/>
          <w:rFonts w:hint="eastAsia" w:ascii="宋体" w:hAnsi="宋体"/>
          <w:highlight w:val="none"/>
        </w:rPr>
      </w:pPr>
      <w:r>
        <w:rPr>
          <w:rStyle w:val="86"/>
          <w:rFonts w:hint="eastAsia" w:ascii="宋体" w:hAnsi="宋体"/>
          <w:highlight w:val="none"/>
        </w:rPr>
        <w:t>（9） 因发包人原因造成开始工作日期迟于承包人收到中标通知书（或在无中标通知书的情况下，订立本合同之日）后第84天的。</w:t>
      </w:r>
    </w:p>
    <w:p w14:paraId="14D8E4A8">
      <w:pPr>
        <w:pStyle w:val="84"/>
        <w:spacing w:line="360" w:lineRule="auto"/>
        <w:ind w:firstLine="600"/>
        <w:rPr>
          <w:rStyle w:val="86"/>
          <w:rFonts w:hint="eastAsia" w:ascii="宋体" w:hAnsi="宋体"/>
          <w:highlight w:val="none"/>
        </w:rPr>
      </w:pPr>
      <w:r>
        <w:rPr>
          <w:rStyle w:val="86"/>
          <w:rFonts w:hint="eastAsia" w:ascii="宋体" w:hAnsi="宋体"/>
          <w:highlight w:val="none"/>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30391F3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16.2.2 因发包人违约解除合同后承包人的义务</w:t>
      </w:r>
    </w:p>
    <w:p w14:paraId="36C38282">
      <w:pPr>
        <w:pStyle w:val="84"/>
        <w:spacing w:line="360" w:lineRule="auto"/>
        <w:ind w:left="400" w:firstLine="425"/>
        <w:rPr>
          <w:rStyle w:val="86"/>
          <w:rFonts w:hint="eastAsia" w:ascii="宋体" w:hAnsi="宋体"/>
          <w:highlight w:val="none"/>
        </w:rPr>
      </w:pPr>
      <w:r>
        <w:rPr>
          <w:rStyle w:val="86"/>
          <w:rFonts w:hint="eastAsia" w:ascii="宋体" w:hAnsi="宋体"/>
          <w:highlight w:val="none"/>
        </w:rPr>
        <w:t>合同解除后，承包人应按以下约定执行：</w:t>
      </w:r>
    </w:p>
    <w:p w14:paraId="0DCF5C3A">
      <w:pPr>
        <w:pStyle w:val="84"/>
        <w:spacing w:line="360" w:lineRule="auto"/>
        <w:ind w:firstLine="600"/>
        <w:rPr>
          <w:rStyle w:val="86"/>
          <w:rFonts w:hint="eastAsia" w:ascii="宋体" w:hAnsi="宋体"/>
          <w:highlight w:val="none"/>
        </w:rPr>
      </w:pPr>
      <w:r>
        <w:rPr>
          <w:rStyle w:val="86"/>
          <w:rFonts w:hint="eastAsia" w:ascii="宋体" w:hAnsi="宋体"/>
          <w:highlight w:val="none"/>
        </w:rPr>
        <w:t>（1） 除为保护生命、财产、工程安全的工作外，停止所有进一步的工作；承包人因执行该保护工作而产生费用的，由发包人承担；</w:t>
      </w:r>
    </w:p>
    <w:p w14:paraId="00AFC94D">
      <w:pPr>
        <w:pStyle w:val="84"/>
        <w:spacing w:line="360" w:lineRule="auto"/>
        <w:ind w:firstLine="600"/>
        <w:rPr>
          <w:rStyle w:val="86"/>
          <w:rFonts w:hint="eastAsia" w:ascii="宋体" w:hAnsi="宋体"/>
          <w:highlight w:val="none"/>
        </w:rPr>
      </w:pPr>
      <w:r>
        <w:rPr>
          <w:rStyle w:val="86"/>
          <w:rFonts w:hint="eastAsia" w:ascii="宋体" w:hAnsi="宋体"/>
          <w:highlight w:val="none"/>
        </w:rPr>
        <w:t>（2） 向发包人移交承包人已获得支付的承包人文件、生产设备、材料和其他工作；</w:t>
      </w:r>
    </w:p>
    <w:p w14:paraId="2B47EAD0">
      <w:pPr>
        <w:pStyle w:val="84"/>
        <w:spacing w:line="360" w:lineRule="auto"/>
        <w:ind w:firstLine="600"/>
        <w:rPr>
          <w:rStyle w:val="86"/>
          <w:rFonts w:hint="eastAsia" w:ascii="宋体" w:hAnsi="宋体"/>
          <w:highlight w:val="none"/>
        </w:rPr>
      </w:pPr>
      <w:r>
        <w:rPr>
          <w:rStyle w:val="86"/>
          <w:rFonts w:hint="eastAsia" w:ascii="宋体" w:hAnsi="宋体"/>
          <w:highlight w:val="none"/>
        </w:rPr>
        <w:t>（3） 从现场运走除为了安全需要以外的所有属于承包人的其他货物，并撤离现场。</w:t>
      </w:r>
    </w:p>
    <w:p w14:paraId="372D88B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16.2.3 因发包人违约解除合同后的付款</w:t>
      </w:r>
    </w:p>
    <w:p w14:paraId="0084E77D">
      <w:pPr>
        <w:pStyle w:val="84"/>
        <w:spacing w:line="360" w:lineRule="auto"/>
        <w:ind w:firstLine="600"/>
        <w:rPr>
          <w:rStyle w:val="86"/>
          <w:rFonts w:hint="eastAsia" w:ascii="宋体" w:hAnsi="宋体"/>
          <w:highlight w:val="none"/>
        </w:rPr>
      </w:pPr>
      <w:r>
        <w:rPr>
          <w:rStyle w:val="86"/>
          <w:rFonts w:hint="eastAsia" w:ascii="宋体" w:hAnsi="宋体"/>
          <w:highlight w:val="none"/>
        </w:rPr>
        <w:t>承包人按照本款约定解除合同的，发包人应在解除合同后28天内支付下列款项，并退还履约担保：</w:t>
      </w:r>
    </w:p>
    <w:p w14:paraId="52FFD8AE">
      <w:pPr>
        <w:pStyle w:val="84"/>
        <w:spacing w:line="360" w:lineRule="auto"/>
        <w:ind w:firstLine="600"/>
        <w:rPr>
          <w:rStyle w:val="86"/>
          <w:rFonts w:hint="eastAsia" w:ascii="宋体" w:hAnsi="宋体"/>
          <w:highlight w:val="none"/>
        </w:rPr>
      </w:pPr>
      <w:r>
        <w:rPr>
          <w:rStyle w:val="86"/>
          <w:rFonts w:hint="eastAsia" w:ascii="宋体" w:hAnsi="宋体"/>
          <w:highlight w:val="none"/>
        </w:rPr>
        <w:t>（1） 合同解除前所完成工作的价款；</w:t>
      </w:r>
    </w:p>
    <w:p w14:paraId="6D36BE76">
      <w:pPr>
        <w:pStyle w:val="84"/>
        <w:spacing w:line="360" w:lineRule="auto"/>
        <w:ind w:firstLine="600"/>
        <w:rPr>
          <w:rStyle w:val="86"/>
          <w:rFonts w:hint="eastAsia" w:ascii="宋体" w:hAnsi="宋体"/>
          <w:highlight w:val="none"/>
        </w:rPr>
      </w:pPr>
      <w:r>
        <w:rPr>
          <w:rStyle w:val="86"/>
          <w:rFonts w:hint="eastAsia" w:ascii="宋体" w:hAnsi="宋体"/>
          <w:highlight w:val="none"/>
        </w:rPr>
        <w:t>（2） 承包人为工程施工订购并已付款的材料、工程设备和其他物品的价款；发包人付款后，该材料、工程设备和其他物品归发包人所有；</w:t>
      </w:r>
    </w:p>
    <w:p w14:paraId="24BDE5E0">
      <w:pPr>
        <w:pStyle w:val="84"/>
        <w:spacing w:line="360" w:lineRule="auto"/>
        <w:ind w:firstLine="600"/>
        <w:rPr>
          <w:rStyle w:val="86"/>
          <w:rFonts w:hint="eastAsia" w:ascii="宋体" w:hAnsi="宋体"/>
          <w:highlight w:val="none"/>
        </w:rPr>
      </w:pPr>
      <w:r>
        <w:rPr>
          <w:rStyle w:val="86"/>
          <w:rFonts w:hint="eastAsia" w:ascii="宋体" w:hAnsi="宋体"/>
          <w:highlight w:val="none"/>
        </w:rPr>
        <w:t>（3） 承包人为完成工程所发生的，而发包人未支付的金额；</w:t>
      </w:r>
    </w:p>
    <w:p w14:paraId="5066D69C">
      <w:pPr>
        <w:pStyle w:val="84"/>
        <w:spacing w:line="360" w:lineRule="auto"/>
        <w:ind w:firstLine="600"/>
        <w:rPr>
          <w:rStyle w:val="86"/>
          <w:rFonts w:hint="eastAsia" w:ascii="宋体" w:hAnsi="宋体"/>
          <w:highlight w:val="none"/>
        </w:rPr>
      </w:pPr>
      <w:r>
        <w:rPr>
          <w:rStyle w:val="86"/>
          <w:rFonts w:hint="eastAsia" w:ascii="宋体" w:hAnsi="宋体"/>
          <w:highlight w:val="none"/>
        </w:rPr>
        <w:t>（4） 承包人撤离施工现场以及遣散承包人人员的款项；</w:t>
      </w:r>
    </w:p>
    <w:p w14:paraId="77818C38">
      <w:pPr>
        <w:pStyle w:val="84"/>
        <w:spacing w:line="360" w:lineRule="auto"/>
        <w:ind w:firstLine="600"/>
        <w:rPr>
          <w:rStyle w:val="86"/>
          <w:rFonts w:hint="eastAsia" w:ascii="宋体" w:hAnsi="宋体"/>
          <w:highlight w:val="none"/>
        </w:rPr>
      </w:pPr>
      <w:r>
        <w:rPr>
          <w:rStyle w:val="86"/>
          <w:rFonts w:hint="eastAsia" w:ascii="宋体" w:hAnsi="宋体"/>
          <w:highlight w:val="none"/>
        </w:rPr>
        <w:t>（5） 按照合同约定在合同解除前应支付的违约金；</w:t>
      </w:r>
    </w:p>
    <w:p w14:paraId="51352573">
      <w:pPr>
        <w:pStyle w:val="84"/>
        <w:spacing w:line="360" w:lineRule="auto"/>
        <w:ind w:firstLine="600"/>
        <w:rPr>
          <w:rStyle w:val="86"/>
          <w:rFonts w:hint="eastAsia" w:ascii="宋体" w:hAnsi="宋体"/>
          <w:highlight w:val="none"/>
        </w:rPr>
      </w:pPr>
      <w:r>
        <w:rPr>
          <w:rStyle w:val="86"/>
          <w:rFonts w:hint="eastAsia" w:ascii="宋体" w:hAnsi="宋体"/>
          <w:highlight w:val="none"/>
        </w:rPr>
        <w:t>（6） 按照合同约定应当支付给承包人的其他款项；</w:t>
      </w:r>
    </w:p>
    <w:p w14:paraId="4160AD0D">
      <w:pPr>
        <w:pStyle w:val="84"/>
        <w:spacing w:line="360" w:lineRule="auto"/>
        <w:ind w:firstLine="600"/>
        <w:rPr>
          <w:rStyle w:val="86"/>
          <w:rFonts w:hint="eastAsia" w:ascii="宋体" w:hAnsi="宋体"/>
          <w:highlight w:val="none"/>
        </w:rPr>
      </w:pPr>
      <w:r>
        <w:rPr>
          <w:rStyle w:val="86"/>
          <w:rFonts w:hint="eastAsia" w:ascii="宋体" w:hAnsi="宋体"/>
          <w:highlight w:val="none"/>
        </w:rPr>
        <w:t>（7） 按照合同约定应返还的质量保证金；</w:t>
      </w:r>
    </w:p>
    <w:p w14:paraId="10A1B7BB">
      <w:pPr>
        <w:pStyle w:val="84"/>
        <w:spacing w:line="360" w:lineRule="auto"/>
        <w:ind w:firstLine="600"/>
        <w:rPr>
          <w:rStyle w:val="86"/>
          <w:rFonts w:hint="eastAsia" w:ascii="宋体" w:hAnsi="宋体"/>
          <w:highlight w:val="none"/>
        </w:rPr>
      </w:pPr>
      <w:r>
        <w:rPr>
          <w:rStyle w:val="86"/>
          <w:rFonts w:hint="eastAsia" w:ascii="宋体" w:hAnsi="宋体"/>
          <w:highlight w:val="none"/>
        </w:rPr>
        <w:t>（8） 因解除合同给承包人造成的损失。</w:t>
      </w:r>
    </w:p>
    <w:p w14:paraId="642CCA78">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承包人应妥善做好已完工程和与工程有关的已购材料、工程设备的保护和移交工作，并将施工设备和人员撤出施工现场，发包人应为承包人撤出提供必要条件。</w:t>
      </w:r>
    </w:p>
    <w:p w14:paraId="24E8D3C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16.3 合同解除后的事项</w:t>
      </w:r>
    </w:p>
    <w:p w14:paraId="59E8DC5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16.3.1 结算约定依然有效</w:t>
      </w:r>
    </w:p>
    <w:p w14:paraId="3A05F45E">
      <w:pPr>
        <w:pStyle w:val="84"/>
        <w:spacing w:line="360" w:lineRule="auto"/>
        <w:ind w:firstLine="600"/>
        <w:rPr>
          <w:rStyle w:val="86"/>
          <w:rFonts w:hint="eastAsia" w:ascii="宋体" w:hAnsi="宋体"/>
          <w:highlight w:val="none"/>
        </w:rPr>
      </w:pPr>
      <w:r>
        <w:rPr>
          <w:rStyle w:val="86"/>
          <w:rFonts w:hint="eastAsia" w:ascii="宋体" w:hAnsi="宋体"/>
          <w:highlight w:val="none"/>
        </w:rPr>
        <w:t>合同解除后，由发包人或由承包人解除合同的结算及结算后的付款约定仍然有效，直至解除合同的结算工作结清。</w:t>
      </w:r>
    </w:p>
    <w:p w14:paraId="7A3385D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16.3.2 解除合同的争议</w:t>
      </w:r>
    </w:p>
    <w:p w14:paraId="6F3C57C4">
      <w:pPr>
        <w:pStyle w:val="84"/>
        <w:spacing w:line="360" w:lineRule="auto"/>
        <w:ind w:firstLine="600"/>
        <w:rPr>
          <w:rStyle w:val="86"/>
          <w:rFonts w:hint="eastAsia" w:ascii="宋体" w:hAnsi="宋体"/>
          <w:highlight w:val="none"/>
        </w:rPr>
      </w:pPr>
      <w:r>
        <w:rPr>
          <w:rStyle w:val="86"/>
          <w:rFonts w:hint="eastAsia" w:ascii="宋体" w:hAnsi="宋体"/>
          <w:highlight w:val="none"/>
        </w:rPr>
        <w:t>双方对解除合同或解除合同后的结算有争议的，按照第20条[争议解决]的约定处理。</w:t>
      </w:r>
    </w:p>
    <w:p w14:paraId="1B74CDDC">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第17条 不可抗力</w:t>
      </w:r>
    </w:p>
    <w:p w14:paraId="22C2A4A5">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17.1 不可抗力的定义</w:t>
      </w:r>
    </w:p>
    <w:p w14:paraId="4B9B404E">
      <w:pPr>
        <w:pStyle w:val="84"/>
        <w:spacing w:line="360" w:lineRule="auto"/>
        <w:ind w:firstLine="600"/>
        <w:rPr>
          <w:rStyle w:val="86"/>
          <w:rFonts w:hint="eastAsia" w:ascii="宋体" w:hAnsi="宋体"/>
          <w:highlight w:val="none"/>
        </w:rPr>
      </w:pPr>
      <w:r>
        <w:rPr>
          <w:rStyle w:val="86"/>
          <w:rFonts w:hint="eastAsia" w:ascii="宋体" w:hAnsi="宋体"/>
          <w:highlight w: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2B82EBA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17.2 不可抗力的通知 </w:t>
      </w:r>
    </w:p>
    <w:p w14:paraId="6C755294">
      <w:pPr>
        <w:pStyle w:val="84"/>
        <w:spacing w:line="360" w:lineRule="auto"/>
        <w:ind w:firstLine="600"/>
        <w:rPr>
          <w:rStyle w:val="86"/>
          <w:rFonts w:hint="eastAsia" w:ascii="宋体" w:hAnsi="宋体"/>
          <w:highlight w:val="none"/>
        </w:rPr>
      </w:pPr>
      <w:r>
        <w:rPr>
          <w:rStyle w:val="86"/>
          <w:rFonts w:hint="eastAsia" w:ascii="宋体" w:hAnsi="宋体"/>
          <w:highlight w:val="none"/>
        </w:rPr>
        <w:t>合同一方当事人觉察或发现不可抗力事件发生，使其履行合同义务受到阻碍时，有义务立即通知合同另一方当事人和工程师，书面说明不可抗力和受阻碍的详细情况，并提供必要的证明。</w:t>
      </w:r>
    </w:p>
    <w:p w14:paraId="3A355643">
      <w:pPr>
        <w:pStyle w:val="84"/>
        <w:spacing w:line="360" w:lineRule="auto"/>
        <w:ind w:firstLine="600"/>
        <w:rPr>
          <w:rStyle w:val="86"/>
          <w:rFonts w:hint="eastAsia" w:ascii="宋体" w:hAnsi="宋体"/>
          <w:highlight w:val="none"/>
        </w:rPr>
      </w:pPr>
      <w:r>
        <w:rPr>
          <w:rStyle w:val="86"/>
          <w:rFonts w:hint="eastAsia" w:ascii="宋体" w:hAnsi="宋体"/>
          <w:highlight w:val="none"/>
        </w:rPr>
        <w:t>不可抗力持续发生的，合同一方当事人应每隔28天向合同另一方当事人和工程师提交中间报告，说明不可抗力和履行合同受阻的情况，并于不可抗力事件结束后28天内提交最终报告及有关资料。</w:t>
      </w:r>
    </w:p>
    <w:p w14:paraId="0F27F9A7">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17.3 将损失减至最小的义务</w:t>
      </w:r>
    </w:p>
    <w:p w14:paraId="32F893FA">
      <w:pPr>
        <w:pStyle w:val="84"/>
        <w:spacing w:line="360" w:lineRule="auto"/>
        <w:ind w:firstLine="600"/>
        <w:rPr>
          <w:rStyle w:val="86"/>
          <w:rFonts w:hint="eastAsia" w:ascii="宋体" w:hAnsi="宋体"/>
          <w:highlight w:val="none"/>
        </w:rPr>
      </w:pPr>
      <w:r>
        <w:rPr>
          <w:rStyle w:val="86"/>
          <w:rFonts w:hint="eastAsia" w:ascii="宋体" w:hAnsi="宋体"/>
          <w:highlight w:val="none"/>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334EEBE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17.4 不可抗力后果的承担 </w:t>
      </w:r>
    </w:p>
    <w:p w14:paraId="10C17030">
      <w:pPr>
        <w:pStyle w:val="84"/>
        <w:spacing w:line="360" w:lineRule="auto"/>
        <w:ind w:firstLine="600"/>
        <w:rPr>
          <w:rStyle w:val="86"/>
          <w:rFonts w:hint="eastAsia" w:ascii="宋体" w:hAnsi="宋体"/>
          <w:highlight w:val="none"/>
        </w:rPr>
      </w:pPr>
      <w:r>
        <w:rPr>
          <w:rStyle w:val="86"/>
          <w:rFonts w:hint="eastAsia" w:ascii="宋体" w:hAnsi="宋体"/>
          <w:highlight w:val="none"/>
        </w:rPr>
        <w:t>不可抗力导致的人员伤亡、财产损失、费用增加和（或）工期延误等后果，由合同当事人按以下原则承担：</w:t>
      </w:r>
    </w:p>
    <w:p w14:paraId="7DC45D80">
      <w:pPr>
        <w:pStyle w:val="84"/>
        <w:spacing w:line="360" w:lineRule="auto"/>
        <w:ind w:firstLine="600"/>
        <w:rPr>
          <w:rStyle w:val="86"/>
          <w:rFonts w:hint="eastAsia" w:ascii="宋体" w:hAnsi="宋体"/>
          <w:highlight w:val="none"/>
        </w:rPr>
      </w:pPr>
      <w:r>
        <w:rPr>
          <w:rStyle w:val="86"/>
          <w:rFonts w:hint="eastAsia" w:ascii="宋体" w:hAnsi="宋体"/>
          <w:highlight w:val="none"/>
        </w:rPr>
        <w:t>（1） 永久工程，包括已运至施工现场的材料和工程设备的损害，以及因工程损害造成的第三人人员伤亡和财产损失由发包人承担；</w:t>
      </w:r>
    </w:p>
    <w:p w14:paraId="2F01F5B9">
      <w:pPr>
        <w:pStyle w:val="84"/>
        <w:spacing w:line="360" w:lineRule="auto"/>
        <w:ind w:firstLine="600"/>
        <w:rPr>
          <w:rStyle w:val="86"/>
          <w:rFonts w:hint="eastAsia" w:ascii="宋体" w:hAnsi="宋体"/>
          <w:highlight w:val="none"/>
        </w:rPr>
      </w:pPr>
      <w:r>
        <w:rPr>
          <w:rStyle w:val="86"/>
          <w:rFonts w:hint="eastAsia" w:ascii="宋体" w:hAnsi="宋体"/>
          <w:highlight w:val="none"/>
        </w:rPr>
        <w:t>（2） 承包人提供的施工设备的损坏由承包人承担；</w:t>
      </w:r>
    </w:p>
    <w:p w14:paraId="35EA7B43">
      <w:pPr>
        <w:pStyle w:val="84"/>
        <w:spacing w:line="360" w:lineRule="auto"/>
        <w:ind w:firstLine="600"/>
        <w:rPr>
          <w:rStyle w:val="86"/>
          <w:rFonts w:hint="eastAsia" w:ascii="宋体" w:hAnsi="宋体"/>
          <w:highlight w:val="none"/>
        </w:rPr>
      </w:pPr>
      <w:r>
        <w:rPr>
          <w:rStyle w:val="86"/>
          <w:rFonts w:hint="eastAsia" w:ascii="宋体" w:hAnsi="宋体"/>
          <w:highlight w:val="none"/>
        </w:rPr>
        <w:t>（3） 发包人和承包人各自承担其人员伤亡及其他财产损失；</w:t>
      </w:r>
    </w:p>
    <w:p w14:paraId="156029F1">
      <w:pPr>
        <w:pStyle w:val="84"/>
        <w:spacing w:line="360" w:lineRule="auto"/>
        <w:ind w:firstLine="600"/>
        <w:rPr>
          <w:rStyle w:val="86"/>
          <w:rFonts w:hint="eastAsia" w:ascii="宋体" w:hAnsi="宋体"/>
          <w:highlight w:val="none"/>
        </w:rPr>
      </w:pPr>
      <w:r>
        <w:rPr>
          <w:rStyle w:val="86"/>
          <w:rFonts w:hint="eastAsia" w:ascii="宋体" w:hAnsi="宋体"/>
          <w:highlight w:val="none"/>
        </w:rPr>
        <w:t>（4） 因不可抗力影响承包人履行合同约定的义务，已经引起或将引起工期延误的，应当顺延工期，由此导致承包人停工的费用损失由发包人和承包人合理分担，停工期间必须支付的现场必要的工人工资由发包人承担；</w:t>
      </w:r>
    </w:p>
    <w:p w14:paraId="7088CADB">
      <w:pPr>
        <w:pStyle w:val="84"/>
        <w:spacing w:line="360" w:lineRule="auto"/>
        <w:ind w:firstLine="600"/>
        <w:rPr>
          <w:rStyle w:val="86"/>
          <w:rFonts w:hint="eastAsia" w:ascii="宋体" w:hAnsi="宋体"/>
          <w:highlight w:val="none"/>
        </w:rPr>
      </w:pPr>
      <w:r>
        <w:rPr>
          <w:rStyle w:val="86"/>
          <w:rFonts w:hint="eastAsia" w:ascii="宋体" w:hAnsi="宋体"/>
          <w:highlight w:val="none"/>
        </w:rPr>
        <w:t>（5） 因不可抗力引起或将引起工期延误，发包人指示赶工的，由此增加的赶工费用由发包人承担；</w:t>
      </w:r>
    </w:p>
    <w:p w14:paraId="1CED0AB6">
      <w:pPr>
        <w:pStyle w:val="84"/>
        <w:spacing w:line="360" w:lineRule="auto"/>
        <w:ind w:firstLine="600"/>
        <w:rPr>
          <w:rStyle w:val="86"/>
          <w:rFonts w:hint="eastAsia" w:ascii="宋体" w:hAnsi="宋体"/>
          <w:highlight w:val="none"/>
        </w:rPr>
      </w:pPr>
      <w:r>
        <w:rPr>
          <w:rStyle w:val="86"/>
          <w:rFonts w:hint="eastAsia" w:ascii="宋体" w:hAnsi="宋体"/>
          <w:highlight w:val="none"/>
        </w:rPr>
        <w:t>（6） 承包人在停工期间按照工程师或发包人要求照管、清理和修复工程的费用由发包人承担。</w:t>
      </w:r>
    </w:p>
    <w:p w14:paraId="046F2D07">
      <w:pPr>
        <w:pStyle w:val="84"/>
        <w:spacing w:line="360" w:lineRule="auto"/>
        <w:ind w:firstLine="600"/>
        <w:rPr>
          <w:rStyle w:val="86"/>
          <w:rFonts w:hint="eastAsia" w:ascii="宋体" w:hAnsi="宋体"/>
          <w:highlight w:val="none"/>
        </w:rPr>
      </w:pPr>
      <w:r>
        <w:rPr>
          <w:rStyle w:val="86"/>
          <w:rFonts w:hint="eastAsia" w:ascii="宋体" w:hAnsi="宋体"/>
          <w:highlight w:val="none"/>
        </w:rPr>
        <w:t>不可抗力引起的后果及造成的损失由合同当事人按照法律规定及合同约定各自承担。不可抗力发生前已完成的工程应当按照合同约定进行支付。</w:t>
      </w:r>
    </w:p>
    <w:p w14:paraId="0CEFFF7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17.5 不可抗力影响分包人 </w:t>
      </w:r>
    </w:p>
    <w:p w14:paraId="436D314F">
      <w:pPr>
        <w:pStyle w:val="84"/>
        <w:spacing w:line="360" w:lineRule="auto"/>
        <w:ind w:firstLine="600"/>
        <w:rPr>
          <w:rStyle w:val="86"/>
          <w:rFonts w:hint="eastAsia" w:ascii="宋体" w:hAnsi="宋体"/>
          <w:highlight w:val="none"/>
        </w:rPr>
      </w:pPr>
      <w:r>
        <w:rPr>
          <w:rStyle w:val="86"/>
          <w:rFonts w:hint="eastAsia" w:ascii="宋体" w:hAnsi="宋体"/>
          <w:highlight w:val="none"/>
        </w:rPr>
        <w:t>分包人根据分包合同的约定，有权获得更多或者更广的不可抗力而免除某些义务时，承包人不得以分包合同中不可抗力约定向发包人抗辩免除其义务。</w:t>
      </w:r>
    </w:p>
    <w:p w14:paraId="558C08C6">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17.6 因不可抗力解除合同 </w:t>
      </w:r>
    </w:p>
    <w:p w14:paraId="63D88826">
      <w:pPr>
        <w:pStyle w:val="84"/>
        <w:spacing w:line="360" w:lineRule="auto"/>
        <w:ind w:firstLine="600"/>
        <w:rPr>
          <w:rStyle w:val="86"/>
          <w:rFonts w:hint="eastAsia" w:ascii="宋体" w:hAnsi="宋体"/>
          <w:highlight w:val="none"/>
        </w:rPr>
      </w:pPr>
      <w:r>
        <w:rPr>
          <w:rStyle w:val="86"/>
          <w:rFonts w:hint="eastAsia" w:ascii="宋体" w:hAnsi="宋体"/>
          <w:highlight w:val="none"/>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1BF54B64">
      <w:pPr>
        <w:pStyle w:val="84"/>
        <w:spacing w:line="360" w:lineRule="auto"/>
        <w:ind w:firstLine="600"/>
        <w:rPr>
          <w:rStyle w:val="86"/>
          <w:rFonts w:hint="eastAsia" w:ascii="宋体" w:hAnsi="宋体"/>
          <w:highlight w:val="none"/>
        </w:rPr>
      </w:pPr>
      <w:r>
        <w:rPr>
          <w:rStyle w:val="86"/>
          <w:rFonts w:hint="eastAsia" w:ascii="宋体" w:hAnsi="宋体"/>
          <w:highlight w:val="none"/>
        </w:rPr>
        <w:t>（1） 合同解除前承包人已完成工作的价款；</w:t>
      </w:r>
    </w:p>
    <w:p w14:paraId="7B399F8E">
      <w:pPr>
        <w:pStyle w:val="84"/>
        <w:spacing w:line="360" w:lineRule="auto"/>
        <w:ind w:firstLine="600"/>
        <w:rPr>
          <w:rStyle w:val="86"/>
          <w:rFonts w:hint="eastAsia" w:ascii="宋体" w:hAnsi="宋体"/>
          <w:highlight w:val="none"/>
        </w:rPr>
      </w:pPr>
      <w:r>
        <w:rPr>
          <w:rStyle w:val="86"/>
          <w:rFonts w:hint="eastAsia" w:ascii="宋体" w:hAnsi="宋体"/>
          <w:highlight w:val="none"/>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5F748682">
      <w:pPr>
        <w:pStyle w:val="84"/>
        <w:spacing w:line="360" w:lineRule="auto"/>
        <w:ind w:firstLine="600"/>
        <w:rPr>
          <w:rStyle w:val="86"/>
          <w:rFonts w:hint="eastAsia" w:ascii="宋体" w:hAnsi="宋体"/>
          <w:highlight w:val="none"/>
        </w:rPr>
      </w:pPr>
      <w:r>
        <w:rPr>
          <w:rStyle w:val="86"/>
          <w:rFonts w:hint="eastAsia" w:ascii="宋体" w:hAnsi="宋体"/>
          <w:highlight w:val="none"/>
        </w:rPr>
        <w:t>（3） 发包人指示承包人退货或解除订货合同而产生的费用，或因不能退货或解除合同而产生的损失；</w:t>
      </w:r>
    </w:p>
    <w:p w14:paraId="52141FF5">
      <w:pPr>
        <w:pStyle w:val="84"/>
        <w:spacing w:line="360" w:lineRule="auto"/>
        <w:ind w:firstLine="600"/>
        <w:rPr>
          <w:rStyle w:val="86"/>
          <w:rFonts w:hint="eastAsia" w:ascii="宋体" w:hAnsi="宋体"/>
          <w:highlight w:val="none"/>
        </w:rPr>
      </w:pPr>
      <w:r>
        <w:rPr>
          <w:rStyle w:val="86"/>
          <w:rFonts w:hint="eastAsia" w:ascii="宋体" w:hAnsi="宋体"/>
          <w:highlight w:val="none"/>
        </w:rPr>
        <w:t>（4） 承包人撤离施工现场以及遣散承包人人员的费用；</w:t>
      </w:r>
    </w:p>
    <w:p w14:paraId="7E73328D">
      <w:pPr>
        <w:pStyle w:val="84"/>
        <w:spacing w:line="360" w:lineRule="auto"/>
        <w:ind w:firstLine="600"/>
        <w:rPr>
          <w:rStyle w:val="86"/>
          <w:rFonts w:hint="eastAsia" w:ascii="宋体" w:hAnsi="宋体"/>
          <w:highlight w:val="none"/>
        </w:rPr>
      </w:pPr>
      <w:r>
        <w:rPr>
          <w:rStyle w:val="86"/>
          <w:rFonts w:hint="eastAsia" w:ascii="宋体" w:hAnsi="宋体"/>
          <w:highlight w:val="none"/>
        </w:rPr>
        <w:t>（5） 按照合同约定在合同解除前应支付给承包人的其他款项；</w:t>
      </w:r>
    </w:p>
    <w:p w14:paraId="573875C8">
      <w:pPr>
        <w:pStyle w:val="84"/>
        <w:spacing w:line="360" w:lineRule="auto"/>
        <w:ind w:firstLine="600"/>
        <w:rPr>
          <w:rStyle w:val="86"/>
          <w:rFonts w:hint="eastAsia" w:ascii="宋体" w:hAnsi="宋体"/>
          <w:highlight w:val="none"/>
        </w:rPr>
      </w:pPr>
      <w:r>
        <w:rPr>
          <w:rStyle w:val="86"/>
          <w:rFonts w:hint="eastAsia" w:ascii="宋体" w:hAnsi="宋体"/>
          <w:highlight w:val="none"/>
        </w:rPr>
        <w:t>（6） 扣减承包人按照合同约定应向发包人支付的款项；</w:t>
      </w:r>
    </w:p>
    <w:p w14:paraId="6C637CC8">
      <w:pPr>
        <w:pStyle w:val="84"/>
        <w:spacing w:line="360" w:lineRule="auto"/>
        <w:ind w:firstLine="600"/>
        <w:rPr>
          <w:rStyle w:val="86"/>
          <w:rFonts w:hint="eastAsia" w:ascii="宋体" w:hAnsi="宋体"/>
          <w:highlight w:val="none"/>
        </w:rPr>
      </w:pPr>
      <w:r>
        <w:rPr>
          <w:rStyle w:val="86"/>
          <w:rFonts w:hint="eastAsia" w:ascii="宋体" w:hAnsi="宋体"/>
          <w:highlight w:val="none"/>
        </w:rPr>
        <w:t>（7） 双方商定或确定的其他款项。</w:t>
      </w:r>
    </w:p>
    <w:p w14:paraId="059E9C2F">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除专用合同条件另有约定外，合同解除后，发包人应当在商定或确定上述款项后28天内完成上述款项的支付。</w:t>
      </w:r>
    </w:p>
    <w:p w14:paraId="1288AD2B">
      <w:pPr>
        <w:pStyle w:val="84"/>
        <w:spacing w:before="260" w:after="260" w:line="360" w:lineRule="auto"/>
        <w:outlineLvl w:val="1"/>
        <w:rPr>
          <w:rStyle w:val="86"/>
          <w:rFonts w:hint="eastAsia" w:ascii="宋体" w:hAnsi="宋体"/>
          <w:bCs/>
          <w:highlight w:val="none"/>
        </w:rPr>
      </w:pPr>
      <w:r>
        <w:rPr>
          <w:rStyle w:val="86"/>
          <w:rFonts w:hint="eastAsia" w:ascii="宋体" w:hAnsi="宋体"/>
          <w:b/>
          <w:highlight w:val="none"/>
        </w:rPr>
        <w:t>第18条 保险</w:t>
      </w:r>
      <w:r>
        <w:rPr>
          <w:rStyle w:val="86"/>
          <w:rFonts w:hint="eastAsia" w:ascii="宋体" w:hAnsi="宋体"/>
          <w:bCs/>
          <w:highlight w:val="none"/>
        </w:rPr>
        <w:t xml:space="preserve"> </w:t>
      </w:r>
    </w:p>
    <w:p w14:paraId="46B7EFB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18.1 设计和工程保险</w:t>
      </w:r>
    </w:p>
    <w:p w14:paraId="028607D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67A92E3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18.1.2 双方应按照专用合同条件的约定投保第三者责任险，并在缺陷责任期终止证书颁发前维持其持续有效。第三者责任险最低投保额应在专用合同条件内约定。</w:t>
      </w:r>
    </w:p>
    <w:p w14:paraId="364DDBFA">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18.2 工伤和意外伤害保险</w:t>
      </w:r>
    </w:p>
    <w:p w14:paraId="03D7D66B">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18.2.1 发包人应依照法律规定为其在施工现场的雇用人员办理工伤保险，缴纳工伤保险费；并要求工程师及由发包人为履行合同聘请的第三方在施工现场的雇用人员依法办理工伤保险。</w:t>
      </w:r>
    </w:p>
    <w:p w14:paraId="6FE86F20">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18.2.2 承包人应依照法律规定为其履行合同雇用的全部人员办理工伤保险，缴纳工伤保险费，并要求分包人及由承包人为履行合同聘请的第三方雇用的全部人员依法办理工伤保险。</w:t>
      </w:r>
    </w:p>
    <w:p w14:paraId="6384C16E">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18.2.3 发包人和承包人可以为其施工现场的全部人员办理意外伤害保险并支付保险费，包括其员工及为履行合同聘请的第三方的人员，具体事项由合同当事人在专用合同条件约定。</w:t>
      </w:r>
    </w:p>
    <w:p w14:paraId="7E76F21B">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18.3 货物保险</w:t>
      </w:r>
    </w:p>
    <w:p w14:paraId="449B0335">
      <w:pPr>
        <w:pStyle w:val="84"/>
        <w:spacing w:line="360" w:lineRule="auto"/>
        <w:ind w:firstLine="600"/>
        <w:rPr>
          <w:rStyle w:val="86"/>
          <w:rFonts w:hint="eastAsia" w:ascii="宋体" w:hAnsi="宋体"/>
          <w:highlight w:val="none"/>
        </w:rPr>
      </w:pPr>
      <w:r>
        <w:rPr>
          <w:rStyle w:val="86"/>
          <w:rFonts w:hint="eastAsia" w:ascii="宋体" w:hAnsi="宋体"/>
          <w:highlight w:val="none"/>
        </w:rPr>
        <w:t>承包人应</w:t>
      </w:r>
      <w:r>
        <w:rPr>
          <w:rStyle w:val="86"/>
          <w:rFonts w:hint="eastAsia" w:ascii="宋体" w:hAnsi="宋体"/>
          <w:iCs/>
          <w:highlight w:val="none"/>
        </w:rPr>
        <w:t>按照</w:t>
      </w:r>
      <w:r>
        <w:rPr>
          <w:rStyle w:val="86"/>
          <w:rFonts w:hint="eastAsia" w:ascii="宋体" w:hAnsi="宋体"/>
          <w:highlight w:val="none"/>
        </w:rPr>
        <w:t>专用合同条件的约定为</w:t>
      </w:r>
      <w:r>
        <w:rPr>
          <w:rStyle w:val="86"/>
          <w:rFonts w:hint="eastAsia" w:ascii="宋体" w:hAnsi="宋体"/>
          <w:iCs/>
          <w:highlight w:val="none"/>
        </w:rPr>
        <w:t>运抵现场的</w:t>
      </w:r>
      <w:r>
        <w:rPr>
          <w:rStyle w:val="86"/>
          <w:rFonts w:hint="eastAsia" w:ascii="宋体" w:hAnsi="宋体"/>
          <w:highlight w:val="none"/>
        </w:rPr>
        <w:t>施工设备、材料、工程设备和临时工程等办理财产保险，保险期限自上述货物运抵现场至其不再为工程所需要为止。</w:t>
      </w:r>
    </w:p>
    <w:p w14:paraId="5AAE1ED6">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18.4 其他保险</w:t>
      </w:r>
    </w:p>
    <w:p w14:paraId="00EE2FBE">
      <w:pPr>
        <w:pStyle w:val="84"/>
        <w:spacing w:line="360" w:lineRule="auto"/>
        <w:ind w:firstLine="600"/>
        <w:rPr>
          <w:rStyle w:val="86"/>
          <w:rFonts w:hint="eastAsia" w:ascii="宋体" w:hAnsi="宋体"/>
          <w:highlight w:val="none"/>
        </w:rPr>
      </w:pPr>
      <w:r>
        <w:rPr>
          <w:rStyle w:val="86"/>
          <w:rFonts w:hint="eastAsia" w:ascii="宋体" w:hAnsi="宋体"/>
          <w:highlight w:val="none"/>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04252CA0">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18.5 对各项保险的一般要求</w:t>
      </w:r>
    </w:p>
    <w:p w14:paraId="395D2E13">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18.5.1 持续保险</w:t>
      </w:r>
    </w:p>
    <w:p w14:paraId="46222382">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合同当事人应与保险人保持联系，使保险人能够随时了解工程实施中的变动，并确保按保险合同条款要求持续保险。</w:t>
      </w:r>
    </w:p>
    <w:p w14:paraId="38964581">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18.5.2 保险凭证</w:t>
      </w:r>
    </w:p>
    <w:p w14:paraId="516BD1D7">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合同当事人应及时向另一方当事人提交其已投保的各项保险的凭证和保险单复印件，保险单必须与专用合同条件约定的条件保持一致。</w:t>
      </w:r>
    </w:p>
    <w:p w14:paraId="40999F16">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18.5.3 未按约定投保的补救</w:t>
      </w:r>
    </w:p>
    <w:p w14:paraId="0CB1B424">
      <w:pPr>
        <w:pStyle w:val="84"/>
        <w:spacing w:line="360" w:lineRule="auto"/>
        <w:ind w:firstLine="600"/>
        <w:rPr>
          <w:rStyle w:val="86"/>
          <w:rFonts w:hint="eastAsia" w:ascii="宋体" w:hAnsi="宋体"/>
          <w:highlight w:val="none"/>
        </w:rPr>
      </w:pPr>
      <w:r>
        <w:rPr>
          <w:rStyle w:val="86"/>
          <w:rFonts w:hint="eastAsia" w:ascii="宋体" w:hAnsi="宋体"/>
          <w:highlight w:val="none"/>
        </w:rPr>
        <w:t>负有投保义务的一方当事人未按合同约定办理保险，或未能使保险持续有效的，则另一方当事人可代为办理，所需费用由负有投保义务的一方当事人承担。</w:t>
      </w:r>
    </w:p>
    <w:p w14:paraId="564B079B">
      <w:pPr>
        <w:pStyle w:val="84"/>
        <w:spacing w:line="360" w:lineRule="auto"/>
        <w:ind w:firstLine="600"/>
        <w:rPr>
          <w:rStyle w:val="86"/>
          <w:rFonts w:hint="eastAsia" w:ascii="宋体" w:hAnsi="宋体"/>
          <w:highlight w:val="none"/>
        </w:rPr>
      </w:pPr>
      <w:r>
        <w:rPr>
          <w:rStyle w:val="86"/>
          <w:rFonts w:hint="eastAsia" w:ascii="宋体" w:hAnsi="宋体"/>
          <w:highlight w:val="none"/>
        </w:rPr>
        <w:t>负有投保义务的一方当事人未按合同约定办理某项保险，导致受益人未能得到足额赔偿的，由负有投保义务的一方当事人负责按照原应从该项保险得到的保险金数额进行补足。</w:t>
      </w:r>
    </w:p>
    <w:p w14:paraId="483B77D2">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18.5.4 通知义务</w:t>
      </w:r>
    </w:p>
    <w:p w14:paraId="02125E6C">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除专用合同条件另有约定外，任何一方当事人变更除工伤保险之外的保险合同时，应事先征得另一方当事人同意，并通知工程师。</w:t>
      </w:r>
    </w:p>
    <w:p w14:paraId="7A753A8E">
      <w:pPr>
        <w:pStyle w:val="84"/>
        <w:spacing w:line="360" w:lineRule="auto"/>
        <w:ind w:firstLine="600"/>
        <w:rPr>
          <w:rStyle w:val="86"/>
          <w:rFonts w:hint="eastAsia" w:ascii="宋体" w:hAnsi="宋体"/>
          <w:highlight w:val="none"/>
        </w:rPr>
      </w:pPr>
      <w:r>
        <w:rPr>
          <w:rStyle w:val="86"/>
          <w:rFonts w:hint="eastAsia" w:ascii="宋体" w:hAnsi="宋体"/>
          <w:highlight w:val="none"/>
        </w:rPr>
        <w:t>保险事故发生时，投保人应按照保险合同规定的条件和期限及时向保险人报告。发包人和承包人应当在知道保险事故发生后及时通知对方。</w:t>
      </w:r>
    </w:p>
    <w:p w14:paraId="59CEBD98">
      <w:pPr>
        <w:pStyle w:val="84"/>
        <w:spacing w:line="360" w:lineRule="auto"/>
        <w:ind w:firstLine="600"/>
        <w:rPr>
          <w:rStyle w:val="86"/>
          <w:rFonts w:hint="eastAsia" w:ascii="宋体" w:hAnsi="宋体"/>
          <w:highlight w:val="none"/>
        </w:rPr>
      </w:pPr>
      <w:r>
        <w:rPr>
          <w:rStyle w:val="86"/>
          <w:rFonts w:hint="eastAsia" w:ascii="宋体" w:hAnsi="宋体"/>
          <w:highlight w:val="none"/>
        </w:rPr>
        <w:t>双方按本条规定投保不减少双方在合同下的其他义务。</w:t>
      </w:r>
    </w:p>
    <w:p w14:paraId="40FBF39E">
      <w:pPr>
        <w:pStyle w:val="84"/>
        <w:spacing w:before="260" w:after="260" w:line="360" w:lineRule="auto"/>
        <w:outlineLvl w:val="1"/>
        <w:rPr>
          <w:rStyle w:val="86"/>
          <w:rFonts w:hint="eastAsia" w:ascii="宋体" w:hAnsi="宋体"/>
          <w:bCs/>
          <w:highlight w:val="none"/>
        </w:rPr>
      </w:pPr>
      <w:r>
        <w:rPr>
          <w:rStyle w:val="86"/>
          <w:rFonts w:hint="eastAsia" w:ascii="宋体" w:hAnsi="宋体"/>
          <w:b/>
          <w:highlight w:val="none"/>
        </w:rPr>
        <w:t>第19条 索赔</w:t>
      </w:r>
      <w:r>
        <w:rPr>
          <w:rStyle w:val="86"/>
          <w:rFonts w:hint="eastAsia" w:ascii="宋体" w:hAnsi="宋体"/>
          <w:bCs/>
          <w:highlight w:val="none"/>
        </w:rPr>
        <w:t xml:space="preserve"> </w:t>
      </w:r>
    </w:p>
    <w:p w14:paraId="03BB96B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19.1 索赔的提出</w:t>
      </w:r>
    </w:p>
    <w:p w14:paraId="0C7D90D3">
      <w:pPr>
        <w:pStyle w:val="84"/>
        <w:spacing w:line="360" w:lineRule="auto"/>
        <w:ind w:firstLine="600"/>
        <w:rPr>
          <w:rStyle w:val="86"/>
          <w:rFonts w:hint="eastAsia" w:ascii="宋体" w:hAnsi="宋体"/>
          <w:highlight w:val="none"/>
        </w:rPr>
      </w:pPr>
      <w:r>
        <w:rPr>
          <w:rStyle w:val="86"/>
          <w:rFonts w:hint="eastAsia" w:ascii="宋体" w:hAnsi="宋体"/>
          <w:highlight w:val="none"/>
        </w:rPr>
        <w:t>根据合同约定，任意一方认为有权得到追加/减少付款、延长缺陷责任期和（或）延长工期的，应按以下程序向对方提出索赔：</w:t>
      </w:r>
    </w:p>
    <w:p w14:paraId="1897C5A9">
      <w:pPr>
        <w:pStyle w:val="84"/>
        <w:spacing w:line="360" w:lineRule="auto"/>
        <w:ind w:firstLine="600"/>
        <w:rPr>
          <w:rStyle w:val="86"/>
          <w:rFonts w:hint="eastAsia" w:ascii="宋体" w:hAnsi="宋体"/>
          <w:highlight w:val="none"/>
        </w:rPr>
      </w:pPr>
      <w:r>
        <w:rPr>
          <w:rStyle w:val="86"/>
          <w:rFonts w:hint="eastAsia" w:ascii="宋体" w:hAnsi="宋体"/>
          <w:highlight w:val="none"/>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2FC6801A">
      <w:pPr>
        <w:pStyle w:val="84"/>
        <w:spacing w:line="360" w:lineRule="auto"/>
        <w:ind w:firstLine="600"/>
        <w:rPr>
          <w:rStyle w:val="86"/>
          <w:rFonts w:hint="eastAsia" w:ascii="宋体" w:hAnsi="宋体"/>
          <w:highlight w:val="none"/>
        </w:rPr>
      </w:pPr>
      <w:r>
        <w:rPr>
          <w:rStyle w:val="86"/>
          <w:rFonts w:hint="eastAsia" w:ascii="宋体" w:hAnsi="宋体"/>
          <w:highlight w:val="none"/>
        </w:rPr>
        <w:t>（2） 索赔方应在发出索赔意向通知书后28天内，向对方正式递交索赔报告；索赔报告应详细说明索赔理由以及要求追加的付款金额、延长缺陷责任期和（或）延长的工期，并附必要的记录和证明材料；</w:t>
      </w:r>
    </w:p>
    <w:p w14:paraId="613FD5B5">
      <w:pPr>
        <w:pStyle w:val="84"/>
        <w:spacing w:line="360" w:lineRule="auto"/>
        <w:ind w:firstLine="600"/>
        <w:rPr>
          <w:rStyle w:val="86"/>
          <w:rFonts w:hint="eastAsia" w:ascii="宋体" w:hAnsi="宋体"/>
          <w:highlight w:val="none"/>
        </w:rPr>
      </w:pPr>
      <w:r>
        <w:rPr>
          <w:rStyle w:val="86"/>
          <w:rFonts w:hint="eastAsia" w:ascii="宋体" w:hAnsi="宋体"/>
          <w:highlight w:val="none"/>
        </w:rPr>
        <w:t>（3） 索赔事件具有持续影响的，索赔方应每月递交延续索赔通知，说明持续影响的实际情况和记录，列出累计的追加付款金额、延长缺陷责任期和（或）工期延长天数；</w:t>
      </w:r>
    </w:p>
    <w:p w14:paraId="771C3403">
      <w:pPr>
        <w:pStyle w:val="84"/>
        <w:spacing w:line="360" w:lineRule="auto"/>
        <w:ind w:firstLine="600"/>
        <w:rPr>
          <w:rStyle w:val="86"/>
          <w:rFonts w:hint="eastAsia" w:ascii="宋体" w:hAnsi="宋体"/>
          <w:highlight w:val="none"/>
        </w:rPr>
      </w:pPr>
      <w:r>
        <w:rPr>
          <w:rStyle w:val="86"/>
          <w:rFonts w:hint="eastAsia" w:ascii="宋体" w:hAnsi="宋体"/>
          <w:highlight w:val="none"/>
        </w:rPr>
        <w:t>（4） 在索赔事件影响结束后28天内，索赔方应向对方递交最终索赔报告，说明最终要求索赔的追加付款金额、延长缺陷责任期和（或）延长的工期，并附必要的记录和证明材料。</w:t>
      </w:r>
    </w:p>
    <w:p w14:paraId="350D787C">
      <w:pPr>
        <w:pStyle w:val="84"/>
        <w:spacing w:line="360" w:lineRule="auto"/>
        <w:ind w:firstLine="600"/>
        <w:rPr>
          <w:rStyle w:val="86"/>
          <w:rFonts w:hint="eastAsia" w:ascii="宋体" w:hAnsi="宋体"/>
          <w:highlight w:val="none"/>
        </w:rPr>
      </w:pPr>
      <w:r>
        <w:rPr>
          <w:rStyle w:val="86"/>
          <w:rFonts w:hint="eastAsia" w:ascii="宋体" w:hAnsi="宋体"/>
          <w:highlight w:val="none"/>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0CACCFCC">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19.2 承包人索赔的处理程序</w:t>
      </w:r>
    </w:p>
    <w:p w14:paraId="6FE9545D">
      <w:pPr>
        <w:pStyle w:val="84"/>
        <w:spacing w:line="360" w:lineRule="auto"/>
        <w:ind w:firstLine="600"/>
        <w:rPr>
          <w:rStyle w:val="86"/>
          <w:rFonts w:hint="eastAsia" w:ascii="宋体" w:hAnsi="宋体"/>
          <w:highlight w:val="none"/>
        </w:rPr>
      </w:pPr>
      <w:r>
        <w:rPr>
          <w:rStyle w:val="86"/>
          <w:rFonts w:hint="eastAsia" w:ascii="宋体" w:hAnsi="宋体"/>
          <w:highlight w:val="none"/>
        </w:rPr>
        <w:t>（1） 工程师收到承包人提交的索赔报告后，应及时审查索赔报告的内容、查验承包人的记录和证明材料，必要时工程师可要求承包人提交全部原始记录副本。</w:t>
      </w:r>
    </w:p>
    <w:p w14:paraId="5C624141">
      <w:pPr>
        <w:pStyle w:val="84"/>
        <w:spacing w:line="360" w:lineRule="auto"/>
        <w:ind w:firstLine="600"/>
        <w:rPr>
          <w:rStyle w:val="86"/>
          <w:rFonts w:hint="eastAsia" w:ascii="宋体" w:hAnsi="宋体"/>
          <w:highlight w:val="none"/>
        </w:rPr>
      </w:pPr>
      <w:r>
        <w:rPr>
          <w:rStyle w:val="86"/>
          <w:rFonts w:hint="eastAsia" w:ascii="宋体" w:hAnsi="宋体"/>
          <w:highlight w:val="none"/>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73EDC900">
      <w:pPr>
        <w:pStyle w:val="84"/>
        <w:spacing w:line="360" w:lineRule="auto"/>
        <w:ind w:firstLine="600"/>
        <w:rPr>
          <w:rStyle w:val="86"/>
          <w:rFonts w:hint="eastAsia" w:ascii="宋体" w:hAnsi="宋体"/>
          <w:highlight w:val="none"/>
        </w:rPr>
      </w:pPr>
      <w:r>
        <w:rPr>
          <w:rStyle w:val="86"/>
          <w:rFonts w:hint="eastAsia" w:ascii="宋体" w:hAnsi="宋体"/>
          <w:highlight w:val="none"/>
        </w:rPr>
        <w:t>（3） 承包人接受索赔处理结果的，发包人应在作出索赔处理结果答复后28天内完成支付。承包人不接受索赔处理结果的，按照第20条[争议解决]约定处理。</w:t>
      </w:r>
    </w:p>
    <w:p w14:paraId="14D3FA61">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19.3 发包人索赔的处理程序</w:t>
      </w:r>
    </w:p>
    <w:p w14:paraId="236089AE">
      <w:pPr>
        <w:pStyle w:val="84"/>
        <w:spacing w:line="360" w:lineRule="auto"/>
        <w:ind w:firstLine="600"/>
        <w:rPr>
          <w:rStyle w:val="86"/>
          <w:rFonts w:hint="eastAsia" w:ascii="宋体" w:hAnsi="宋体"/>
          <w:highlight w:val="none"/>
        </w:rPr>
      </w:pPr>
      <w:r>
        <w:rPr>
          <w:rStyle w:val="86"/>
          <w:rFonts w:hint="eastAsia" w:ascii="宋体" w:hAnsi="宋体"/>
          <w:highlight w:val="none"/>
        </w:rPr>
        <w:t>（1） 承包人收到发包人提交的索赔报告后，应及时审查索赔报告的内容、查验发包人证明材料；</w:t>
      </w:r>
    </w:p>
    <w:p w14:paraId="3C4087AE">
      <w:pPr>
        <w:pStyle w:val="84"/>
        <w:spacing w:line="360" w:lineRule="auto"/>
        <w:ind w:firstLine="600"/>
        <w:rPr>
          <w:rStyle w:val="86"/>
          <w:rFonts w:hint="eastAsia" w:ascii="宋体" w:hAnsi="宋体"/>
          <w:highlight w:val="none"/>
        </w:rPr>
      </w:pPr>
      <w:r>
        <w:rPr>
          <w:rStyle w:val="86"/>
          <w:rFonts w:hint="eastAsia" w:ascii="宋体" w:hAnsi="宋体"/>
          <w:highlight w:val="none"/>
        </w:rPr>
        <w:t>（2） 承包人应在收到上述索赔报告或有关索赔的进一步证明材料后42天内，将索赔处理结果答复发包人。承包人在收到索赔通知书或有关索赔的进一步证明材料后的42天内不予答复的，视为认可索赔。</w:t>
      </w:r>
    </w:p>
    <w:p w14:paraId="0327E24F">
      <w:pPr>
        <w:pStyle w:val="84"/>
        <w:spacing w:line="360" w:lineRule="auto"/>
        <w:ind w:firstLine="600"/>
        <w:rPr>
          <w:rStyle w:val="86"/>
          <w:rFonts w:hint="eastAsia" w:ascii="宋体" w:hAnsi="宋体"/>
          <w:highlight w:val="none"/>
        </w:rPr>
      </w:pPr>
      <w:r>
        <w:rPr>
          <w:rStyle w:val="86"/>
          <w:rFonts w:hint="eastAsia" w:ascii="宋体" w:hAnsi="宋体"/>
          <w:highlight w:val="none"/>
        </w:rPr>
        <w:t>（3） 发包人接受索赔处理结果的，发包人可从应支付给承包人的合同价款中扣除赔付的金额或延长缺陷责任期；发包人不接受索赔处理结果的，按第20条[争议解决]约定处理。</w:t>
      </w:r>
    </w:p>
    <w:p w14:paraId="44819356">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19.4 提出索赔的期限</w:t>
      </w:r>
    </w:p>
    <w:p w14:paraId="279D0274">
      <w:pPr>
        <w:pStyle w:val="84"/>
        <w:spacing w:line="360" w:lineRule="auto"/>
        <w:ind w:firstLine="600"/>
        <w:rPr>
          <w:rStyle w:val="86"/>
          <w:rFonts w:hint="eastAsia" w:ascii="宋体" w:hAnsi="宋体"/>
          <w:highlight w:val="none"/>
        </w:rPr>
      </w:pPr>
      <w:r>
        <w:rPr>
          <w:rStyle w:val="86"/>
          <w:rFonts w:hint="eastAsia" w:ascii="宋体" w:hAnsi="宋体"/>
          <w:highlight w:val="none"/>
        </w:rPr>
        <w:t>（1） 承包人按第14.5款[竣工结算]约定接收竣工付款证书后，应被认为已无权再提出在合同工程接收证书颁发前所发生的任何索赔。</w:t>
      </w:r>
    </w:p>
    <w:p w14:paraId="545C886D">
      <w:pPr>
        <w:pStyle w:val="84"/>
        <w:spacing w:line="360" w:lineRule="auto"/>
        <w:ind w:firstLine="600"/>
        <w:rPr>
          <w:rStyle w:val="86"/>
          <w:rFonts w:hint="eastAsia" w:ascii="宋体" w:hAnsi="宋体"/>
          <w:highlight w:val="none"/>
        </w:rPr>
      </w:pPr>
      <w:r>
        <w:rPr>
          <w:rStyle w:val="86"/>
          <w:rFonts w:hint="eastAsia" w:ascii="宋体" w:hAnsi="宋体"/>
          <w:highlight w:val="none"/>
        </w:rPr>
        <w:t>（2） 承包人按第14.7款[最终结清]提交的最终结清申请单中，只限于提出工程接收证书颁发后发生的索赔。提出索赔的期限均自接受最终结清证书时终止。</w:t>
      </w:r>
    </w:p>
    <w:p w14:paraId="2549E810">
      <w:pPr>
        <w:pStyle w:val="84"/>
        <w:spacing w:before="260" w:after="260" w:line="360" w:lineRule="auto"/>
        <w:outlineLvl w:val="1"/>
        <w:rPr>
          <w:rStyle w:val="86"/>
          <w:rFonts w:hint="eastAsia" w:ascii="宋体" w:hAnsi="宋体"/>
          <w:b/>
          <w:highlight w:val="none"/>
        </w:rPr>
      </w:pPr>
      <w:r>
        <w:rPr>
          <w:rStyle w:val="86"/>
          <w:rFonts w:hint="eastAsia" w:ascii="宋体" w:hAnsi="宋体"/>
          <w:b/>
          <w:highlight w:val="none"/>
        </w:rPr>
        <w:t xml:space="preserve">第20条 争议解决 </w:t>
      </w:r>
    </w:p>
    <w:p w14:paraId="1DCAFACF">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20.1 和解</w:t>
      </w:r>
    </w:p>
    <w:p w14:paraId="0A7BEBB5">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合同当事人可以就争议自行和解，自行和解达成协议的经双方签字并盖章后作为合同补充文件，双方均应遵照执行。</w:t>
      </w:r>
    </w:p>
    <w:p w14:paraId="16BEB46D">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 xml:space="preserve">20.2 调解 </w:t>
      </w:r>
    </w:p>
    <w:p w14:paraId="63DC1B88">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合同当事人可以就争议请求建设行政主管部门、行业协会或其他第三方进行调解，调解达成协议的，经双方签字盖章后作为合同补充文件，双方均应遵照执行。</w:t>
      </w:r>
    </w:p>
    <w:p w14:paraId="183F9B04">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20.3 争议评审</w:t>
      </w:r>
    </w:p>
    <w:p w14:paraId="6745BA7B">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合同当事人在专用合同条件中约定采取争议评审方式及评审规则解决争议的，按下列约定执行：</w:t>
      </w:r>
    </w:p>
    <w:p w14:paraId="77AF50B7">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20.3.1 争议评审小组的确定</w:t>
      </w:r>
    </w:p>
    <w:p w14:paraId="643B1557">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4A87557F">
      <w:pPr>
        <w:pStyle w:val="84"/>
        <w:spacing w:line="360" w:lineRule="auto"/>
        <w:ind w:firstLine="600"/>
        <w:rPr>
          <w:rStyle w:val="86"/>
          <w:rFonts w:hint="eastAsia" w:ascii="宋体" w:hAnsi="宋体"/>
          <w:highlight w:val="none"/>
        </w:rPr>
      </w:pPr>
      <w:r>
        <w:rPr>
          <w:rStyle w:val="86"/>
          <w:rFonts w:hint="eastAsia" w:ascii="宋体" w:hAnsi="宋体"/>
          <w:highlight w: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00136F64">
      <w:pPr>
        <w:pStyle w:val="84"/>
        <w:spacing w:line="360" w:lineRule="auto"/>
        <w:ind w:firstLine="600"/>
        <w:rPr>
          <w:rStyle w:val="86"/>
          <w:rFonts w:hint="eastAsia" w:ascii="宋体" w:hAnsi="宋体"/>
          <w:highlight w:val="none"/>
        </w:rPr>
      </w:pPr>
      <w:r>
        <w:rPr>
          <w:rStyle w:val="86"/>
          <w:rFonts w:hint="eastAsia" w:ascii="宋体" w:hAnsi="宋体"/>
          <w:highlight w:val="none"/>
        </w:rPr>
        <w:t>除专用合同条件另有约定外，争议评审员报酬由发包人和承包人各承担一半。</w:t>
      </w:r>
    </w:p>
    <w:p w14:paraId="189C2E88">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20.3.2 争议的避免</w:t>
      </w:r>
    </w:p>
    <w:p w14:paraId="308A37F2">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合同当事人协商一致，可以共同书面请求争议评审小组，就合同履行过程中可能出现争议的情况提供协助或进行非正式讨论，争议评审小组应给出公正的意见或建议。</w:t>
      </w:r>
    </w:p>
    <w:p w14:paraId="5466387D">
      <w:pPr>
        <w:pStyle w:val="84"/>
        <w:spacing w:line="360" w:lineRule="auto"/>
        <w:ind w:firstLine="600"/>
        <w:rPr>
          <w:rStyle w:val="86"/>
          <w:rFonts w:hint="eastAsia" w:ascii="宋体" w:hAnsi="宋体"/>
          <w:highlight w:val="none"/>
        </w:rPr>
      </w:pPr>
      <w:r>
        <w:rPr>
          <w:rStyle w:val="86"/>
          <w:rFonts w:hint="eastAsia" w:ascii="宋体" w:hAnsi="宋体"/>
          <w:highlight w:val="none"/>
        </w:rPr>
        <w:t>此类协助或非正式讨论可在任何会议、施工现场视察或其他场合进行，并且除专用合同条件另有约定外，发包人和承包人均应出席。</w:t>
      </w:r>
    </w:p>
    <w:p w14:paraId="714E4301">
      <w:pPr>
        <w:pStyle w:val="84"/>
        <w:spacing w:line="360" w:lineRule="auto"/>
        <w:ind w:firstLine="600"/>
        <w:rPr>
          <w:rStyle w:val="86"/>
          <w:rFonts w:hint="eastAsia" w:ascii="宋体" w:hAnsi="宋体"/>
          <w:highlight w:val="none"/>
        </w:rPr>
      </w:pPr>
      <w:r>
        <w:rPr>
          <w:rStyle w:val="86"/>
          <w:rFonts w:hint="eastAsia" w:ascii="宋体" w:hAnsi="宋体"/>
          <w:highlight w:val="none"/>
        </w:rPr>
        <w:t>争议评审小组在此类非正式讨论上给出的任何意见或建议，无论是口头还是书面的，对发包人和承包人不具有约束力，争议评审小组在之后的争议评审程序或决定中也不受此类意见或建议的约束。</w:t>
      </w:r>
    </w:p>
    <w:p w14:paraId="2E44749F">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20.3.3 争议评审小组的决定</w:t>
      </w:r>
    </w:p>
    <w:p w14:paraId="6EA34DB5">
      <w:pPr>
        <w:pStyle w:val="84"/>
        <w:spacing w:line="360" w:lineRule="auto"/>
        <w:ind w:firstLine="600"/>
        <w:rPr>
          <w:rStyle w:val="86"/>
          <w:rFonts w:hint="eastAsia" w:ascii="宋体" w:hAnsi="宋体"/>
          <w:highlight w:val="none"/>
        </w:rPr>
      </w:pPr>
      <w:r>
        <w:rPr>
          <w:rStyle w:val="86"/>
          <w:rFonts w:hint="eastAsia" w:ascii="宋体" w:hAnsi="宋体"/>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27CA3ABC">
      <w:pPr>
        <w:pStyle w:val="84"/>
        <w:widowControl/>
        <w:adjustRightInd w:val="0"/>
        <w:snapToGrid w:val="0"/>
        <w:spacing w:after="156" w:afterLines="50" w:line="360" w:lineRule="auto"/>
        <w:outlineLvl w:val="3"/>
        <w:rPr>
          <w:rStyle w:val="86"/>
          <w:rFonts w:hint="eastAsia" w:ascii="宋体" w:hAnsi="宋体"/>
          <w:highlight w:val="none"/>
        </w:rPr>
      </w:pPr>
      <w:r>
        <w:rPr>
          <w:rStyle w:val="86"/>
          <w:rFonts w:hint="eastAsia" w:ascii="宋体" w:hAnsi="宋体"/>
          <w:highlight w:val="none"/>
        </w:rPr>
        <w:t>20.3.4 争议评审小组决定的效力</w:t>
      </w:r>
    </w:p>
    <w:p w14:paraId="05FED6EF">
      <w:pPr>
        <w:pStyle w:val="84"/>
        <w:spacing w:line="360" w:lineRule="auto"/>
        <w:ind w:firstLine="600"/>
        <w:rPr>
          <w:rStyle w:val="86"/>
          <w:rFonts w:hint="eastAsia" w:ascii="宋体" w:hAnsi="宋体"/>
          <w:highlight w:val="none"/>
        </w:rPr>
      </w:pPr>
      <w:r>
        <w:rPr>
          <w:rStyle w:val="86"/>
          <w:rFonts w:hint="eastAsia" w:ascii="宋体" w:hAnsi="宋体"/>
          <w:highlight w:val="none"/>
        </w:rPr>
        <w:t>争议评审小组作出的书面决定经合同当事人签字确认后，对双方具有约束力，双方应遵照执行。</w:t>
      </w:r>
    </w:p>
    <w:p w14:paraId="3CC2320B">
      <w:pPr>
        <w:pStyle w:val="84"/>
        <w:spacing w:line="360" w:lineRule="auto"/>
        <w:ind w:firstLine="600"/>
        <w:rPr>
          <w:rStyle w:val="86"/>
          <w:rFonts w:hint="eastAsia" w:ascii="宋体" w:hAnsi="宋体"/>
          <w:highlight w:val="none"/>
        </w:rPr>
      </w:pPr>
      <w:r>
        <w:rPr>
          <w:rStyle w:val="86"/>
          <w:rFonts w:hint="eastAsia" w:ascii="宋体" w:hAnsi="宋体"/>
          <w:highlight w:val="none"/>
        </w:rPr>
        <w:t>任何一方当事人不接受争议评审小组决定或不履行争议评审小组决定的，双方可选择采用其他争议解决方式。</w:t>
      </w:r>
    </w:p>
    <w:p w14:paraId="6ADA9B48">
      <w:pPr>
        <w:pStyle w:val="84"/>
        <w:spacing w:line="360" w:lineRule="auto"/>
        <w:ind w:firstLine="600"/>
        <w:rPr>
          <w:rStyle w:val="86"/>
          <w:rFonts w:hint="eastAsia" w:ascii="宋体" w:hAnsi="宋体"/>
          <w:highlight w:val="none"/>
        </w:rPr>
      </w:pPr>
      <w:r>
        <w:rPr>
          <w:rStyle w:val="86"/>
          <w:rFonts w:hint="eastAsia" w:ascii="宋体" w:hAnsi="宋体"/>
          <w:highlight w:val="none"/>
        </w:rPr>
        <w:t>任何一方当事人不接受争议评审小组的决定，并不影响暂时执行争议评审小组的决定，直到在后续的采用其他争议解决方式中对争议评审小组的决定进行了改变。</w:t>
      </w:r>
    </w:p>
    <w:p w14:paraId="040D85E2">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20.4 仲裁或诉讼</w:t>
      </w:r>
    </w:p>
    <w:p w14:paraId="1E4D22CD">
      <w:pPr>
        <w:pStyle w:val="84"/>
        <w:spacing w:line="360" w:lineRule="auto"/>
        <w:ind w:firstLine="600"/>
        <w:rPr>
          <w:rStyle w:val="86"/>
          <w:rFonts w:hint="eastAsia" w:ascii="宋体" w:hAnsi="宋体"/>
          <w:highlight w:val="none"/>
        </w:rPr>
      </w:pPr>
      <w:r>
        <w:rPr>
          <w:rStyle w:val="86"/>
          <w:rFonts w:hint="eastAsia" w:ascii="宋体" w:hAnsi="宋体"/>
          <w:highlight w:val="none"/>
        </w:rPr>
        <w:t>因合同及合同有关事项产生的争议，合同当事人可以在专用合同条件中约定以下一种方式解决争议：</w:t>
      </w:r>
    </w:p>
    <w:p w14:paraId="4030E32D">
      <w:pPr>
        <w:pStyle w:val="84"/>
        <w:spacing w:line="360" w:lineRule="auto"/>
        <w:ind w:left="841"/>
        <w:rPr>
          <w:rStyle w:val="86"/>
          <w:rFonts w:hint="eastAsia" w:ascii="宋体" w:hAnsi="宋体"/>
          <w:highlight w:val="none"/>
        </w:rPr>
      </w:pPr>
      <w:r>
        <w:rPr>
          <w:rStyle w:val="86"/>
          <w:rFonts w:hint="eastAsia" w:ascii="宋体" w:hAnsi="宋体"/>
          <w:highlight w:val="none"/>
        </w:rPr>
        <w:t>（1） 向约定的仲裁委员会申请仲裁；</w:t>
      </w:r>
    </w:p>
    <w:p w14:paraId="28C1C041">
      <w:pPr>
        <w:pStyle w:val="84"/>
        <w:spacing w:line="360" w:lineRule="auto"/>
        <w:ind w:left="841"/>
        <w:rPr>
          <w:rStyle w:val="86"/>
          <w:rFonts w:hint="eastAsia" w:ascii="宋体" w:hAnsi="宋体"/>
          <w:highlight w:val="none"/>
        </w:rPr>
      </w:pPr>
      <w:r>
        <w:rPr>
          <w:rStyle w:val="86"/>
          <w:rFonts w:hint="eastAsia" w:ascii="宋体" w:hAnsi="宋体"/>
          <w:highlight w:val="none"/>
        </w:rPr>
        <w:t>（2） 向有管辖权的人民法院起诉。</w:t>
      </w:r>
    </w:p>
    <w:p w14:paraId="3A797568">
      <w:pPr>
        <w:pStyle w:val="84"/>
        <w:widowControl/>
        <w:adjustRightInd w:val="0"/>
        <w:snapToGrid w:val="0"/>
        <w:spacing w:after="156" w:afterLines="50" w:line="360" w:lineRule="auto"/>
        <w:outlineLvl w:val="2"/>
        <w:rPr>
          <w:rStyle w:val="86"/>
          <w:rFonts w:hint="eastAsia" w:ascii="宋体" w:hAnsi="宋体"/>
          <w:bCs/>
          <w:highlight w:val="none"/>
        </w:rPr>
      </w:pPr>
      <w:r>
        <w:rPr>
          <w:rStyle w:val="86"/>
          <w:rFonts w:hint="eastAsia" w:ascii="宋体" w:hAnsi="宋体"/>
          <w:bCs/>
          <w:highlight w:val="none"/>
        </w:rPr>
        <w:t>20.5 争议解决条款效力</w:t>
      </w:r>
    </w:p>
    <w:p w14:paraId="54135593">
      <w:pPr>
        <w:pStyle w:val="84"/>
        <w:spacing w:line="360" w:lineRule="auto"/>
        <w:ind w:firstLine="600"/>
        <w:rPr>
          <w:rStyle w:val="86"/>
          <w:rFonts w:hint="eastAsia" w:ascii="宋体" w:hAnsi="宋体"/>
          <w:highlight w:val="none"/>
        </w:rPr>
      </w:pPr>
      <w:r>
        <w:rPr>
          <w:rStyle w:val="86"/>
          <w:rFonts w:hint="eastAsia" w:ascii="宋体" w:hAnsi="宋体"/>
          <w:highlight w:val="none"/>
        </w:rPr>
        <w:t>合同有关争议解决的条款独立存在，合同的不生效、无效、被撤销或者终止的，不影响合同中有关争议解决条款的效力。</w:t>
      </w:r>
    </w:p>
    <w:p w14:paraId="3B866995">
      <w:pPr>
        <w:pStyle w:val="84"/>
        <w:widowControl/>
        <w:autoSpaceDE w:val="0"/>
        <w:adjustRightInd w:val="0"/>
        <w:snapToGrid w:val="0"/>
        <w:spacing w:after="50" w:line="460" w:lineRule="exact"/>
        <w:jc w:val="center"/>
        <w:outlineLvl w:val="0"/>
        <w:rPr>
          <w:rStyle w:val="86"/>
          <w:rFonts w:hint="eastAsia" w:ascii="华文中宋" w:hAnsi="华文中宋" w:eastAsia="华文中宋"/>
          <w:b/>
          <w:bCs/>
          <w:kern w:val="44"/>
          <w:sz w:val="44"/>
          <w:szCs w:val="44"/>
          <w:highlight w:val="none"/>
        </w:rPr>
      </w:pPr>
      <w:r>
        <w:rPr>
          <w:rStyle w:val="86"/>
          <w:rFonts w:hint="eastAsia" w:ascii="宋体" w:hAnsi="宋体"/>
          <w:b/>
          <w:bCs/>
          <w:kern w:val="44"/>
          <w:sz w:val="28"/>
          <w:szCs w:val="28"/>
          <w:highlight w:val="none"/>
        </w:rPr>
        <w:br w:type="page"/>
      </w:r>
      <w:r>
        <w:rPr>
          <w:rStyle w:val="86"/>
          <w:rFonts w:hint="eastAsia" w:ascii="宋体" w:hAnsi="宋体"/>
          <w:b/>
          <w:bCs/>
          <w:kern w:val="44"/>
          <w:sz w:val="28"/>
          <w:szCs w:val="28"/>
          <w:highlight w:val="none"/>
        </w:rPr>
        <w:t>第三部分 专用合同条件</w:t>
      </w:r>
    </w:p>
    <w:p w14:paraId="322C59D0">
      <w:pPr>
        <w:pStyle w:val="84"/>
        <w:autoSpaceDE w:val="0"/>
        <w:spacing w:before="260" w:after="260" w:line="460" w:lineRule="exact"/>
        <w:ind w:firstLine="422" w:firstLineChars="200"/>
        <w:outlineLvl w:val="1"/>
        <w:rPr>
          <w:rStyle w:val="86"/>
          <w:rFonts w:hint="eastAsia" w:ascii="宋体" w:hAnsi="宋体"/>
          <w:b/>
          <w:highlight w:val="none"/>
        </w:rPr>
      </w:pPr>
      <w:r>
        <w:rPr>
          <w:rStyle w:val="86"/>
          <w:rFonts w:hint="eastAsia" w:ascii="宋体" w:hAnsi="宋体"/>
          <w:b/>
          <w:highlight w:val="none"/>
        </w:rPr>
        <w:t>第1条 一般约定</w:t>
      </w:r>
    </w:p>
    <w:p w14:paraId="2E7CD71A">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1.1 词语定义和解释</w:t>
      </w:r>
    </w:p>
    <w:p w14:paraId="6617DA0F">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1.1.1 合同</w:t>
      </w:r>
    </w:p>
    <w:p w14:paraId="34CB987E">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1.1.1.10 其他合同文件：</w:t>
      </w:r>
      <w:r>
        <w:rPr>
          <w:rStyle w:val="86"/>
          <w:rFonts w:hint="eastAsia" w:ascii="宋体" w:hAnsi="宋体"/>
          <w:highlight w:val="none"/>
          <w:u w:val="single"/>
        </w:rPr>
        <w:t xml:space="preserve">  </w:t>
      </w:r>
      <w:r>
        <w:rPr>
          <w:rStyle w:val="86"/>
          <w:rFonts w:hint="eastAsia" w:ascii="宋体" w:hAnsi="宋体"/>
          <w:b/>
          <w:bCs/>
          <w:highlight w:val="none"/>
          <w:u w:val="single"/>
        </w:rPr>
        <w:t>（1）本合同的相关补充协议；（2）设计变更、核定单等；（3）双方有关工程的洽商等书面协议或文件、会议纪要、发包人对工程项目的管理制度；（4）承包人就本工程所签署的承诺书及书面函件 。</w:t>
      </w:r>
    </w:p>
    <w:p w14:paraId="194F2523">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1.1.3 工程和设备</w:t>
      </w:r>
    </w:p>
    <w:p w14:paraId="626889DE">
      <w:pPr>
        <w:pStyle w:val="84"/>
        <w:autoSpaceDE w:val="0"/>
        <w:spacing w:line="460" w:lineRule="exact"/>
        <w:ind w:firstLine="420" w:firstLineChars="200"/>
        <w:rPr>
          <w:rStyle w:val="86"/>
          <w:rFonts w:hint="eastAsia" w:ascii="宋体" w:hAnsi="宋体"/>
          <w:b/>
          <w:bCs/>
          <w:highlight w:val="none"/>
          <w:u w:val="single"/>
        </w:rPr>
      </w:pPr>
      <w:r>
        <w:rPr>
          <w:rStyle w:val="86"/>
          <w:rFonts w:hint="eastAsia" w:ascii="宋体" w:hAnsi="宋体"/>
          <w:highlight w:val="none"/>
        </w:rPr>
        <w:t>1.1.3.5 单位/区段工程的范围：</w:t>
      </w:r>
      <w:r>
        <w:rPr>
          <w:rStyle w:val="86"/>
          <w:rFonts w:hint="eastAsia" w:ascii="宋体" w:hAnsi="宋体"/>
          <w:b/>
          <w:bCs/>
          <w:highlight w:val="none"/>
          <w:u w:val="single"/>
        </w:rPr>
        <w:t>经审查通过的全部施工图范围内竣工投入使用的施工图设计、施工总承包项目全部明细 。</w:t>
      </w:r>
    </w:p>
    <w:p w14:paraId="73B51B2C">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1.1.3.9 作为施工场所组成部分的其他场所包括：</w:t>
      </w:r>
      <w:r>
        <w:rPr>
          <w:rStyle w:val="86"/>
          <w:rFonts w:hint="eastAsia" w:ascii="宋体" w:hAnsi="宋体"/>
          <w:highlight w:val="none"/>
          <w:u w:val="single"/>
        </w:rPr>
        <w:t xml:space="preserve"> </w:t>
      </w:r>
      <w:r>
        <w:rPr>
          <w:rStyle w:val="86"/>
          <w:rFonts w:hint="eastAsia" w:ascii="宋体" w:hAnsi="宋体"/>
          <w:b/>
          <w:bCs/>
          <w:highlight w:val="none"/>
          <w:u w:val="single"/>
        </w:rPr>
        <w:t xml:space="preserve">由承包人自行负责实施和恢复。 </w:t>
      </w:r>
    </w:p>
    <w:p w14:paraId="10EB48C8">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1.1.3.10 永久占地包括：</w:t>
      </w:r>
      <w:r>
        <w:rPr>
          <w:rStyle w:val="86"/>
          <w:rFonts w:hint="eastAsia" w:ascii="宋体" w:hAnsi="宋体"/>
          <w:b/>
          <w:bCs/>
          <w:highlight w:val="none"/>
          <w:u w:val="single"/>
        </w:rPr>
        <w:t>施工图设计范围内建成的全部永久使用的工程所占用的土地。</w:t>
      </w:r>
    </w:p>
    <w:p w14:paraId="4C6F93E4">
      <w:pPr>
        <w:pStyle w:val="84"/>
        <w:autoSpaceDE w:val="0"/>
        <w:spacing w:line="460" w:lineRule="exact"/>
        <w:ind w:firstLine="420" w:firstLineChars="200"/>
        <w:rPr>
          <w:rStyle w:val="86"/>
          <w:rFonts w:hint="eastAsia" w:ascii="宋体" w:hAnsi="宋体"/>
          <w:b/>
          <w:bCs/>
          <w:highlight w:val="none"/>
          <w:u w:val="single"/>
        </w:rPr>
      </w:pPr>
      <w:r>
        <w:rPr>
          <w:rStyle w:val="86"/>
          <w:rFonts w:hint="eastAsia" w:ascii="宋体" w:hAnsi="宋体"/>
          <w:highlight w:val="none"/>
        </w:rPr>
        <w:t>1.1.3.11 临时占地包括：</w:t>
      </w:r>
      <w:r>
        <w:rPr>
          <w:rStyle w:val="86"/>
          <w:rFonts w:hint="eastAsia" w:ascii="宋体" w:hAnsi="宋体"/>
          <w:b/>
          <w:bCs/>
          <w:highlight w:val="none"/>
          <w:u w:val="single"/>
        </w:rPr>
        <w:t>根据投标文件及现场实际情况确定，由承包人自行协调。</w:t>
      </w:r>
    </w:p>
    <w:p w14:paraId="74074177">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1.1.3.12 承包人应综合考虑下列风险： </w:t>
      </w:r>
    </w:p>
    <w:p w14:paraId="1F60C85A">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承包人投标时考虑的措施费与施工时实际发生的一切措施费用差异的风险，包括项目实施过程中为保证按时完工需采用夜间施工、冬雨季施工、临时围挡多次搭拆、安全通道多次搭拆、多次搭拆临时安全防护措施、材料多次转运、周边商家及住户纠纷解决等措施及赶工等的风险； </w:t>
      </w:r>
    </w:p>
    <w:p w14:paraId="6FE939C4">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2</w:t>
      </w:r>
      <w:r>
        <w:rPr>
          <w:rStyle w:val="86"/>
          <w:rFonts w:hint="eastAsia" w:ascii="宋体" w:hAnsi="宋体"/>
          <w:b/>
          <w:bCs/>
          <w:highlight w:val="none"/>
          <w:u w:val="single"/>
        </w:rPr>
        <w:t xml:space="preserve">）因发包人给定的定额人工费与承包人实际发生或计算测定的定额人工费之间的差异风险； </w:t>
      </w:r>
    </w:p>
    <w:p w14:paraId="15537A84">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3</w:t>
      </w:r>
      <w:r>
        <w:rPr>
          <w:rStyle w:val="86"/>
          <w:rFonts w:hint="eastAsia" w:ascii="宋体" w:hAnsi="宋体"/>
          <w:b/>
          <w:bCs/>
          <w:highlight w:val="none"/>
          <w:u w:val="single"/>
        </w:rPr>
        <w:t xml:space="preserve">）机械费价格变化风险； </w:t>
      </w:r>
    </w:p>
    <w:p w14:paraId="786EDF80">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4</w:t>
      </w:r>
      <w:r>
        <w:rPr>
          <w:rStyle w:val="86"/>
          <w:rFonts w:hint="eastAsia" w:ascii="宋体" w:hAnsi="宋体"/>
          <w:b/>
          <w:bCs/>
          <w:highlight w:val="none"/>
          <w:u w:val="single"/>
        </w:rPr>
        <w:t>）项目实施过程中建渣、淤泥、污泥、垃圾、土方等的外运及处置风险；</w:t>
      </w:r>
    </w:p>
    <w:p w14:paraId="5A6FBDEE">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5</w:t>
      </w:r>
      <w:r>
        <w:rPr>
          <w:rStyle w:val="86"/>
          <w:rFonts w:hint="eastAsia" w:ascii="宋体" w:hAnsi="宋体"/>
          <w:b/>
          <w:bCs/>
          <w:highlight w:val="none"/>
          <w:u w:val="single"/>
        </w:rPr>
        <w:t xml:space="preserve">）施工图设计文件（含变更、修改、重复审查）通过施工图审查的风险； </w:t>
      </w:r>
    </w:p>
    <w:p w14:paraId="1389D59E">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6</w:t>
      </w:r>
      <w:r>
        <w:rPr>
          <w:rStyle w:val="86"/>
          <w:rFonts w:hint="eastAsia" w:ascii="宋体" w:hAnsi="宋体"/>
          <w:b/>
          <w:bCs/>
          <w:highlight w:val="none"/>
          <w:u w:val="single"/>
        </w:rPr>
        <w:t xml:space="preserve">）在工程实施过程中，非发包人原因导致的拆除及相关工作造成的对既有建筑物修补（包括重复修补）的风险； </w:t>
      </w:r>
    </w:p>
    <w:p w14:paraId="518501F3">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7</w:t>
      </w:r>
      <w:r>
        <w:rPr>
          <w:rStyle w:val="86"/>
          <w:rFonts w:hint="eastAsia" w:ascii="宋体" w:hAnsi="宋体"/>
          <w:b/>
          <w:bCs/>
          <w:highlight w:val="none"/>
          <w:u w:val="single"/>
        </w:rPr>
        <w:t xml:space="preserve">）承包人已经充分了解施工现场所能提供的施工、作业面、地下管线可能造成的工作难度、以及周边建、构筑物、外电线路对施工现场有可能形成的安全措施保护和需提供的必要通道等，由承包人自行勘查核实后再进场施工，由此产生费用承包人在投标报价时已综合考虑并承担一切风险。 </w:t>
      </w:r>
    </w:p>
    <w:p w14:paraId="37B09AA0">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8</w:t>
      </w:r>
      <w:r>
        <w:rPr>
          <w:rStyle w:val="86"/>
          <w:rFonts w:hint="eastAsia" w:ascii="宋体" w:hAnsi="宋体"/>
          <w:b/>
          <w:bCs/>
          <w:highlight w:val="none"/>
          <w:u w:val="single"/>
        </w:rPr>
        <w:t xml:space="preserve">）在工程实施过程中，非发包人原因（包括但不限于因环保、疫情、政府政策等原因）导致的工程停工、窝工、延期、缓建等的风险，发包人不另支付费用。 </w:t>
      </w:r>
    </w:p>
    <w:p w14:paraId="514F2D3F">
      <w:pPr>
        <w:pStyle w:val="84"/>
        <w:autoSpaceDE w:val="0"/>
        <w:spacing w:line="460" w:lineRule="exact"/>
        <w:ind w:firstLine="422" w:firstLineChars="200"/>
        <w:rPr>
          <w:rStyle w:val="86"/>
          <w:rFonts w:hint="eastAsia" w:ascii="宋体" w:hAnsi="宋体"/>
          <w:b/>
          <w:bCs/>
          <w:highlight w:val="none"/>
          <w:u w:val="single"/>
        </w:rPr>
      </w:pPr>
      <w:r>
        <w:rPr>
          <w:rStyle w:val="86"/>
          <w:rFonts w:hint="eastAsia" w:ascii="宋体" w:hAnsi="宋体"/>
          <w:b/>
          <w:bCs/>
          <w:highlight w:val="none"/>
          <w:u w:val="single"/>
        </w:rPr>
        <w:t>(</w:t>
      </w:r>
      <w:r>
        <w:rPr>
          <w:rStyle w:val="86"/>
          <w:rFonts w:hint="eastAsia" w:ascii="宋体" w:hAnsi="宋体"/>
          <w:b/>
          <w:bCs/>
          <w:highlight w:val="none"/>
          <w:u w:val="single"/>
          <w:lang w:val="en-US" w:eastAsia="zh-CN"/>
        </w:rPr>
        <w:t>9</w:t>
      </w:r>
      <w:r>
        <w:rPr>
          <w:rStyle w:val="86"/>
          <w:rFonts w:hint="eastAsia" w:ascii="宋体" w:hAnsi="宋体"/>
          <w:b/>
          <w:bCs/>
          <w:highlight w:val="none"/>
          <w:u w:val="single"/>
        </w:rPr>
        <w:t>)因生态环境保护、土地报征、现场地质条件或其他因素导致项目无法推进实施的，甲方可停止项目实施，与乙方解除合同，不计息退还履约保证金，不承担乙方相关损失。</w:t>
      </w:r>
    </w:p>
    <w:p w14:paraId="748FA2C9">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1.2 语言文字</w:t>
      </w:r>
    </w:p>
    <w:p w14:paraId="44B07C9B">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本合同除使用汉语外，还使用</w:t>
      </w:r>
      <w:r>
        <w:rPr>
          <w:rStyle w:val="86"/>
          <w:rFonts w:hint="eastAsia" w:ascii="宋体" w:hAnsi="宋体"/>
          <w:highlight w:val="none"/>
          <w:u w:val="single"/>
        </w:rPr>
        <w:t xml:space="preserve">         /       </w:t>
      </w:r>
      <w:r>
        <w:rPr>
          <w:rStyle w:val="86"/>
          <w:rFonts w:hint="eastAsia" w:ascii="宋体" w:hAnsi="宋体"/>
          <w:highlight w:val="none"/>
        </w:rPr>
        <w:t>语言。</w:t>
      </w:r>
    </w:p>
    <w:p w14:paraId="31AADB64">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1.3 法律</w:t>
      </w:r>
    </w:p>
    <w:p w14:paraId="7E37A4DF">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适用于合同的其他规范性文件：</w:t>
      </w:r>
      <w:r>
        <w:rPr>
          <w:rStyle w:val="86"/>
          <w:rFonts w:hint="eastAsia" w:ascii="宋体" w:hAnsi="宋体"/>
          <w:b/>
          <w:highlight w:val="none"/>
          <w:u w:val="single"/>
        </w:rPr>
        <w:t>《中华人民共和国建筑法》、 《中华人民共和国招投标法实施条例》、《中华人民共和国民法典》、建筑工程建设现行相关法律法规及本工程所在地方的行政法规、地方性法规等。</w:t>
      </w:r>
    </w:p>
    <w:p w14:paraId="6B8F02C1">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1.4 标准和规范</w:t>
      </w:r>
    </w:p>
    <w:p w14:paraId="48E43213">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1.4.1 适用于本合同的标准、规范（名称）包括：</w:t>
      </w:r>
      <w:r>
        <w:rPr>
          <w:rStyle w:val="86"/>
          <w:rFonts w:hint="eastAsia" w:ascii="宋体" w:hAnsi="宋体"/>
          <w:highlight w:val="none"/>
          <w:u w:val="single"/>
        </w:rPr>
        <w:t xml:space="preserve"> </w:t>
      </w:r>
      <w:r>
        <w:rPr>
          <w:rStyle w:val="86"/>
          <w:rFonts w:hint="eastAsia" w:ascii="宋体" w:hAnsi="宋体"/>
          <w:b/>
          <w:highlight w:val="none"/>
          <w:u w:val="single"/>
        </w:rPr>
        <w:t>执行现行中华人民共和国以及省、 自 治区、直辖市或行业的工程建设标准、规范的要求，本工程所在地方的标准规范的要求。有最新替代标准规范的，优先执行最新标准或规范。</w:t>
      </w:r>
    </w:p>
    <w:p w14:paraId="7D9185DA">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1.4.2 发包人提供的国外标准、规范的名称：</w:t>
      </w:r>
      <w:r>
        <w:rPr>
          <w:rStyle w:val="86"/>
          <w:rFonts w:hint="eastAsia" w:ascii="宋体" w:hAnsi="宋体"/>
          <w:highlight w:val="none"/>
          <w:u w:val="single"/>
        </w:rPr>
        <w:t xml:space="preserve">  无   </w:t>
      </w:r>
      <w:r>
        <w:rPr>
          <w:rStyle w:val="86"/>
          <w:rFonts w:hint="eastAsia" w:ascii="宋体" w:hAnsi="宋体"/>
          <w:highlight w:val="none"/>
        </w:rPr>
        <w:t>；发包人提供的国外标准、规范的份数：</w:t>
      </w:r>
      <w:r>
        <w:rPr>
          <w:rStyle w:val="86"/>
          <w:rFonts w:hint="eastAsia" w:ascii="宋体" w:hAnsi="宋体"/>
          <w:highlight w:val="none"/>
          <w:u w:val="single"/>
        </w:rPr>
        <w:t xml:space="preserve">     无    </w:t>
      </w:r>
      <w:r>
        <w:rPr>
          <w:rStyle w:val="86"/>
          <w:rFonts w:hint="eastAsia" w:ascii="宋体" w:hAnsi="宋体"/>
          <w:highlight w:val="none"/>
        </w:rPr>
        <w:t>；发包人提供的国外标准、规范的时间：</w:t>
      </w:r>
      <w:r>
        <w:rPr>
          <w:rStyle w:val="86"/>
          <w:rFonts w:hint="eastAsia" w:ascii="宋体" w:hAnsi="宋体"/>
          <w:highlight w:val="none"/>
          <w:u w:val="single"/>
        </w:rPr>
        <w:t xml:space="preserve">     无       </w:t>
      </w:r>
      <w:r>
        <w:rPr>
          <w:rStyle w:val="86"/>
          <w:rFonts w:hint="eastAsia" w:ascii="宋体" w:hAnsi="宋体"/>
          <w:highlight w:val="none"/>
        </w:rPr>
        <w:t>。</w:t>
      </w:r>
    </w:p>
    <w:p w14:paraId="6544A6F2">
      <w:pPr>
        <w:pStyle w:val="84"/>
        <w:autoSpaceDE w:val="0"/>
        <w:spacing w:line="460" w:lineRule="exact"/>
        <w:ind w:firstLine="420" w:firstLineChars="200"/>
        <w:rPr>
          <w:rStyle w:val="86"/>
          <w:rFonts w:ascii="宋体" w:hAnsi="宋体"/>
          <w:highlight w:val="none"/>
        </w:rPr>
      </w:pPr>
      <w:r>
        <w:rPr>
          <w:rStyle w:val="86"/>
          <w:rFonts w:hint="eastAsia" w:ascii="宋体" w:hAnsi="宋体"/>
          <w:highlight w:val="none"/>
        </w:rPr>
        <w:t>1.4.3 没有成文规范、标准规定的约定：</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3CB2523F">
      <w:pPr>
        <w:pStyle w:val="84"/>
        <w:autoSpaceDE w:val="0"/>
        <w:spacing w:line="460" w:lineRule="exact"/>
        <w:ind w:firstLine="420" w:firstLineChars="200"/>
        <w:rPr>
          <w:rStyle w:val="86"/>
          <w:rFonts w:hint="eastAsia" w:ascii="宋体" w:hAnsi="宋体"/>
          <w:b/>
          <w:bCs/>
          <w:highlight w:val="none"/>
          <w:u w:val="single"/>
        </w:rPr>
      </w:pPr>
      <w:r>
        <w:rPr>
          <w:rStyle w:val="86"/>
          <w:rFonts w:hint="eastAsia" w:ascii="宋体" w:hAnsi="宋体"/>
          <w:highlight w:val="none"/>
        </w:rPr>
        <w:t>1.4.4 发包人对于工程的技术标准、功能要求：</w:t>
      </w:r>
      <w:r>
        <w:rPr>
          <w:rStyle w:val="86"/>
          <w:rFonts w:hint="eastAsia" w:ascii="宋体" w:hAnsi="宋体"/>
          <w:highlight w:val="none"/>
          <w:u w:val="single"/>
        </w:rPr>
        <w:t xml:space="preserve"> </w:t>
      </w:r>
      <w:r>
        <w:rPr>
          <w:rStyle w:val="86"/>
          <w:rFonts w:hint="eastAsia" w:ascii="宋体" w:hAnsi="宋体"/>
          <w:b/>
          <w:bCs/>
          <w:highlight w:val="none"/>
          <w:u w:val="single"/>
        </w:rPr>
        <w:t>按照国家、省、市、行业技术规范、 标准、规程及发包人要求，达到合同文件要求</w:t>
      </w:r>
    </w:p>
    <w:p w14:paraId="1A9109C0">
      <w:pPr>
        <w:pStyle w:val="84"/>
        <w:autoSpaceDE w:val="0"/>
        <w:spacing w:line="460" w:lineRule="exact"/>
        <w:ind w:firstLine="420" w:firstLineChars="200"/>
        <w:rPr>
          <w:rStyle w:val="86"/>
          <w:rFonts w:hint="eastAsia" w:ascii="宋体" w:hAnsi="宋体"/>
          <w:highlight w:val="none"/>
        </w:rPr>
      </w:pPr>
      <w:r>
        <w:rPr>
          <w:rStyle w:val="86"/>
          <w:rFonts w:hint="eastAsia" w:ascii="宋体" w:hAnsi="宋体"/>
          <w:highlight w:val="none"/>
        </w:rPr>
        <w:t>1.5 合同文件的优先顺序</w:t>
      </w:r>
    </w:p>
    <w:p w14:paraId="1B306A7B">
      <w:pPr>
        <w:pStyle w:val="84"/>
        <w:autoSpaceDE w:val="0"/>
        <w:spacing w:line="460" w:lineRule="exact"/>
        <w:ind w:firstLine="420" w:firstLineChars="200"/>
        <w:rPr>
          <w:rStyle w:val="86"/>
          <w:rFonts w:hint="eastAsia" w:ascii="宋体" w:hAnsi="宋体"/>
          <w:b/>
          <w:bCs/>
          <w:highlight w:val="none"/>
          <w:u w:val="single"/>
        </w:rPr>
      </w:pPr>
      <w:r>
        <w:rPr>
          <w:rStyle w:val="86"/>
          <w:rFonts w:hint="eastAsia" w:ascii="宋体" w:hAnsi="宋体"/>
          <w:highlight w:val="none"/>
        </w:rPr>
        <w:t>合同文件组成及优先顺序为：</w:t>
      </w:r>
      <w:r>
        <w:rPr>
          <w:rStyle w:val="86"/>
          <w:rFonts w:hint="eastAsia" w:ascii="宋体" w:hAnsi="宋体"/>
          <w:highlight w:val="none"/>
          <w:u w:val="single"/>
        </w:rPr>
        <w:t xml:space="preserve">     </w:t>
      </w:r>
      <w:r>
        <w:rPr>
          <w:rStyle w:val="86"/>
          <w:rFonts w:hint="eastAsia" w:ascii="宋体" w:hAnsi="宋体"/>
          <w:b/>
          <w:bCs/>
          <w:highlight w:val="none"/>
        </w:rPr>
        <w:t>。</w:t>
      </w:r>
    </w:p>
    <w:p w14:paraId="74E2DA8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 文件的提供和照管</w:t>
      </w:r>
    </w:p>
    <w:p w14:paraId="4C4C6BA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1.6.1 发包人文件的提供</w:t>
      </w:r>
    </w:p>
    <w:p w14:paraId="0CBAB81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发包人文件的提供期限、名称、数量和形式：</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5FE8DA4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1.6.2 承包人文件的提供</w:t>
      </w:r>
    </w:p>
    <w:p w14:paraId="6118F82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承包人文件的内容、提供期限、名称、数量和形式：</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323625A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1.6.4 文件的照管</w:t>
      </w:r>
    </w:p>
    <w:p w14:paraId="3333703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关于现场文件准备的约定：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7579E5F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1.7 联络</w:t>
      </w:r>
    </w:p>
    <w:p w14:paraId="1E00F65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1.7.2 发包人指定的送达方式（包括电子传输方式）：</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229608C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发包人的送达地址：</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4EB9856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承包人指定的送达方式（包括电子传输方式）： </w:t>
      </w:r>
      <w:r>
        <w:rPr>
          <w:rStyle w:val="86"/>
          <w:rFonts w:hint="eastAsia" w:ascii="宋体" w:hAnsi="宋体"/>
          <w:highlight w:val="none"/>
          <w:u w:val="single"/>
        </w:rPr>
        <w:t xml:space="preserve">             </w:t>
      </w:r>
      <w:r>
        <w:rPr>
          <w:rStyle w:val="86"/>
          <w:rFonts w:hint="eastAsia" w:ascii="宋体" w:hAnsi="宋体"/>
          <w:highlight w:val="none"/>
        </w:rPr>
        <w:t>。</w:t>
      </w:r>
    </w:p>
    <w:p w14:paraId="09DC58A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承包人的送达地址：</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24A0E71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1.10 知识产权</w:t>
      </w:r>
    </w:p>
    <w:p w14:paraId="332F062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1.10.1 由发包人（或以发包人名义）编制的《发包人要求》和其他文件的著作权归属：</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126C0F3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1.10.2 由承包人（或以承包人名义）为实施工程所编制的文件、承包人完成的设计工作成果和建造完成的建筑物的知识产权归属：</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归属于发包人（除署名权外）</w:t>
      </w:r>
      <w:r>
        <w:rPr>
          <w:rStyle w:val="86"/>
          <w:rFonts w:hint="eastAsia" w:ascii="宋体" w:hAnsi="宋体"/>
          <w:highlight w:val="none"/>
          <w:u w:val="single"/>
        </w:rPr>
        <w:t xml:space="preserve">  </w:t>
      </w:r>
      <w:r>
        <w:rPr>
          <w:rStyle w:val="86"/>
          <w:rFonts w:hint="eastAsia" w:ascii="宋体" w:hAnsi="宋体"/>
          <w:highlight w:val="none"/>
        </w:rPr>
        <w:t>。</w:t>
      </w:r>
    </w:p>
    <w:p w14:paraId="6599919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1.10.4 承包人在投标文件中采用的专利、专有技术、技术秘密的使用费的承担方式</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1E9A79F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1.11 保密</w:t>
      </w:r>
    </w:p>
    <w:p w14:paraId="192B776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双方订立的商业保密协议（名称）：</w:t>
      </w:r>
      <w:r>
        <w:rPr>
          <w:rStyle w:val="86"/>
          <w:rFonts w:hint="eastAsia" w:ascii="宋体" w:hAnsi="宋体"/>
          <w:highlight w:val="none"/>
          <w:u w:val="single"/>
        </w:rPr>
        <w:t xml:space="preserve">       /       </w:t>
      </w:r>
      <w:r>
        <w:rPr>
          <w:rStyle w:val="86"/>
          <w:rFonts w:hint="eastAsia" w:ascii="宋体" w:hAnsi="宋体"/>
          <w:highlight w:val="none"/>
        </w:rPr>
        <w:t>，作为本合同附件。</w:t>
      </w:r>
    </w:p>
    <w:p w14:paraId="2912699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双方订立的技术保密协议（名称）：</w:t>
      </w:r>
      <w:r>
        <w:rPr>
          <w:rStyle w:val="86"/>
          <w:rFonts w:hint="eastAsia" w:ascii="宋体" w:hAnsi="宋体"/>
          <w:highlight w:val="none"/>
          <w:u w:val="single"/>
        </w:rPr>
        <w:t xml:space="preserve">       /      </w:t>
      </w:r>
      <w:r>
        <w:rPr>
          <w:rStyle w:val="86"/>
          <w:rFonts w:hint="eastAsia" w:ascii="宋体" w:hAnsi="宋体"/>
          <w:highlight w:val="none"/>
        </w:rPr>
        <w:t>，作为本合同附件。</w:t>
      </w:r>
    </w:p>
    <w:p w14:paraId="61C1089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1.13 责任限制</w:t>
      </w:r>
    </w:p>
    <w:p w14:paraId="70B95A29">
      <w:pPr>
        <w:pStyle w:val="84"/>
        <w:spacing w:line="360" w:lineRule="auto"/>
        <w:ind w:firstLine="420" w:firstLineChars="200"/>
        <w:rPr>
          <w:rStyle w:val="86"/>
          <w:rFonts w:hint="eastAsia" w:ascii="宋体" w:hAnsi="宋体"/>
          <w:b/>
          <w:bCs/>
          <w:highlight w:val="none"/>
          <w:u w:val="single"/>
        </w:rPr>
      </w:pPr>
      <w:r>
        <w:rPr>
          <w:rStyle w:val="86"/>
          <w:rFonts w:hint="eastAsia" w:ascii="宋体" w:hAnsi="宋体"/>
          <w:highlight w:val="none"/>
        </w:rPr>
        <w:t>承包人对发包人赔偿责任的最高限额为</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 。</w:t>
      </w:r>
    </w:p>
    <w:p w14:paraId="01B8CA8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1.14 建筑信息模型技术的应用</w:t>
      </w:r>
    </w:p>
    <w:p w14:paraId="75E729E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关于建筑信息模型技术的开发、使用、存储、传输、交付及费用约定如下：</w:t>
      </w:r>
      <w:r>
        <w:rPr>
          <w:rStyle w:val="86"/>
          <w:rFonts w:hint="eastAsia" w:ascii="宋体" w:hAnsi="宋体"/>
          <w:highlight w:val="none"/>
          <w:u w:val="single"/>
        </w:rPr>
        <w:t xml:space="preserve"> </w:t>
      </w:r>
      <w:r>
        <w:rPr>
          <w:rStyle w:val="86"/>
          <w:rFonts w:hint="eastAsia" w:ascii="宋体" w:hAnsi="宋体"/>
          <w:b/>
          <w:bCs/>
          <w:highlight w:val="none"/>
          <w:u w:val="single"/>
        </w:rPr>
        <w:t>包含在合同价中不再另行支付</w:t>
      </w:r>
      <w:r>
        <w:rPr>
          <w:rStyle w:val="86"/>
          <w:rFonts w:hint="eastAsia" w:ascii="宋体" w:hAnsi="宋体"/>
          <w:highlight w:val="none"/>
          <w:u w:val="single"/>
        </w:rPr>
        <w:t xml:space="preserve"> </w:t>
      </w:r>
      <w:r>
        <w:rPr>
          <w:rStyle w:val="86"/>
          <w:rFonts w:hint="eastAsia" w:ascii="宋体" w:hAnsi="宋体"/>
          <w:highlight w:val="none"/>
        </w:rPr>
        <w:t>。</w:t>
      </w:r>
    </w:p>
    <w:p w14:paraId="07688286">
      <w:pPr>
        <w:pStyle w:val="84"/>
        <w:spacing w:before="260" w:after="260" w:line="360" w:lineRule="auto"/>
        <w:ind w:firstLine="422" w:firstLineChars="200"/>
        <w:outlineLvl w:val="1"/>
        <w:rPr>
          <w:rStyle w:val="86"/>
          <w:rFonts w:hint="eastAsia" w:ascii="宋体" w:hAnsi="宋体"/>
          <w:b/>
          <w:highlight w:val="none"/>
        </w:rPr>
      </w:pPr>
      <w:r>
        <w:rPr>
          <w:rStyle w:val="86"/>
          <w:rFonts w:hint="eastAsia" w:ascii="宋体" w:hAnsi="宋体"/>
          <w:b/>
          <w:highlight w:val="none"/>
        </w:rPr>
        <w:t>第2条 发包人</w:t>
      </w:r>
    </w:p>
    <w:p w14:paraId="2EC080E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2.2 提供施工现场和工作条件</w:t>
      </w:r>
    </w:p>
    <w:p w14:paraId="2B021FD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2.2.1 提供施工现场</w:t>
      </w:r>
    </w:p>
    <w:p w14:paraId="77AAD0C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关于发包人提供施工现场的范围和期限：</w:t>
      </w:r>
      <w:r>
        <w:rPr>
          <w:rStyle w:val="86"/>
          <w:rFonts w:hint="eastAsia" w:ascii="宋体" w:hAnsi="宋体"/>
          <w:highlight w:val="none"/>
          <w:u w:val="single"/>
        </w:rPr>
        <w:t xml:space="preserve">           </w:t>
      </w:r>
      <w:r>
        <w:rPr>
          <w:rStyle w:val="86"/>
          <w:rFonts w:hint="eastAsia" w:ascii="宋体" w:hAnsi="宋体"/>
          <w:highlight w:val="none"/>
        </w:rPr>
        <w:t>。</w:t>
      </w:r>
    </w:p>
    <w:p w14:paraId="3622ECE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2.2.2 提供工作条件</w:t>
      </w:r>
    </w:p>
    <w:p w14:paraId="18C971A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关于发包人应负责提供的工作条件包括：</w:t>
      </w:r>
      <w:r>
        <w:rPr>
          <w:rStyle w:val="86"/>
          <w:rFonts w:hint="eastAsia" w:ascii="宋体" w:hAnsi="宋体"/>
          <w:highlight w:val="none"/>
          <w:u w:val="single"/>
        </w:rPr>
        <w:t xml:space="preserve">           </w:t>
      </w:r>
      <w:r>
        <w:rPr>
          <w:rStyle w:val="86"/>
          <w:rFonts w:hint="eastAsia" w:ascii="宋体" w:hAnsi="宋体"/>
          <w:highlight w:val="none"/>
        </w:rPr>
        <w:t>。</w:t>
      </w:r>
    </w:p>
    <w:p w14:paraId="5F25C77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2.3 提供基础资料</w:t>
      </w:r>
    </w:p>
    <w:p w14:paraId="547F53A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关于发包人应提供的基础资料的范围和期限：</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16BBC20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2.4.2</w:t>
      </w:r>
      <w:r>
        <w:rPr>
          <w:rStyle w:val="86"/>
          <w:rFonts w:hint="eastAsia" w:ascii="宋体" w:hAnsi="宋体"/>
          <w:b/>
          <w:bCs/>
          <w:highlight w:val="none"/>
          <w:u w:val="single"/>
        </w:rPr>
        <w:t>因发包人原因未能及时办理完毕前述许可、批准或备案，由发包人承担延误的工期。</w:t>
      </w:r>
    </w:p>
    <w:p w14:paraId="21F8D39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2.5 支付合同价款</w:t>
      </w:r>
    </w:p>
    <w:p w14:paraId="0048A4C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2.5.2 发包人提供资金来源证明及资金安排的期限要求：</w:t>
      </w:r>
      <w:r>
        <w:rPr>
          <w:rStyle w:val="86"/>
          <w:rFonts w:hint="eastAsia" w:ascii="宋体" w:hAnsi="宋体"/>
          <w:highlight w:val="none"/>
          <w:u w:val="single"/>
        </w:rPr>
        <w:t xml:space="preserve">  </w:t>
      </w:r>
      <w:r>
        <w:rPr>
          <w:rStyle w:val="86"/>
          <w:rFonts w:hint="eastAsia" w:ascii="宋体" w:hAnsi="宋体"/>
          <w:b/>
          <w:bCs/>
          <w:highlight w:val="none"/>
          <w:u w:val="single"/>
        </w:rPr>
        <w:t>/</w:t>
      </w:r>
      <w:r>
        <w:rPr>
          <w:rStyle w:val="86"/>
          <w:rFonts w:hint="eastAsia" w:ascii="宋体" w:hAnsi="宋体"/>
          <w:highlight w:val="none"/>
          <w:u w:val="single"/>
        </w:rPr>
        <w:t xml:space="preserve">   </w:t>
      </w:r>
      <w:r>
        <w:rPr>
          <w:rStyle w:val="86"/>
          <w:rFonts w:hint="eastAsia" w:ascii="宋体" w:hAnsi="宋体"/>
          <w:highlight w:val="none"/>
        </w:rPr>
        <w:t>。</w:t>
      </w:r>
    </w:p>
    <w:p w14:paraId="2F81464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2.5.3 发包人提供支付担保的形式、期限、金额（或比例）：</w:t>
      </w:r>
      <w:r>
        <w:rPr>
          <w:rStyle w:val="86"/>
          <w:rFonts w:hint="eastAsia" w:ascii="宋体" w:hAnsi="宋体"/>
          <w:highlight w:val="none"/>
          <w:u w:val="single"/>
        </w:rPr>
        <w:t xml:space="preserve">      </w:t>
      </w:r>
      <w:r>
        <w:rPr>
          <w:rStyle w:val="86"/>
          <w:rFonts w:hint="eastAsia" w:ascii="宋体" w:hAnsi="宋体"/>
          <w:highlight w:val="none"/>
        </w:rPr>
        <w:t>。</w:t>
      </w:r>
    </w:p>
    <w:p w14:paraId="4840839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2.7 其他义务</w:t>
      </w:r>
    </w:p>
    <w:p w14:paraId="63A14A2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发包人应履行的其他义务：</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     </w:t>
      </w:r>
      <w:r>
        <w:rPr>
          <w:rStyle w:val="86"/>
          <w:rFonts w:hint="eastAsia" w:ascii="宋体" w:hAnsi="宋体"/>
          <w:highlight w:val="none"/>
          <w:u w:val="single"/>
        </w:rPr>
        <w:t xml:space="preserve">    </w:t>
      </w:r>
      <w:r>
        <w:rPr>
          <w:rStyle w:val="86"/>
          <w:rFonts w:hint="eastAsia" w:ascii="宋体" w:hAnsi="宋体"/>
          <w:highlight w:val="none"/>
        </w:rPr>
        <w:t>。</w:t>
      </w:r>
    </w:p>
    <w:p w14:paraId="0FC22480">
      <w:pPr>
        <w:pStyle w:val="84"/>
        <w:spacing w:before="260" w:after="260" w:line="360" w:lineRule="auto"/>
        <w:ind w:firstLine="422" w:firstLineChars="200"/>
        <w:outlineLvl w:val="1"/>
        <w:rPr>
          <w:rStyle w:val="86"/>
          <w:rFonts w:hint="eastAsia" w:ascii="宋体" w:hAnsi="宋体"/>
          <w:b/>
          <w:highlight w:val="none"/>
        </w:rPr>
      </w:pPr>
      <w:r>
        <w:rPr>
          <w:rStyle w:val="86"/>
          <w:rFonts w:hint="eastAsia" w:ascii="宋体" w:hAnsi="宋体"/>
          <w:b/>
          <w:highlight w:val="none"/>
        </w:rPr>
        <w:t>第3条 发包人的管理</w:t>
      </w:r>
    </w:p>
    <w:p w14:paraId="678CB9C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3.1 发包人代表</w:t>
      </w:r>
    </w:p>
    <w:p w14:paraId="07ECBFC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发包人代表的姓名：</w:t>
      </w:r>
      <w:r>
        <w:rPr>
          <w:rStyle w:val="86"/>
          <w:rFonts w:hint="eastAsia" w:ascii="宋体" w:hAnsi="宋体"/>
          <w:highlight w:val="none"/>
          <w:u w:val="single"/>
        </w:rPr>
        <w:t xml:space="preserve">                                 </w:t>
      </w:r>
      <w:r>
        <w:rPr>
          <w:rStyle w:val="86"/>
          <w:rFonts w:hint="eastAsia" w:ascii="宋体" w:hAnsi="宋体"/>
          <w:highlight w:val="none"/>
        </w:rPr>
        <w:t>；</w:t>
      </w:r>
    </w:p>
    <w:p w14:paraId="1B41CB7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发包人代表的身份证号：</w:t>
      </w:r>
      <w:r>
        <w:rPr>
          <w:rStyle w:val="86"/>
          <w:rFonts w:hint="eastAsia" w:ascii="宋体" w:hAnsi="宋体"/>
          <w:highlight w:val="none"/>
          <w:u w:val="single"/>
        </w:rPr>
        <w:t xml:space="preserve">                             </w:t>
      </w:r>
      <w:r>
        <w:rPr>
          <w:rStyle w:val="86"/>
          <w:rFonts w:hint="eastAsia" w:ascii="宋体" w:hAnsi="宋体"/>
          <w:highlight w:val="none"/>
        </w:rPr>
        <w:t>；</w:t>
      </w:r>
    </w:p>
    <w:p w14:paraId="57CECC9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发包人代表的职务：</w:t>
      </w:r>
      <w:r>
        <w:rPr>
          <w:rStyle w:val="86"/>
          <w:rFonts w:hint="eastAsia" w:ascii="宋体" w:hAnsi="宋体"/>
          <w:highlight w:val="none"/>
          <w:u w:val="single"/>
        </w:rPr>
        <w:t xml:space="preserve">                                 </w:t>
      </w:r>
      <w:r>
        <w:rPr>
          <w:rStyle w:val="86"/>
          <w:rFonts w:hint="eastAsia" w:ascii="宋体" w:hAnsi="宋体"/>
          <w:highlight w:val="none"/>
        </w:rPr>
        <w:t>；</w:t>
      </w:r>
    </w:p>
    <w:p w14:paraId="4D4FB45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发包人代表的联系电话：</w:t>
      </w:r>
      <w:r>
        <w:rPr>
          <w:rStyle w:val="86"/>
          <w:rFonts w:hint="eastAsia" w:ascii="宋体" w:hAnsi="宋体"/>
          <w:highlight w:val="none"/>
          <w:u w:val="single"/>
        </w:rPr>
        <w:t xml:space="preserve">                            </w:t>
      </w:r>
      <w:r>
        <w:rPr>
          <w:rStyle w:val="86"/>
          <w:rFonts w:hint="eastAsia" w:ascii="宋体" w:hAnsi="宋体"/>
          <w:highlight w:val="none"/>
        </w:rPr>
        <w:t>；</w:t>
      </w:r>
    </w:p>
    <w:p w14:paraId="3C0B7ED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发包人代表的电子邮箱：</w:t>
      </w:r>
      <w:r>
        <w:rPr>
          <w:rStyle w:val="86"/>
          <w:rFonts w:hint="eastAsia" w:ascii="宋体" w:hAnsi="宋体"/>
          <w:highlight w:val="none"/>
          <w:u w:val="single"/>
        </w:rPr>
        <w:t xml:space="preserve">                             </w:t>
      </w:r>
      <w:r>
        <w:rPr>
          <w:rStyle w:val="86"/>
          <w:rFonts w:hint="eastAsia" w:ascii="宋体" w:hAnsi="宋体"/>
          <w:highlight w:val="none"/>
        </w:rPr>
        <w:t>；</w:t>
      </w:r>
    </w:p>
    <w:p w14:paraId="7A9E04D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发包人代表的通信地址：</w:t>
      </w:r>
      <w:r>
        <w:rPr>
          <w:rStyle w:val="86"/>
          <w:rFonts w:hint="eastAsia" w:ascii="宋体" w:hAnsi="宋体"/>
          <w:highlight w:val="none"/>
          <w:u w:val="single"/>
        </w:rPr>
        <w:t xml:space="preserve">                             </w:t>
      </w:r>
      <w:r>
        <w:rPr>
          <w:rStyle w:val="86"/>
          <w:rFonts w:hint="eastAsia" w:ascii="宋体" w:hAnsi="宋体"/>
          <w:highlight w:val="none"/>
        </w:rPr>
        <w:t>；</w:t>
      </w:r>
    </w:p>
    <w:p w14:paraId="30003D67">
      <w:pPr>
        <w:pStyle w:val="22"/>
        <w:spacing w:after="100" w:line="360" w:lineRule="auto"/>
        <w:ind w:firstLine="420" w:firstLineChars="200"/>
        <w:rPr>
          <w:rStyle w:val="86"/>
          <w:rFonts w:hint="eastAsia" w:ascii="宋体" w:hAnsi="宋体"/>
          <w:highlight w:val="none"/>
        </w:rPr>
      </w:pPr>
      <w:r>
        <w:rPr>
          <w:rStyle w:val="86"/>
          <w:rFonts w:hint="eastAsia" w:ascii="宋体" w:hAnsi="宋体"/>
          <w:highlight w:val="none"/>
        </w:rPr>
        <w:t>发包人对发包人代表的授权范围如下：</w:t>
      </w:r>
      <w:r>
        <w:rPr>
          <w:rStyle w:val="86"/>
          <w:rFonts w:hint="eastAsia" w:ascii="宋体" w:hAnsi="宋体"/>
          <w:highlight w:val="none"/>
          <w:u w:val="single"/>
        </w:rPr>
        <w:t xml:space="preserve"> </w:t>
      </w:r>
      <w:r>
        <w:rPr>
          <w:rStyle w:val="86"/>
          <w:rFonts w:hint="eastAsia" w:ascii="宋体" w:hAnsi="宋体"/>
          <w:b/>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375D273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3.2 发包人人员</w:t>
      </w:r>
    </w:p>
    <w:p w14:paraId="7F268F2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发包人人员姓名：</w:t>
      </w:r>
      <w:r>
        <w:rPr>
          <w:rStyle w:val="86"/>
          <w:rFonts w:hint="eastAsia" w:ascii="宋体" w:hAnsi="宋体"/>
          <w:highlight w:val="none"/>
          <w:u w:val="single"/>
        </w:rPr>
        <w:t xml:space="preserve">                                   </w:t>
      </w:r>
      <w:r>
        <w:rPr>
          <w:rStyle w:val="86"/>
          <w:rFonts w:hint="eastAsia" w:ascii="宋体" w:hAnsi="宋体"/>
          <w:highlight w:val="none"/>
        </w:rPr>
        <w:t>；</w:t>
      </w:r>
    </w:p>
    <w:p w14:paraId="122D34E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发包人人员职务：</w:t>
      </w:r>
      <w:r>
        <w:rPr>
          <w:rStyle w:val="86"/>
          <w:rFonts w:hint="eastAsia" w:ascii="宋体" w:hAnsi="宋体"/>
          <w:highlight w:val="none"/>
          <w:u w:val="single"/>
        </w:rPr>
        <w:t xml:space="preserve">                                  </w:t>
      </w:r>
      <w:r>
        <w:rPr>
          <w:rStyle w:val="86"/>
          <w:rFonts w:hint="eastAsia" w:ascii="宋体" w:hAnsi="宋体"/>
          <w:highlight w:val="none"/>
        </w:rPr>
        <w:t>；</w:t>
      </w:r>
    </w:p>
    <w:p w14:paraId="0D2D272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发包人人员职责：</w:t>
      </w:r>
      <w:r>
        <w:rPr>
          <w:rStyle w:val="86"/>
          <w:rFonts w:hint="eastAsia" w:ascii="宋体" w:hAnsi="宋体"/>
          <w:highlight w:val="none"/>
          <w:u w:val="single"/>
        </w:rPr>
        <w:t xml:space="preserve">                                  </w:t>
      </w:r>
      <w:r>
        <w:rPr>
          <w:rStyle w:val="86"/>
          <w:rFonts w:hint="eastAsia" w:ascii="宋体" w:hAnsi="宋体"/>
          <w:highlight w:val="none"/>
        </w:rPr>
        <w:t>。</w:t>
      </w:r>
    </w:p>
    <w:p w14:paraId="4870E80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3.3 工程师</w:t>
      </w:r>
    </w:p>
    <w:p w14:paraId="2CB0962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3.3.1 工程师名称：</w:t>
      </w:r>
      <w:r>
        <w:rPr>
          <w:rStyle w:val="86"/>
          <w:rFonts w:hint="eastAsia" w:ascii="宋体" w:hAnsi="宋体"/>
          <w:highlight w:val="none"/>
          <w:u w:val="single"/>
        </w:rPr>
        <w:t xml:space="preserve">          /                </w:t>
      </w:r>
      <w:r>
        <w:rPr>
          <w:rStyle w:val="86"/>
          <w:rFonts w:hint="eastAsia" w:ascii="宋体" w:hAnsi="宋体"/>
          <w:highlight w:val="none"/>
        </w:rPr>
        <w:t>；工程师监督管理范围、内容：</w:t>
      </w:r>
      <w:r>
        <w:rPr>
          <w:rStyle w:val="86"/>
          <w:rFonts w:hint="eastAsia" w:ascii="宋体" w:hAnsi="宋体"/>
          <w:highlight w:val="none"/>
          <w:u w:val="single"/>
        </w:rPr>
        <w:t xml:space="preserve">           /               </w:t>
      </w:r>
      <w:r>
        <w:rPr>
          <w:rStyle w:val="86"/>
          <w:rFonts w:hint="eastAsia" w:ascii="宋体" w:hAnsi="宋体"/>
          <w:highlight w:val="none"/>
        </w:rPr>
        <w:t>；工程师权限：</w:t>
      </w:r>
      <w:r>
        <w:rPr>
          <w:rStyle w:val="86"/>
          <w:rFonts w:hint="eastAsia" w:ascii="宋体" w:hAnsi="宋体"/>
          <w:highlight w:val="none"/>
          <w:u w:val="single"/>
        </w:rPr>
        <w:t xml:space="preserve">        /                    </w:t>
      </w:r>
      <w:r>
        <w:rPr>
          <w:rStyle w:val="86"/>
          <w:rFonts w:hint="eastAsia" w:ascii="宋体" w:hAnsi="宋体"/>
          <w:highlight w:val="none"/>
        </w:rPr>
        <w:t>。</w:t>
      </w:r>
    </w:p>
    <w:p w14:paraId="3184135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3.6 商定或确定</w:t>
      </w:r>
    </w:p>
    <w:p w14:paraId="32F0F11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3.6.2 关于商定时间限制的具体约定：</w:t>
      </w:r>
      <w:r>
        <w:rPr>
          <w:rStyle w:val="86"/>
          <w:rFonts w:hint="eastAsia" w:ascii="宋体" w:hAnsi="宋体"/>
          <w:b/>
          <w:bCs/>
          <w:highlight w:val="none"/>
          <w:u w:val="single"/>
        </w:rPr>
        <w:t xml:space="preserve">      </w:t>
      </w:r>
      <w:r>
        <w:rPr>
          <w:rStyle w:val="86"/>
          <w:rFonts w:hint="eastAsia" w:ascii="宋体" w:hAnsi="宋体"/>
          <w:highlight w:val="none"/>
        </w:rPr>
        <w:t>。</w:t>
      </w:r>
    </w:p>
    <w:p w14:paraId="3BBE090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3.6.3 关于商定或确定效力的具体约定：</w:t>
      </w:r>
      <w:r>
        <w:rPr>
          <w:rStyle w:val="86"/>
          <w:rFonts w:hint="eastAsia" w:ascii="宋体" w:hAnsi="宋体"/>
          <w:b/>
          <w:highlight w:val="none"/>
          <w:u w:val="single"/>
        </w:rPr>
        <w:t>按照发包人与监理方签订的合同，依据监理合同约定的监理期限、权限和有关法律法规及施工现场相关原始施工资料监督施工质量、确认实际施工量， 以及负责整个项目的监理工作</w:t>
      </w:r>
      <w:r>
        <w:rPr>
          <w:rStyle w:val="86"/>
          <w:rFonts w:hint="eastAsia" w:ascii="宋体" w:hAnsi="宋体"/>
          <w:highlight w:val="none"/>
        </w:rPr>
        <w:t>；关于对工程师的确定提出异议的具体约定：</w:t>
      </w:r>
      <w:r>
        <w:rPr>
          <w:rStyle w:val="86"/>
          <w:rFonts w:hint="eastAsia" w:ascii="宋体" w:hAnsi="宋体"/>
          <w:highlight w:val="none"/>
          <w:u w:val="single"/>
        </w:rPr>
        <w:t xml:space="preserve">                 </w:t>
      </w:r>
      <w:r>
        <w:rPr>
          <w:rStyle w:val="86"/>
          <w:rFonts w:hint="eastAsia" w:ascii="宋体" w:hAnsi="宋体"/>
          <w:highlight w:val="none"/>
        </w:rPr>
        <w:t>。</w:t>
      </w:r>
    </w:p>
    <w:p w14:paraId="55F6613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3.7 会议</w:t>
      </w:r>
    </w:p>
    <w:p w14:paraId="3AF7D95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3.7.1 关于召开会议的具体约定：</w:t>
      </w:r>
      <w:r>
        <w:rPr>
          <w:rStyle w:val="86"/>
          <w:rFonts w:hint="eastAsia" w:ascii="宋体" w:hAnsi="宋体"/>
          <w:b/>
          <w:bCs/>
          <w:highlight w:val="none"/>
          <w:u w:val="single"/>
        </w:rPr>
        <w:t xml:space="preserve">      </w:t>
      </w:r>
      <w:r>
        <w:rPr>
          <w:rStyle w:val="86"/>
          <w:rFonts w:hint="eastAsia" w:ascii="宋体" w:hAnsi="宋体"/>
          <w:highlight w:val="none"/>
        </w:rPr>
        <w:t>。</w:t>
      </w:r>
    </w:p>
    <w:p w14:paraId="39C2399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3.7.2 关于保存和提供会议纪要的具体约定：</w:t>
      </w:r>
      <w:r>
        <w:rPr>
          <w:rStyle w:val="86"/>
          <w:rFonts w:hint="eastAsia" w:ascii="宋体" w:hAnsi="宋体"/>
          <w:b/>
          <w:bCs/>
          <w:highlight w:val="none"/>
          <w:u w:val="single"/>
        </w:rPr>
        <w:t xml:space="preserve">       </w:t>
      </w:r>
      <w:r>
        <w:rPr>
          <w:rStyle w:val="86"/>
          <w:rFonts w:hint="eastAsia" w:ascii="宋体" w:hAnsi="宋体"/>
          <w:highlight w:val="none"/>
        </w:rPr>
        <w:t>。</w:t>
      </w:r>
    </w:p>
    <w:p w14:paraId="5DAF7DC7">
      <w:pPr>
        <w:pStyle w:val="84"/>
        <w:spacing w:before="260" w:after="260" w:line="360" w:lineRule="auto"/>
        <w:ind w:firstLine="422" w:firstLineChars="200"/>
        <w:outlineLvl w:val="1"/>
        <w:rPr>
          <w:rStyle w:val="86"/>
          <w:rFonts w:hint="eastAsia" w:ascii="宋体" w:hAnsi="宋体"/>
          <w:b/>
          <w:highlight w:val="none"/>
        </w:rPr>
      </w:pPr>
      <w:r>
        <w:rPr>
          <w:rStyle w:val="86"/>
          <w:rFonts w:hint="eastAsia" w:ascii="宋体" w:hAnsi="宋体"/>
          <w:b/>
          <w:highlight w:val="none"/>
        </w:rPr>
        <w:t>第4条 承包人</w:t>
      </w:r>
    </w:p>
    <w:p w14:paraId="23E973F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4.1 承包人的一般义务</w:t>
      </w:r>
    </w:p>
    <w:p w14:paraId="77DD221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承包人应履行的其他义务：</w:t>
      </w:r>
    </w:p>
    <w:p w14:paraId="458B278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4.1.1承包人应提交的报表类别、名称、内容、报告日期、提交的时间和份数: </w:t>
      </w:r>
    </w:p>
    <w:p w14:paraId="41403D4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（1）承包人在合同约定时间提供施工图预算(含计算式及计算式建模文件)纸质文档及电子文档，承包人配合发包人在</w:t>
      </w:r>
      <w:r>
        <w:rPr>
          <w:rStyle w:val="86"/>
          <w:rFonts w:hint="eastAsia" w:ascii="宋体" w:hAnsi="宋体"/>
          <w:b/>
          <w:bCs/>
          <w:highlight w:val="none"/>
          <w:u w:val="single"/>
          <w:lang w:val="en-US" w:eastAsia="zh-CN"/>
        </w:rPr>
        <w:t>30</w:t>
      </w:r>
      <w:r>
        <w:rPr>
          <w:rStyle w:val="86"/>
          <w:rFonts w:hint="eastAsia" w:ascii="宋体" w:hAnsi="宋体"/>
          <w:b/>
          <w:bCs/>
          <w:highlight w:val="none"/>
          <w:u w:val="single"/>
        </w:rPr>
        <w:t xml:space="preserve">天内完成施工图预算的核对工作。如因承包人不配合等原因导致核对工作滞后的或双方无法就施工图预算事宜达成一致意见的，则以发包人核定的施工图预算为准。 </w:t>
      </w:r>
    </w:p>
    <w:p w14:paraId="640ECD1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（2）承包人提交的施工图预算应按照《建设工程工程量清单计价规范》</w:t>
      </w:r>
      <w:r>
        <w:rPr>
          <w:rStyle w:val="86"/>
          <w:rFonts w:hint="eastAsia" w:ascii="宋体" w:hAnsi="宋体"/>
          <w:b/>
          <w:bCs/>
          <w:highlight w:val="none"/>
          <w:u w:val="single"/>
          <w:lang w:eastAsia="zh-CN"/>
        </w:rPr>
        <w:t>、</w:t>
      </w:r>
      <w:r>
        <w:rPr>
          <w:rStyle w:val="86"/>
          <w:rFonts w:hint="eastAsia" w:ascii="宋体" w:hAnsi="宋体"/>
          <w:b/>
          <w:bCs/>
          <w:highlight w:val="none"/>
          <w:u w:val="single"/>
        </w:rPr>
        <w:t xml:space="preserve">《四川省建设工程工程量清单计价定额》及定额勘误等配套文件中的相关规定及已标价的工程量清单进行编制。其中已标价的工程量清单中没有的按如下方法编制： </w:t>
      </w:r>
    </w:p>
    <w:p w14:paraId="55C99BE1">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①材料耗量按《四川省建设工程工程量清单计价定额》中相应项目规定的材料耗量执行； </w:t>
      </w:r>
    </w:p>
    <w:p w14:paraId="07EE21A2">
      <w:pPr>
        <w:pStyle w:val="84"/>
        <w:spacing w:line="360" w:lineRule="auto"/>
        <w:ind w:firstLine="422" w:firstLineChars="200"/>
        <w:rPr>
          <w:rStyle w:val="86"/>
          <w:rFonts w:hint="eastAsia" w:ascii="宋体" w:hAnsi="宋体"/>
          <w:b/>
          <w:bCs/>
          <w:color w:val="FF0000"/>
          <w:highlight w:val="none"/>
          <w:u w:val="single"/>
        </w:rPr>
      </w:pPr>
      <w:r>
        <w:rPr>
          <w:rStyle w:val="86"/>
          <w:rFonts w:hint="eastAsia" w:ascii="宋体" w:hAnsi="宋体"/>
          <w:b/>
          <w:bCs/>
          <w:highlight w:val="none"/>
          <w:u w:val="single"/>
        </w:rPr>
        <w:t>②材料价格的优先采用顺序为:首先《四川省建设工程造价信息》中的绵阳市信息价为准，其次采用《绵阳市工程造价信息》;最后信息价中没有的或者只有特定品牌价格的可调材料，其材料价格以市场询价的价格为准。</w:t>
      </w:r>
    </w:p>
    <w:p w14:paraId="4A11125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③人工费按基准期四川省建设工程造价总站公布的绵阳地区人工费调整系数执行； </w:t>
      </w:r>
    </w:p>
    <w:p w14:paraId="05C4F740">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④总价措施项目：安全文明施工费暂按《四川省建设工程安全文明施工费计价管理办法》中规定的基本费费率加现场评价费最高费率计算，其他总价措施项目按定额规定计算； </w:t>
      </w:r>
    </w:p>
    <w:p w14:paraId="77214D3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⑤规费按基准期施工单位等级计取； </w:t>
      </w:r>
    </w:p>
    <w:p w14:paraId="55A7764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⑥税金按基准期国家相关政策执行； </w:t>
      </w:r>
    </w:p>
    <w:p w14:paraId="50FC40F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⑦承包人按以上组价依据编制施工图预算，承包人配合发包人审核。 </w:t>
      </w:r>
    </w:p>
    <w:p w14:paraId="55FC22D9">
      <w:pPr>
        <w:pStyle w:val="84"/>
        <w:spacing w:line="360" w:lineRule="auto"/>
        <w:ind w:firstLine="422" w:firstLineChars="200"/>
        <w:jc w:val="left"/>
        <w:rPr>
          <w:rFonts w:hint="eastAsia"/>
          <w:highlight w:val="none"/>
        </w:rPr>
      </w:pPr>
      <w:r>
        <w:rPr>
          <w:rStyle w:val="86"/>
          <w:rFonts w:hint="eastAsia" w:ascii="宋体" w:hAnsi="宋体"/>
          <w:b/>
          <w:bCs/>
          <w:highlight w:val="none"/>
          <w:u w:val="single"/>
        </w:rPr>
        <w:t>（3）经发包人审核确认的施工图预算作为发包人掌握项目实施的依据，承包人不配合导致核对工作滞后的或双方无法就固定综合单价事宜达成一致意见的，则以发包人核定（ 评审）的综合单价为准</w:t>
      </w:r>
      <w:r>
        <w:rPr>
          <w:rStyle w:val="86"/>
          <w:rFonts w:hint="eastAsia" w:ascii="宋体" w:hAnsi="宋体"/>
          <w:b/>
          <w:bCs/>
          <w:highlight w:val="none"/>
        </w:rPr>
        <w:t xml:space="preserve">。 </w:t>
      </w:r>
    </w:p>
    <w:p w14:paraId="3E5C9910">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（4）承包人应在合同总工期内根据设计进度提前20天告知发包人提供与设计有关的资料及文件，并协助、指导发包人完善有关资料。 </w:t>
      </w:r>
    </w:p>
    <w:p w14:paraId="6A5D5F60">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4.1.2 施工阶段 </w:t>
      </w:r>
    </w:p>
    <w:p w14:paraId="6B54ABB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（1）进度产值:每个月25日前报送本月的进度产值报表(经承包人、监理审核确认签字盖章)一式4份，并在次月10日内完成与发包人的审核。 </w:t>
      </w:r>
    </w:p>
    <w:p w14:paraId="7D7BB00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（2）所有材料、设备进场应经发包人、监理人认可，并按照工程建设相关规范标准提供资料等。 </w:t>
      </w:r>
    </w:p>
    <w:p w14:paraId="386A70B7">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（3）材料设备的认质认价： </w:t>
      </w:r>
    </w:p>
    <w:p w14:paraId="30B408B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A.材料设备认质：所有材料设备进场前均需认质，按照国家、地方法律法规执行。</w:t>
      </w:r>
    </w:p>
    <w:p w14:paraId="41266EE8">
      <w:pPr>
        <w:pStyle w:val="84"/>
        <w:spacing w:line="360" w:lineRule="auto"/>
        <w:ind w:firstLine="422" w:firstLineChars="200"/>
        <w:rPr>
          <w:rStyle w:val="86"/>
          <w:rFonts w:hint="eastAsia" w:ascii="宋体" w:hAnsi="宋体"/>
          <w:b/>
          <w:bCs/>
          <w:color w:val="FF0000"/>
          <w:highlight w:val="none"/>
          <w:u w:val="single"/>
        </w:rPr>
      </w:pPr>
      <w:r>
        <w:rPr>
          <w:rStyle w:val="86"/>
          <w:rFonts w:hint="eastAsia" w:ascii="宋体" w:hAnsi="宋体"/>
          <w:b/>
          <w:bCs/>
          <w:highlight w:val="none"/>
          <w:u w:val="single"/>
        </w:rPr>
        <w:t>B.使用、变更或新增材料确定后5日内承包人报送材料认质认价表给发包人，标明材料设备的名称、规格、材质、暂估数量、使用时间、拟采用的品牌等，根据国家、地方法律法规执行定质认价工作</w:t>
      </w:r>
      <w:r>
        <w:rPr>
          <w:rStyle w:val="86"/>
          <w:rFonts w:hint="eastAsia" w:ascii="宋体" w:hAnsi="宋体"/>
          <w:b/>
          <w:bCs/>
          <w:highlight w:val="none"/>
          <w:u w:val="single"/>
          <w:lang w:eastAsia="zh-CN"/>
        </w:rPr>
        <w:t>，</w:t>
      </w:r>
      <w:r>
        <w:rPr>
          <w:rStyle w:val="86"/>
          <w:rFonts w:hint="eastAsia" w:ascii="宋体" w:hAnsi="宋体"/>
          <w:b/>
          <w:bCs/>
          <w:highlight w:val="none"/>
          <w:u w:val="single"/>
          <w:lang w:val="en-US" w:eastAsia="zh-CN"/>
        </w:rPr>
        <w:t>认质认价材料不下浮。</w:t>
      </w:r>
    </w:p>
    <w:p w14:paraId="4604B27F">
      <w:pPr>
        <w:pStyle w:val="88"/>
        <w:rPr>
          <w:rStyle w:val="86"/>
          <w:rFonts w:hint="eastAsia" w:ascii="宋体" w:hAnsi="宋体"/>
          <w:b/>
          <w:bCs/>
          <w:highlight w:val="none"/>
          <w:u w:val="single"/>
        </w:rPr>
      </w:pPr>
      <w:r>
        <w:rPr>
          <w:rStyle w:val="86"/>
          <w:rFonts w:hint="eastAsia" w:ascii="宋体" w:hAnsi="宋体"/>
          <w:b/>
          <w:bCs/>
          <w:highlight w:val="none"/>
          <w:u w:val="single"/>
        </w:rPr>
        <w:t>（4）设计变更:</w:t>
      </w:r>
    </w:p>
    <w:p w14:paraId="0D616E38">
      <w:pPr>
        <w:pStyle w:val="88"/>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1.设计变更应经发包人审批通过后实施。因承包人设计错误造成的设计变更，导致费用增加的，费用不予以调整﹔导致费用减少的，应按实际予以调减。</w:t>
      </w:r>
    </w:p>
    <w:p w14:paraId="1C7C0E8F">
      <w:pPr>
        <w:pStyle w:val="88"/>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2.在满足招标文件和合同中“发包人要求”的前提下，承包人可以书面形式向发包人提出合理化建议，经发包人认为可以节约成本，提高工程的经济效益或其他利益，经发包人指示变更的，应对承包人合理化建议形成的利益双方协商，同时调整合同价款。</w:t>
      </w:r>
    </w:p>
    <w:p w14:paraId="504B0293">
      <w:pPr>
        <w:pStyle w:val="88"/>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在申请变更时，应提交变更方案（含成本测算），待变更事项确定后（变更单或变更图纸出具后)7天内，报送变更部分预算书给监理人及发包人。 </w:t>
      </w:r>
    </w:p>
    <w:p w14:paraId="655CCDE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（5）索赔:按通用合同条件条款19.2条约定向发包人提供索赔通知和索赔报告，编制和提供索赔预算给监理人及发包人。 </w:t>
      </w:r>
    </w:p>
    <w:p w14:paraId="7EB0733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（6）工程进度计划:在中标通知书发出后7日内提交工程总进度计划表3份。过程中若进度计划经工程师审核，发包人同意进行变更，承包人提供变更后相应资料。 </w:t>
      </w:r>
    </w:p>
    <w:p w14:paraId="76C1AB2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7）资金需求计划估算表:承包人在提交进度计划时，向监理人和发包人提交月度资金流估算表，估算表包括承包人计划可从发包人处得到的全部款额，供发包人参考。此后进度计划发生变化调整，承包人需调整资金流估算表，将修订的资金流估算表报监理人和发包人审核。 </w:t>
      </w:r>
    </w:p>
    <w:p w14:paraId="6FC2D475">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8）按照国家及地方法律法规要求提供施工过程中形成的所有工程资料(含工程质量保证资料、工程变更资料、建设过程中产生的各种文件记录、与工程造价有关的所有资料、竣工图、所有隐蔽及隐蔽影像、验收资料等)。 </w:t>
      </w:r>
    </w:p>
    <w:p w14:paraId="2B8CC09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9)承担施工照明的责任和要求：承包人按工程需要提供和维修施工使用的照明等 ，有关费用应包含在投标报价中。如承包人未履行上述义务造成工程事故、财产损失和人身伤害（包括施工造成的伤亡事故），由承包人承担全部责任及所发生的全部费用。 </w:t>
      </w:r>
    </w:p>
    <w:p w14:paraId="0ECEA18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10）需承包人办理的有关施工场地交通、环卫和施工噪音管理等手续：由承包人进行办理；施工人员进入场地的特别通行证明、证件由承包人负责办证；施工噪音超过当地主管部门的规定时，由承包人办理有关手续；施工现场需要排放有害污水时，由承包人办理相关手续。如因承包人原因未办理上述手续，由此带来的一切损失和相关处罚费用由承包人承担。 </w:t>
      </w:r>
    </w:p>
    <w:p w14:paraId="0916E6C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11) 协调处理施工场地周围地下管线和邻近建筑物、构筑物（含文物保护建筑）、 古树名木的保护工作。施工场地周围地下管线和邻近建筑物、构筑物、古树名木的保护工作由承包人负责，费用由承包人在投标报价中考虑充足，发包人不再另行计费。如施工场地地下遇文物，承包人应积极采取适当的措施予以保护，同时编制保护方案报发包人及相关行政主管部门审定后实施，保护费用由发包人承担。 </w:t>
      </w:r>
    </w:p>
    <w:p w14:paraId="24466F1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12)施工场地清洁卫生的要求：①施工场地整洁卫生，承包人应将垃圾存放在现场设立的固定垃圾临时存放点，如承包人不能按上述要求处理垃圾，且在收到发包人现场代表的书面通知后，仍未立即采取具体措施的，发包人现场代表可雇佣其他人清除现场垃圾，相关费用由承包人支付，并将扣罚通知送承包人，并抄送一份副本给监理工程师； </w:t>
      </w:r>
    </w:p>
    <w:p w14:paraId="67F49027">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②物料设施有序堆放，做到标准化封闭施工；③建筑废水、污水排放符合有关环保规定 要求，④做到工完场清的要求。竣工验收前，承包人清除并运出承包人的全部机械、多余材料、垃圾和各种临时设施，并保持清洁整齐，达到现场代表和监理工程师满意的使用状态。承包人应在发包人指定位置保留保修期内的各项义务所需的材料、设备，直到保修期结束。 </w:t>
      </w:r>
    </w:p>
    <w:p w14:paraId="1CE3151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13）在实施和完成本合同工程及其质量保修全过程中，承包人应该充分保障所有现场工作人员安全，采取有效措施，使现场和本合同工程的实施保持有条不紊，避免人员的安全受到威胁:发生人员伤亡或者财产损失，由承包人负责。 </w:t>
      </w:r>
    </w:p>
    <w:p w14:paraId="777BC57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①按照《建筑施工企业安全生产管理机构设置及专职安全生产管理人员配备办法》 的规定配备专职安全生产管理人员，并设置安全主管，按建筑专业进行人员配备; </w:t>
      </w:r>
    </w:p>
    <w:p w14:paraId="0CE187F2">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②特殊工种(电工、电梯工、起重工、电焊工、驾驶员、爆破工、高空作业等)应经专业培训，持有专业主管部门签发的上岗证,相关证书报监理审核备案; </w:t>
      </w:r>
    </w:p>
    <w:p w14:paraId="189AC8F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③对于易燃易爆的材料除应专门妥善保管之外，还应配备足够的消防设备，所有施工人员应熟悉消防设备的性能和使用方法; </w:t>
      </w:r>
    </w:p>
    <w:p w14:paraId="3844399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④施工机具设备和高空作业的设备应定期检查，并有安全员的签字记录。 </w:t>
      </w:r>
    </w:p>
    <w:p w14:paraId="0E8A154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14）在合同许可的范围内，实施和完成本合同工程及其质量保修工作中的一切施工作业，应不影响邻近建筑的安全与正常使用，不干扰群众的通行方便。如发生上述情况，由此导致索赔、赔偿、诉讼费用及其他开支时，由承包人承担一切责任及费用。 </w:t>
      </w:r>
    </w:p>
    <w:p w14:paraId="1FFC917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15）承包人应为发包人自行委托的其他所有单位进场勘査、施工和验收提供必需的协助及配合工作。发包人委托承包人的检测项目，承包人应自行委托相关行政职能部门或具有相关检测资质的第三方进行相关检测或审査，并取得相关检测合格报告承担相关费用。若按政府相关部门规定应以发包人名义委托检测的，涉及须以发包人名义签订合同的，承包人按其管理要求选择第三方单位后，以书面形式告知发包人签订合同，费用由承包人承担，在投标报价时需综合考虑此费用，发包人不另支付。 </w:t>
      </w:r>
    </w:p>
    <w:p w14:paraId="3C7CA6F3">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16）协调与政府方面的关系，并协调解决与周边社区、居民、建筑物等所产生的投诉、纠纷等关系，协调所发生的费用承包人自行综合考虑，发包人不另行支付。 </w:t>
      </w:r>
    </w:p>
    <w:p w14:paraId="1CAFDFF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17)本项目不得停工，若有，另行约定。</w:t>
      </w:r>
    </w:p>
    <w:p w14:paraId="3051B5C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4.1.3 竣工验收阶段: </w:t>
      </w:r>
    </w:p>
    <w:p w14:paraId="15FA6D1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在竣工验收合格后45天内，承包人按照国家和地方有关规定“应当提交和必须提交 ”的与项目有关的设计、施工文件资料(各6套)给发包人，除必须由承包人提供的文件资料外，还应提供包括但不限于以下文件资料及有关的电子文档（全部纸质资料的扫描件）。 </w:t>
      </w:r>
    </w:p>
    <w:p w14:paraId="2714F7C3">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（1）工程设计的全套设计图纸(含施工图审查资料及设计变更)及竣工图。 </w:t>
      </w:r>
    </w:p>
    <w:p w14:paraId="5305842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（2）建设过程中产生的各种文件记录。 </w:t>
      </w:r>
    </w:p>
    <w:p w14:paraId="5B39CFA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（3）工程竣工验收资料。 </w:t>
      </w:r>
    </w:p>
    <w:p w14:paraId="3BB62FB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（4）其他技术资料和文件。 </w:t>
      </w:r>
    </w:p>
    <w:p w14:paraId="7BCD6288">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承包人提供的所有资料应满足绵阳市城建档案馆的要求。 </w:t>
      </w:r>
    </w:p>
    <w:p w14:paraId="6AA63C1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 完成各项承包工作:除通用条款明确的工作内容外，承包人尚需完成如下工作: </w:t>
      </w:r>
    </w:p>
    <w:p w14:paraId="1B422296">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 施工临时道路、临时用水、临时用电相关工作及约定： </w:t>
      </w:r>
    </w:p>
    <w:p w14:paraId="2D881103">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（1）施工场地外所涉及的临时道路： </w:t>
      </w:r>
    </w:p>
    <w:p w14:paraId="5032F060">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A.周边基础设施等改造时，承包人应充分考虑由此造成的影响。 </w:t>
      </w:r>
    </w:p>
    <w:p w14:paraId="00F0A6D3">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B.本项目可能出现多次重复修建临时防护栏，承包人自行修建满足现场施工的临时 </w:t>
      </w:r>
    </w:p>
    <w:p w14:paraId="75B404C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防护栏，施工、维护费由承包人在投标时综合考虑，不另计费用。 </w:t>
      </w:r>
    </w:p>
    <w:p w14:paraId="1DEA3D75">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C.施工出入口涉及的市政道路开口、行道树迁移、地下管线的保护费等办理相关手 </w:t>
      </w:r>
    </w:p>
    <w:p w14:paraId="787B4C97">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续费用以及施工完成后按主管部门要求恢复的费用不再另行支付。 </w:t>
      </w:r>
    </w:p>
    <w:p w14:paraId="45E9567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（2）临时用电：发包人提供</w:t>
      </w:r>
      <w:r>
        <w:rPr>
          <w:rStyle w:val="86"/>
          <w:rFonts w:hint="eastAsia" w:ascii="宋体" w:hAnsi="宋体"/>
          <w:b/>
          <w:bCs/>
          <w:highlight w:val="none"/>
          <w:u w:val="single"/>
          <w:lang w:val="en-US" w:eastAsia="zh-CN"/>
        </w:rPr>
        <w:t>本项目红线范围内</w:t>
      </w:r>
      <w:r>
        <w:rPr>
          <w:rStyle w:val="86"/>
          <w:rFonts w:hint="eastAsia" w:ascii="宋体" w:hAnsi="宋体"/>
          <w:b/>
          <w:bCs/>
          <w:highlight w:val="none"/>
          <w:u w:val="single"/>
        </w:rPr>
        <w:t xml:space="preserve">施工临时用电接入位置。交由承包人使用，临时用电配电设备、设施、线路等的维护、保养、安全等责任由承包人承担。每月产生的电费发包人从承包人工程款中直接扣除。同时，承包人应根据施工现场情况，安装备用电源，确保质量、安全，不受市政电源停电的影响。，应自行将临时用电接入现场各使用位置，并应为各专业承包单位提供临时用电接口，并自行办理临时用电相关手续，如因超负荷用电导致的施工现场电路故障，应由承包人承担相关维修费及连带费用，并不得因此影响工期。每月产生的电费由承包人自行缴纳。同时，承包人应根据施工现场情况，安装备用电源，确保质量、安全，不受市政电源停电的影响。 </w:t>
      </w:r>
    </w:p>
    <w:p w14:paraId="09131E1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（4）施工临时用水及排污: </w:t>
      </w:r>
    </w:p>
    <w:p w14:paraId="22CCE5C6">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1）临时用水：</w:t>
      </w:r>
      <w:r>
        <w:rPr>
          <w:b/>
          <w:bCs/>
          <w:color w:val="000000"/>
          <w:highlight w:val="none"/>
        </w:rPr>
        <w:t>发包人提供</w:t>
      </w:r>
      <w:r>
        <w:rPr>
          <w:rFonts w:hint="eastAsia"/>
          <w:b/>
          <w:bCs/>
          <w:color w:val="000000"/>
          <w:highlight w:val="none"/>
          <w:lang w:val="en-US" w:eastAsia="zh-CN"/>
        </w:rPr>
        <w:t>本项目红线范围内</w:t>
      </w:r>
      <w:r>
        <w:rPr>
          <w:b/>
          <w:bCs/>
          <w:color w:val="000000"/>
          <w:highlight w:val="none"/>
        </w:rPr>
        <w:t>临时用水接驳点</w:t>
      </w:r>
      <w:r>
        <w:rPr>
          <w:rStyle w:val="86"/>
          <w:rFonts w:hint="eastAsia" w:ascii="宋体" w:hAnsi="宋体"/>
          <w:b/>
          <w:bCs/>
          <w:highlight w:val="none"/>
          <w:u w:val="single"/>
          <w:lang w:eastAsia="zh-CN"/>
        </w:rPr>
        <w:t>，</w:t>
      </w:r>
      <w:r>
        <w:rPr>
          <w:rStyle w:val="86"/>
          <w:rFonts w:hint="eastAsia" w:ascii="宋体" w:hAnsi="宋体"/>
          <w:b/>
          <w:bCs/>
          <w:highlight w:val="none"/>
          <w:u w:val="single"/>
        </w:rPr>
        <w:t>本项费用承包人在投标时综合考虑，不另计费用</w:t>
      </w:r>
      <w:r>
        <w:rPr>
          <w:rStyle w:val="86"/>
          <w:rFonts w:hint="eastAsia" w:ascii="宋体" w:hAnsi="宋体"/>
          <w:b/>
          <w:bCs/>
          <w:highlight w:val="none"/>
          <w:u w:val="single"/>
          <w:lang w:eastAsia="zh-CN"/>
        </w:rPr>
        <w:t>，</w:t>
      </w:r>
      <w:r>
        <w:rPr>
          <w:b/>
          <w:bCs/>
          <w:color w:val="000000"/>
          <w:highlight w:val="none"/>
        </w:rPr>
        <w:t>发包人从承包人工程款中直接扣除</w:t>
      </w:r>
      <w:r>
        <w:rPr>
          <w:rFonts w:hint="eastAsia"/>
          <w:b/>
          <w:bCs/>
          <w:color w:val="000000"/>
          <w:highlight w:val="none"/>
          <w:lang w:eastAsia="zh-CN"/>
        </w:rPr>
        <w:t>。承包人为各专业承包单位预留并提供临时用水接口，同时负责临时用水设施的保护、安全防护、维护，并保证各使用单位的用水负荷；充分考虑进场后临时用水办理时间，为满足本项目的正常施工及抢工等需求采用备用水源，本项费用包干使用，中标后不再调整。</w:t>
      </w:r>
      <w:r>
        <w:rPr>
          <w:rStyle w:val="86"/>
          <w:rFonts w:hint="eastAsia" w:ascii="宋体" w:hAnsi="宋体"/>
          <w:b/>
          <w:bCs/>
          <w:highlight w:val="none"/>
          <w:u w:val="single"/>
        </w:rPr>
        <w:t xml:space="preserve">。 </w:t>
      </w:r>
    </w:p>
    <w:p w14:paraId="47099C45">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2）排水排污:发包人提供市政排水、排污接驳点，本项费用承包人在投标时综合考虑，不另计费用。 </w:t>
      </w:r>
    </w:p>
    <w:p w14:paraId="15465D01">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（5）水资源费:当地水利局(或主管部门)按规定征收水资源以及取水、降水费及手续费等，本项费用承包人在投标时综合考虑，不另计费用。 </w:t>
      </w:r>
    </w:p>
    <w:p w14:paraId="52202AB1">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6）竣工验收后至移交发包人期间所发生的用水、用电费用及蓄水所产生的水费、电费由承包人承担；工程整改发生的用水、用电费用由承包人承担。本项中的水、电费用承包人在投标时综合考虑，不另计费用。 </w:t>
      </w:r>
    </w:p>
    <w:p w14:paraId="54D4B742">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7）承包人按照国家及地方安全文明施工要求进行围墙施工，满足工程施工现场管理要求:施工过程中对围墙的维护、搭设、周转、运输，拆除，围墙标准提升等改变均不另计费用，本项费用承包人在投标时综合考虑。 </w:t>
      </w:r>
    </w:p>
    <w:p w14:paraId="4061684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（8）若遇临时停水、停电、通信及燃气中断等，承包人应提供满足本项目正常施工和办公及生活所需，并承担相应费用，不另计费用，本项费用承包人在投标时综合考虑。 </w:t>
      </w:r>
    </w:p>
    <w:p w14:paraId="29E75137">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9）承包人应负责现场施工道路铺设、维修、管理，现场内除硬化区域外绿化植物的栽种、养护等工作，所有进出场车辆的清洗工作，整个场地有组织的临时排水系统。发生的费用承包人已综合考虑并包含在投标报价中，不另计费用。 </w:t>
      </w:r>
    </w:p>
    <w:p w14:paraId="5E2840F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（10）承包人进场后，应考虑临时用水、用电等施工所需的办理时间。现场临设搭建及工程施工，及时采用备用电源、水源，产生的相关费用由承包人自行承担，不另计费用，本项费用承包人在投标时综合考虑。 </w:t>
      </w:r>
    </w:p>
    <w:p w14:paraId="2928152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（11）本项目建设涉及的电力、通讯等市政管道的保护由承包人自行负责，并负责施工过程中协调和处理周边关系(不得影响本项目及周边项目施工、居民生活)，保护好周边建筑等。 </w:t>
      </w:r>
    </w:p>
    <w:p w14:paraId="526BE05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4.1.4.2 施工图会审要求 </w:t>
      </w:r>
    </w:p>
    <w:p w14:paraId="4EBC203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承包人在完成每阶段施工图纸后7天内，根据国家规范要求组织发包人等相关单位对施工图纸进行详细会审，不得因发包人参与会审而减除承包人责任。 </w:t>
      </w:r>
    </w:p>
    <w:p w14:paraId="229DE96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4.1.4.3 对施工作业和施工方法的完备性负责 </w:t>
      </w:r>
    </w:p>
    <w:p w14:paraId="6BBDFCD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承包人应对所有施工作业和施工方法的完备性和安全可靠性负责，并于中标通知书发放后7个工作日向发包人/监理人递交在投标技术方案总体框架、原则下经细化的实施性《施工组织设计》和《施工措施计划》。承包人接受发包人、监理人对其提交的实施性《施工组织设计》和《施工措施计划》中不合理的工期安排及技术措施、方案的修改意见，修订完善重新报批。此类修改或调整所涉及的工期及费用增加，由承包人自行承担，不另计费。 </w:t>
      </w:r>
    </w:p>
    <w:p w14:paraId="2565C8A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4.1.4.4 保证工程施工和人员安全 </w:t>
      </w:r>
    </w:p>
    <w:p w14:paraId="7E31C91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在实施和完成本合同工程及其质量保修全过程中，承包人应该充分保障所有现场工作人员安全，采取有效措施，使现场和本合同工程的实施保持有条不紊，避免人员的安全受到威胁:发生人员伤亡或者财产损失，由承包人负责。 </w:t>
      </w:r>
    </w:p>
    <w:p w14:paraId="1866A905">
      <w:pPr>
        <w:pStyle w:val="84"/>
        <w:numPr>
          <w:ilvl w:val="0"/>
          <w:numId w:val="10"/>
        </w:numPr>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按照《建筑施工企业安全生产管理机构设置及专职安全生产管理人员配备办法》的规定配备专职安全生产管理人员，并设置安全主管，按本项目专业进行人员配备; </w:t>
      </w:r>
    </w:p>
    <w:p w14:paraId="1879CE2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（2）特殊工种(电工、起重工、电焊工、驾驶员等)应经专业培训，持有专业主管部门签发的上岗证,相关证书报监理审核备案; </w:t>
      </w:r>
    </w:p>
    <w:p w14:paraId="624A51FC">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（3）对于易燃易爆的材料除应专门妥善保管之外，还应配备足够的消防设备，所有施工人员应熟悉消防设备的性能和使用方法; </w:t>
      </w:r>
    </w:p>
    <w:p w14:paraId="4C9498F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（4）施工机具设备和高空作业的设备应定期检查，并有安全员的签字记录。 </w:t>
      </w:r>
    </w:p>
    <w:p w14:paraId="0DAFC772">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4.1.4.5 负责施工场地及其周边环境与生态的保护工作 </w:t>
      </w:r>
    </w:p>
    <w:p w14:paraId="13CB5006">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（1）承包人除应按通用合同条件7.8款约定负责施工场地及周边环境与生态的保护工作外，还应按政府规定办理有关施工场地交通、环卫、垃圾外运、施工噪音管理、施工占道等手续并承担费用，不另计费。 </w:t>
      </w:r>
    </w:p>
    <w:p w14:paraId="1715B05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（2）为了保护本合同工程免遭损坏，或为了现场附近和过往群众的安全与方便，在确有必要的时候和地方，或当监理人或有关主管部门要求时，应自费提供照明、警卫、 护栅、警告标志等安全防护设施，不另计费。 </w:t>
      </w:r>
    </w:p>
    <w:p w14:paraId="7E60392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（3）承包人的取土、弃土场地须符合国家及地方相关要求。 </w:t>
      </w:r>
    </w:p>
    <w:p w14:paraId="1B3E8D46">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（4）对于来自施工机械和运输车辆的施工噪声，应遵守《中华入民共和国环境噪声污染防治法》和《工业企业噪声卫生标准》等相关法律法规要求。 </w:t>
      </w:r>
    </w:p>
    <w:p w14:paraId="077348E6">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（5）对于施工中粉尘污染的主要污染源，应采取有效措施减轻施工现场的大气污染，施工平面布置中应充分考虑环保要求、措施具体合理,按照国家及地方相关法律法规要求实施。 </w:t>
      </w:r>
    </w:p>
    <w:p w14:paraId="37EC284E">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（6）承包人应熟悉和遵守环境保护法，并切实执行技术规范中有关环境保护方面的要求和规定。 </w:t>
      </w:r>
    </w:p>
    <w:p w14:paraId="4C8C7D23">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7）在整个施工过程中对承包人采取的安全、保卫和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对发包人造成损失的，发包人有索赔的权利。 </w:t>
      </w:r>
    </w:p>
    <w:p w14:paraId="485B1DF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4.1.4.6 避免施工对公众与他人的利益造成损害 </w:t>
      </w:r>
    </w:p>
    <w:p w14:paraId="5DA4017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在合同许可的范围内，实施和完成本合同工程及其质量保修工作中的一切施工作业，应不影响邻近建筑的安全与正常使用，不干扰群众的通行方便。如发生上述情况，由此导致索赔、赔偿、诉讼费用及其他开支时，由承包人承担一切责任及费用。 </w:t>
      </w:r>
    </w:p>
    <w:p w14:paraId="60A03FD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4.1.4.7 工程的维护和照管 </w:t>
      </w:r>
    </w:p>
    <w:p w14:paraId="1DDE0EAB">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4.1.4.8 设计、施工工作衔接 </w:t>
      </w:r>
    </w:p>
    <w:p w14:paraId="6C9A6AFA">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施工期间，项目负责人负责协调设计人员根据施工进度以及本合同约定的期限完成设计工作（包括设计优化、变更），因设计期限延后而导致施工进度延后责任由承包人承担。 </w:t>
      </w:r>
    </w:p>
    <w:p w14:paraId="2811B2A5">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4.1.4.9 设计、施工完善、移交竣工资料 </w:t>
      </w:r>
    </w:p>
    <w:p w14:paraId="35E76B8F">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承包人应在本合同约定期限内完善工程竣工资料，并向发包人移交满足主管部门备案要求的全套资料；否则发包人有权拒绝支付剩余工程款。 </w:t>
      </w:r>
    </w:p>
    <w:p w14:paraId="13410AE6">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4.1.4.10 其他义务 </w:t>
      </w:r>
    </w:p>
    <w:p w14:paraId="2F12467D">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（1）承包人配合发包人直接发包工程的相关工作，不再收取任何费用。 </w:t>
      </w:r>
    </w:p>
    <w:p w14:paraId="64E6DD71">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（2）承包人承包范围内包含且不限于各专业工程及施工工艺首次打样（打样面积 、范围由发包人确定）及其他等费用已综合考虑在投标报价中，发包人不另行支付。承包人应遵守发包人的管理制度和程序，相关资料待承包人开始工作后由发包人进行交底；发包人管理制度和程序若有调整或更新的，承包人按照调整或更新后的办法执行。 </w:t>
      </w:r>
    </w:p>
    <w:p w14:paraId="68FBEA67">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4.1.4.11 为满足工程施工所需完成的相关准备工作，包括场地硬化、施工临时道路、临时用水、临时用电、通讯、标化施工围挡、工地视频管理等工作。 </w:t>
      </w:r>
    </w:p>
    <w:p w14:paraId="3ECFAB82">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4.1.4.12 应按合同约定，自费修复因承包人原因引起的设计、文件、设备、材料 、部件、施工中存在的缺陷、或在竣工验收和竣工试运行中发现的缺陷。 </w:t>
      </w:r>
    </w:p>
    <w:p w14:paraId="146CE5C8">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4.1.4.13 应按监理人要求提供相关设备和仪器的检验、复验合格证明等资料。 </w:t>
      </w:r>
    </w:p>
    <w:p w14:paraId="0C3EFCF4">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4.1.4.14 承包人应服从发包人要求的管理模式、工作方式、工作要求和相关管理办法，承包人须接受发包人及其委托的建设管理单位、监理单位等的管理。承包人不遵守发包人的管理，发包人有权对承包人进行违约处罚。 </w:t>
      </w:r>
    </w:p>
    <w:p w14:paraId="5A770949">
      <w:pPr>
        <w:pStyle w:val="84"/>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 xml:space="preserve">4.1.4.15承包人应为发包人自行委托的其他所有单位进场勘査、施工和验收提供必需的协助、总包管理及配合工作。发包人委托承包人的检测项目，承包人应自行委托相关行政职能部门或具有相关检测资质的第三方进行相关检测或审査，并取得相关检测合格报告。 </w:t>
      </w:r>
    </w:p>
    <w:p w14:paraId="7442B48B">
      <w:pPr>
        <w:pStyle w:val="84"/>
        <w:spacing w:line="360" w:lineRule="auto"/>
        <w:rPr>
          <w:rStyle w:val="86"/>
          <w:rFonts w:hint="eastAsia" w:ascii="宋体" w:hAnsi="宋体"/>
          <w:highlight w:val="none"/>
          <w:u w:val="single"/>
        </w:rPr>
      </w:pPr>
      <w:r>
        <w:rPr>
          <w:rStyle w:val="86"/>
          <w:rFonts w:hint="eastAsia" w:ascii="宋体" w:hAnsi="宋体"/>
          <w:highlight w:val="none"/>
        </w:rPr>
        <w:t>4.2 履约担保</w:t>
      </w:r>
      <w:r>
        <w:rPr>
          <w:rStyle w:val="86"/>
          <w:rFonts w:hint="eastAsia" w:ascii="宋体" w:hAnsi="宋体"/>
          <w:b/>
          <w:bCs/>
          <w:highlight w:val="none"/>
        </w:rPr>
        <w:t>：</w:t>
      </w:r>
      <w:r>
        <w:rPr>
          <w:rStyle w:val="86"/>
          <w:rFonts w:hint="eastAsia" w:ascii="宋体" w:hAnsi="宋体"/>
          <w:highlight w:val="none"/>
        </w:rPr>
        <w:t>履约保证金=暂定合同价（扣除招标暂定部分）的</w:t>
      </w:r>
      <w:r>
        <w:rPr>
          <w:rStyle w:val="86"/>
          <w:rFonts w:hint="eastAsia" w:ascii="宋体" w:hAnsi="宋体"/>
          <w:highlight w:val="none"/>
          <w:u w:val="single"/>
          <w:lang w:val="en-US" w:eastAsia="zh-CN"/>
        </w:rPr>
        <w:t xml:space="preserve">  </w:t>
      </w:r>
      <w:r>
        <w:rPr>
          <w:rStyle w:val="86"/>
          <w:rFonts w:hint="eastAsia" w:ascii="宋体" w:hAnsi="宋体"/>
          <w:highlight w:val="none"/>
        </w:rPr>
        <w:t>%，</w:t>
      </w:r>
      <w:r>
        <w:rPr>
          <w:rStyle w:val="86"/>
          <w:rFonts w:hint="eastAsia" w:ascii="宋体" w:hAnsi="宋体"/>
          <w:b/>
          <w:bCs/>
          <w:highlight w:val="none"/>
        </w:rPr>
        <w:t>金额</w:t>
      </w:r>
      <w:r>
        <w:rPr>
          <w:rStyle w:val="86"/>
          <w:rFonts w:hint="eastAsia" w:ascii="宋体" w:hAnsi="宋体"/>
          <w:b/>
          <w:bCs/>
          <w:highlight w:val="none"/>
          <w:u w:val="single"/>
        </w:rPr>
        <w:t xml:space="preserve">      元（大写：       ）</w:t>
      </w:r>
      <w:r>
        <w:rPr>
          <w:rStyle w:val="86"/>
          <w:rFonts w:hint="eastAsia" w:ascii="宋体" w:hAnsi="宋体"/>
          <w:b/>
          <w:bCs/>
          <w:highlight w:val="none"/>
        </w:rPr>
        <w:t>。</w:t>
      </w:r>
    </w:p>
    <w:p w14:paraId="5B0D5AD8">
      <w:pPr>
        <w:pStyle w:val="84"/>
        <w:spacing w:line="360" w:lineRule="auto"/>
        <w:rPr>
          <w:rStyle w:val="86"/>
          <w:rFonts w:hint="eastAsia" w:ascii="宋体" w:hAnsi="宋体"/>
          <w:highlight w:val="none"/>
        </w:rPr>
      </w:pPr>
      <w:r>
        <w:rPr>
          <w:rStyle w:val="86"/>
          <w:rFonts w:hint="eastAsia" w:ascii="宋体" w:hAnsi="宋体"/>
          <w:highlight w:val="none"/>
        </w:rPr>
        <w:t>承包人是否提供履约担保：</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rPr>
        <w:t>。</w:t>
      </w:r>
    </w:p>
    <w:p w14:paraId="4CFB3526">
      <w:pPr>
        <w:pStyle w:val="22"/>
        <w:adjustRightInd w:val="0"/>
        <w:snapToGrid w:val="0"/>
        <w:spacing w:line="360" w:lineRule="auto"/>
        <w:ind w:firstLine="525" w:firstLineChars="250"/>
        <w:rPr>
          <w:rStyle w:val="86"/>
          <w:rFonts w:ascii="宋体" w:hAnsi="宋体"/>
          <w:b/>
          <w:bCs/>
          <w:highlight w:val="none"/>
          <w:u w:val="single"/>
        </w:rPr>
      </w:pPr>
      <w:r>
        <w:rPr>
          <w:rStyle w:val="86"/>
          <w:rFonts w:hint="eastAsia" w:ascii="宋体" w:hAnsi="宋体"/>
          <w:highlight w:val="none"/>
        </w:rPr>
        <w:t>履约担保的方式、金额及期限:</w:t>
      </w:r>
      <w:r>
        <w:rPr>
          <w:rStyle w:val="86"/>
          <w:rFonts w:hint="eastAsia" w:ascii="宋体" w:hAnsi="宋体"/>
          <w:b/>
          <w:bCs/>
          <w:highlight w:val="none"/>
          <w:u w:val="single"/>
        </w:rPr>
        <w:t xml:space="preserve">          </w:t>
      </w:r>
      <w:r>
        <w:rPr>
          <w:rStyle w:val="86"/>
          <w:rFonts w:hint="eastAsia" w:ascii="宋体" w:hAnsi="宋体"/>
          <w:highlight w:val="none"/>
        </w:rPr>
        <w:t>。</w:t>
      </w:r>
    </w:p>
    <w:p w14:paraId="1F9A11D4">
      <w:pPr>
        <w:pStyle w:val="84"/>
        <w:spacing w:line="360" w:lineRule="auto"/>
        <w:rPr>
          <w:rStyle w:val="86"/>
          <w:rFonts w:hint="eastAsia" w:ascii="宋体" w:hAnsi="宋体"/>
          <w:highlight w:val="none"/>
        </w:rPr>
      </w:pPr>
      <w:r>
        <w:rPr>
          <w:rStyle w:val="86"/>
          <w:rFonts w:hint="eastAsia" w:ascii="宋体" w:hAnsi="宋体"/>
          <w:highlight w:val="none"/>
        </w:rPr>
        <w:t>4.3 工程总承包项目经理</w:t>
      </w:r>
    </w:p>
    <w:p w14:paraId="1E4AA25C">
      <w:pPr>
        <w:pStyle w:val="84"/>
        <w:spacing w:line="360" w:lineRule="auto"/>
        <w:rPr>
          <w:rStyle w:val="86"/>
          <w:rFonts w:hint="eastAsia" w:ascii="宋体" w:hAnsi="宋体"/>
          <w:highlight w:val="none"/>
        </w:rPr>
      </w:pPr>
      <w:r>
        <w:rPr>
          <w:rStyle w:val="86"/>
          <w:rFonts w:hint="eastAsia" w:ascii="宋体" w:hAnsi="宋体"/>
          <w:highlight w:val="none"/>
        </w:rPr>
        <w:t>4.3.1 工程总承包项目经理姓名：</w:t>
      </w:r>
      <w:r>
        <w:rPr>
          <w:rStyle w:val="86"/>
          <w:rFonts w:hint="eastAsia" w:ascii="宋体" w:hAnsi="宋体"/>
          <w:highlight w:val="none"/>
          <w:u w:val="single"/>
        </w:rPr>
        <w:t xml:space="preserve">                     </w:t>
      </w:r>
      <w:r>
        <w:rPr>
          <w:rStyle w:val="86"/>
          <w:rFonts w:hint="eastAsia" w:ascii="宋体" w:hAnsi="宋体"/>
          <w:highlight w:val="none"/>
        </w:rPr>
        <w:t>；</w:t>
      </w:r>
    </w:p>
    <w:p w14:paraId="4F0EE3EC">
      <w:pPr>
        <w:pStyle w:val="84"/>
        <w:spacing w:line="360" w:lineRule="auto"/>
        <w:rPr>
          <w:rStyle w:val="86"/>
          <w:rFonts w:hint="eastAsia" w:ascii="宋体" w:hAnsi="宋体"/>
          <w:highlight w:val="none"/>
        </w:rPr>
      </w:pPr>
      <w:r>
        <w:rPr>
          <w:rStyle w:val="86"/>
          <w:rFonts w:hint="eastAsia" w:ascii="宋体" w:hAnsi="宋体"/>
          <w:highlight w:val="none"/>
        </w:rPr>
        <w:t>执业资格或职称类型：</w:t>
      </w:r>
      <w:r>
        <w:rPr>
          <w:rStyle w:val="86"/>
          <w:rFonts w:hint="eastAsia" w:ascii="宋体" w:hAnsi="宋体"/>
          <w:highlight w:val="none"/>
          <w:u w:val="single"/>
        </w:rPr>
        <w:t xml:space="preserve">                              </w:t>
      </w:r>
      <w:r>
        <w:rPr>
          <w:rStyle w:val="86"/>
          <w:rFonts w:hint="eastAsia" w:ascii="宋体" w:hAnsi="宋体"/>
          <w:highlight w:val="none"/>
        </w:rPr>
        <w:t>；</w:t>
      </w:r>
    </w:p>
    <w:p w14:paraId="6E12D40B">
      <w:pPr>
        <w:pStyle w:val="84"/>
        <w:spacing w:line="360" w:lineRule="auto"/>
        <w:rPr>
          <w:rStyle w:val="86"/>
          <w:rFonts w:hint="eastAsia" w:ascii="宋体" w:hAnsi="宋体"/>
          <w:highlight w:val="none"/>
        </w:rPr>
      </w:pPr>
      <w:r>
        <w:rPr>
          <w:rStyle w:val="86"/>
          <w:rFonts w:hint="eastAsia" w:ascii="宋体" w:hAnsi="宋体"/>
          <w:highlight w:val="none"/>
        </w:rPr>
        <w:t>执业资格证或职称证号码：</w:t>
      </w:r>
      <w:r>
        <w:rPr>
          <w:rStyle w:val="86"/>
          <w:rFonts w:hint="eastAsia" w:ascii="宋体" w:hAnsi="宋体"/>
          <w:highlight w:val="none"/>
          <w:u w:val="single"/>
        </w:rPr>
        <w:t xml:space="preserve">                          </w:t>
      </w:r>
      <w:r>
        <w:rPr>
          <w:rStyle w:val="86"/>
          <w:rFonts w:hint="eastAsia" w:ascii="宋体" w:hAnsi="宋体"/>
          <w:highlight w:val="none"/>
        </w:rPr>
        <w:t>；</w:t>
      </w:r>
    </w:p>
    <w:p w14:paraId="529D19C6">
      <w:pPr>
        <w:pStyle w:val="84"/>
        <w:spacing w:line="360" w:lineRule="auto"/>
        <w:rPr>
          <w:rStyle w:val="86"/>
          <w:rFonts w:hint="eastAsia" w:ascii="宋体" w:hAnsi="宋体"/>
          <w:highlight w:val="none"/>
        </w:rPr>
      </w:pPr>
      <w:r>
        <w:rPr>
          <w:rStyle w:val="86"/>
          <w:rFonts w:hint="eastAsia" w:ascii="宋体" w:hAnsi="宋体"/>
          <w:highlight w:val="none"/>
        </w:rPr>
        <w:t>联系电话：</w:t>
      </w:r>
      <w:r>
        <w:rPr>
          <w:rStyle w:val="86"/>
          <w:rFonts w:hint="eastAsia" w:ascii="宋体" w:hAnsi="宋体"/>
          <w:highlight w:val="none"/>
          <w:u w:val="single"/>
        </w:rPr>
        <w:t xml:space="preserve">                                        </w:t>
      </w:r>
      <w:r>
        <w:rPr>
          <w:rStyle w:val="86"/>
          <w:rFonts w:hint="eastAsia" w:ascii="宋体" w:hAnsi="宋体"/>
          <w:highlight w:val="none"/>
        </w:rPr>
        <w:t>；</w:t>
      </w:r>
    </w:p>
    <w:p w14:paraId="44A4324C">
      <w:pPr>
        <w:pStyle w:val="84"/>
        <w:spacing w:line="360" w:lineRule="auto"/>
        <w:rPr>
          <w:rStyle w:val="86"/>
          <w:rFonts w:hint="eastAsia" w:ascii="宋体" w:hAnsi="宋体"/>
          <w:highlight w:val="none"/>
        </w:rPr>
      </w:pPr>
      <w:r>
        <w:rPr>
          <w:rStyle w:val="86"/>
          <w:rFonts w:hint="eastAsia" w:ascii="宋体" w:hAnsi="宋体"/>
          <w:highlight w:val="none"/>
        </w:rPr>
        <w:t>电子邮箱：</w:t>
      </w:r>
      <w:r>
        <w:rPr>
          <w:rStyle w:val="86"/>
          <w:rFonts w:hint="eastAsia" w:ascii="宋体" w:hAnsi="宋体"/>
          <w:highlight w:val="none"/>
          <w:u w:val="single"/>
        </w:rPr>
        <w:t xml:space="preserve">                                         </w:t>
      </w:r>
      <w:r>
        <w:rPr>
          <w:rStyle w:val="86"/>
          <w:rFonts w:hint="eastAsia" w:ascii="宋体" w:hAnsi="宋体"/>
          <w:highlight w:val="none"/>
        </w:rPr>
        <w:t>；</w:t>
      </w:r>
    </w:p>
    <w:p w14:paraId="0C5B0685">
      <w:pPr>
        <w:pStyle w:val="84"/>
        <w:spacing w:line="360" w:lineRule="auto"/>
        <w:rPr>
          <w:rStyle w:val="86"/>
          <w:rFonts w:hint="eastAsia" w:ascii="宋体" w:hAnsi="宋体"/>
          <w:highlight w:val="none"/>
        </w:rPr>
      </w:pPr>
      <w:r>
        <w:rPr>
          <w:rStyle w:val="86"/>
          <w:rFonts w:hint="eastAsia" w:ascii="宋体" w:hAnsi="宋体"/>
          <w:highlight w:val="none"/>
        </w:rPr>
        <w:t>通信地址：</w:t>
      </w:r>
      <w:r>
        <w:rPr>
          <w:rStyle w:val="86"/>
          <w:rFonts w:hint="eastAsia" w:ascii="宋体" w:hAnsi="宋体"/>
          <w:highlight w:val="none"/>
          <w:u w:val="single"/>
        </w:rPr>
        <w:t xml:space="preserve">                                        </w:t>
      </w:r>
      <w:r>
        <w:rPr>
          <w:rStyle w:val="86"/>
          <w:rFonts w:hint="eastAsia" w:ascii="宋体" w:hAnsi="宋体"/>
          <w:highlight w:val="none"/>
        </w:rPr>
        <w:t>。</w:t>
      </w:r>
    </w:p>
    <w:p w14:paraId="0A8DD978">
      <w:pPr>
        <w:pStyle w:val="84"/>
        <w:spacing w:line="360" w:lineRule="auto"/>
        <w:rPr>
          <w:rStyle w:val="86"/>
          <w:rFonts w:hint="eastAsia" w:ascii="宋体" w:hAnsi="宋体"/>
          <w:b/>
          <w:bCs/>
          <w:spacing w:val="11"/>
          <w:highlight w:val="none"/>
          <w:u w:val="single"/>
        </w:rPr>
      </w:pPr>
      <w:r>
        <w:rPr>
          <w:rStyle w:val="86"/>
          <w:rFonts w:hint="eastAsia" w:ascii="宋体" w:hAnsi="宋体"/>
          <w:highlight w:val="none"/>
        </w:rPr>
        <w:t>承包人未提交劳动合同，以及没有为工程总承包项目经理缴纳社会保险证明的违约责任：</w:t>
      </w:r>
      <w:r>
        <w:rPr>
          <w:rStyle w:val="86"/>
          <w:rFonts w:hint="eastAsia" w:ascii="宋体" w:hAnsi="宋体"/>
          <w:b/>
          <w:bCs/>
          <w:spacing w:val="-7"/>
          <w:highlight w:val="none"/>
          <w:u w:val="single"/>
        </w:rPr>
        <w:t>视为承包人转包或违法分包，承包人承担相关违约责任。且承包人在承担违约责</w:t>
      </w:r>
      <w:r>
        <w:rPr>
          <w:rStyle w:val="86"/>
          <w:rFonts w:hint="eastAsia" w:ascii="宋体" w:hAnsi="宋体"/>
          <w:b/>
          <w:bCs/>
          <w:spacing w:val="-14"/>
          <w:highlight w:val="none"/>
          <w:u w:val="single"/>
        </w:rPr>
        <w:t>任</w:t>
      </w:r>
      <w:r>
        <w:rPr>
          <w:rStyle w:val="86"/>
          <w:rFonts w:hint="eastAsia" w:ascii="宋体" w:hAnsi="宋体"/>
          <w:b/>
          <w:bCs/>
          <w:spacing w:val="-9"/>
          <w:highlight w:val="none"/>
          <w:u w:val="single"/>
        </w:rPr>
        <w:t>后</w:t>
      </w:r>
      <w:r>
        <w:rPr>
          <w:rStyle w:val="86"/>
          <w:rFonts w:hint="eastAsia" w:ascii="宋体" w:hAnsi="宋体"/>
          <w:b/>
          <w:bCs/>
          <w:spacing w:val="-7"/>
          <w:highlight w:val="none"/>
          <w:u w:val="single"/>
        </w:rPr>
        <w:t>仍须提交上述文件， 否则项目经理无权履行职责，发包人有权解除本合同，由此增</w:t>
      </w:r>
      <w:r>
        <w:rPr>
          <w:rStyle w:val="86"/>
          <w:rFonts w:hint="eastAsia" w:ascii="宋体" w:hAnsi="宋体"/>
          <w:b/>
          <w:bCs/>
          <w:spacing w:val="22"/>
          <w:highlight w:val="none"/>
          <w:u w:val="single"/>
        </w:rPr>
        <w:t>加</w:t>
      </w:r>
      <w:r>
        <w:rPr>
          <w:rStyle w:val="86"/>
          <w:rFonts w:hint="eastAsia" w:ascii="宋体" w:hAnsi="宋体"/>
          <w:b/>
          <w:bCs/>
          <w:spacing w:val="13"/>
          <w:highlight w:val="none"/>
          <w:u w:val="single"/>
        </w:rPr>
        <w:t>的</w:t>
      </w:r>
      <w:r>
        <w:rPr>
          <w:rStyle w:val="86"/>
          <w:rFonts w:hint="eastAsia" w:ascii="宋体" w:hAnsi="宋体"/>
          <w:b/>
          <w:bCs/>
          <w:spacing w:val="11"/>
          <w:highlight w:val="none"/>
          <w:u w:val="single"/>
        </w:rPr>
        <w:t>费用和(或)延误的工期由承包人承担。</w:t>
      </w:r>
    </w:p>
    <w:p w14:paraId="18DF464E">
      <w:pPr>
        <w:pStyle w:val="22"/>
        <w:spacing w:before="2" w:line="336" w:lineRule="auto"/>
        <w:ind w:left="1" w:right="22" w:firstLine="471"/>
        <w:rPr>
          <w:rStyle w:val="86"/>
          <w:rFonts w:hint="eastAsia" w:ascii="宋体" w:hAnsi="宋体"/>
          <w:highlight w:val="none"/>
        </w:rPr>
      </w:pPr>
      <w:r>
        <w:rPr>
          <w:rStyle w:val="86"/>
          <w:rFonts w:hint="eastAsia" w:ascii="宋体" w:hAnsi="宋体"/>
          <w:highlight w:val="none"/>
        </w:rPr>
        <w:t>4.3.2 工程总承包项目经理每月在现场的时间要求：</w:t>
      </w:r>
      <w:r>
        <w:rPr>
          <w:rStyle w:val="86"/>
          <w:rFonts w:hint="eastAsia" w:ascii="宋体" w:hAnsi="宋体"/>
          <w:highlight w:val="none"/>
          <w:u w:val="single"/>
        </w:rPr>
        <w:t xml:space="preserve"> </w:t>
      </w:r>
      <w:r>
        <w:rPr>
          <w:rStyle w:val="86"/>
          <w:rFonts w:hint="eastAsia" w:ascii="宋体" w:hAnsi="宋体"/>
          <w:b/>
          <w:bCs/>
          <w:highlight w:val="none"/>
          <w:u w:val="single"/>
        </w:rPr>
        <w:t>项目经理（施工负责人）每月在现场时间不得少于22日，每天不少于8小时。项目经理的履职情况由发包人代表和监理工程师考核，承包人同意以此作为考核标准。</w:t>
      </w:r>
    </w:p>
    <w:p w14:paraId="3E4CE813">
      <w:pPr>
        <w:pStyle w:val="84"/>
        <w:spacing w:line="360" w:lineRule="auto"/>
        <w:ind w:firstLine="420" w:firstLineChars="200"/>
        <w:rPr>
          <w:rStyle w:val="86"/>
          <w:rFonts w:hint="eastAsia" w:ascii="宋体" w:hAnsi="宋体"/>
          <w:b/>
          <w:bCs/>
          <w:highlight w:val="none"/>
          <w:u w:val="single"/>
        </w:rPr>
      </w:pPr>
      <w:r>
        <w:rPr>
          <w:rStyle w:val="86"/>
          <w:rFonts w:hint="eastAsia" w:ascii="宋体" w:hAnsi="宋体"/>
          <w:highlight w:val="none"/>
        </w:rPr>
        <w:t xml:space="preserve">工程总承包项目经理未经批准擅自离开施工现场的违约责任： </w:t>
      </w:r>
      <w:r>
        <w:rPr>
          <w:rStyle w:val="86"/>
          <w:rFonts w:hint="eastAsia" w:ascii="宋体" w:hAnsi="宋体"/>
          <w:b/>
          <w:bCs/>
          <w:highlight w:val="none"/>
          <w:u w:val="single"/>
        </w:rPr>
        <w:t>本项目将对工程总承包项目经理及项目主要人员进行考勤。除经发包人、监理人书面确认可不在工程现场的情况外，若有不到岗的情况发生，每少一天应向发包人支付违约金 2000元。项目经理每月在现场时间不得少于22日。同时，工程总承包项目经理应准时参加工程例会或其他相关会议，因故不能参加的应至少提前 24 小时向发包人提出申请，获得发包人批准后方可缺席，否则承包人向发包人支付违约金 1000 元/次，项目经理无故迟到出席会议，承包人支付违约金 500 元/次。</w:t>
      </w:r>
    </w:p>
    <w:p w14:paraId="4AFD4B0C">
      <w:pPr>
        <w:pStyle w:val="84"/>
        <w:spacing w:line="360" w:lineRule="auto"/>
        <w:rPr>
          <w:rStyle w:val="86"/>
          <w:rFonts w:hint="eastAsia" w:ascii="宋体" w:hAnsi="宋体"/>
          <w:b/>
          <w:bCs/>
          <w:highlight w:val="none"/>
          <w:u w:val="single"/>
        </w:rPr>
      </w:pPr>
      <w:r>
        <w:rPr>
          <w:rStyle w:val="86"/>
          <w:rFonts w:hint="eastAsia"/>
          <w:highlight w:val="none"/>
        </w:rPr>
        <w:t xml:space="preserve">     </w:t>
      </w:r>
      <w:r>
        <w:rPr>
          <w:rStyle w:val="86"/>
          <w:rFonts w:hint="eastAsia" w:ascii="宋体" w:hAnsi="宋体"/>
          <w:b/>
          <w:bCs/>
          <w:highlight w:val="none"/>
        </w:rPr>
        <w:t>工程总承包项目经理（项目负责人）及项目技术负责人均应按照投标文件上载明的人员到岗履职，一个月无故离岗累计达到3天，视为承包人违约，发包人有权单方解除合同、不退还履约保证金、并可对承包人处以中标价10%的违约金。</w:t>
      </w:r>
    </w:p>
    <w:p w14:paraId="01F7C33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4.3.3 承包人对工程总承包项目经理的授权范围:</w:t>
      </w:r>
      <w:r>
        <w:rPr>
          <w:rStyle w:val="86"/>
          <w:rFonts w:hint="eastAsia" w:ascii="宋体" w:hAnsi="宋体"/>
          <w:b/>
          <w:highlight w:val="none"/>
          <w:u w:val="single"/>
        </w:rPr>
        <w:t>承包人项目经理代表承包人行使合同约定的权利、履行合同义务，对工程项目从开工准备、施工过程、竣工验收、结算、质量保修和工程款回收，实施全方位、全过程的管理。承包人的要求、通知均以书面形式由承包人项目经理签字并加盖承包人项目部公章后递交监理，但其中如对本合同的任何修订、价款的调整等，需由双方签订补充协议或共同书面确认</w:t>
      </w:r>
      <w:r>
        <w:rPr>
          <w:rStyle w:val="86"/>
          <w:rFonts w:hint="eastAsia" w:ascii="宋体" w:hAnsi="宋体"/>
          <w:highlight w:val="none"/>
        </w:rPr>
        <w:t>。</w:t>
      </w:r>
    </w:p>
    <w:p w14:paraId="2FEE2D2A">
      <w:pPr>
        <w:pStyle w:val="84"/>
        <w:spacing w:line="360" w:lineRule="auto"/>
        <w:ind w:firstLine="420" w:firstLineChars="200"/>
        <w:rPr>
          <w:rStyle w:val="86"/>
          <w:rFonts w:hint="eastAsia" w:ascii="宋体" w:hAnsi="宋体"/>
          <w:b/>
          <w:bCs/>
          <w:color w:val="FF0000"/>
          <w:highlight w:val="none"/>
          <w:u w:val="single"/>
        </w:rPr>
      </w:pPr>
      <w:r>
        <w:rPr>
          <w:rStyle w:val="86"/>
          <w:rFonts w:hint="eastAsia" w:ascii="宋体" w:hAnsi="宋体"/>
          <w:highlight w:val="none"/>
        </w:rPr>
        <w:t>4.3.4 承包人擅自更换工程总承包项目经理的违约责任：</w:t>
      </w:r>
      <w:r>
        <w:rPr>
          <w:rStyle w:val="86"/>
          <w:rFonts w:hint="eastAsia" w:ascii="宋体" w:hAnsi="宋体"/>
          <w:b/>
          <w:bCs/>
          <w:highlight w:val="none"/>
          <w:u w:val="single"/>
        </w:rPr>
        <w:t>承包人不得擅自更换投标时所报项目经理，否则发包人向承包人主张合同总价的10</w:t>
      </w:r>
      <w:r>
        <w:rPr>
          <w:rStyle w:val="86"/>
          <w:rFonts w:hint="default" w:ascii="Arial" w:hAnsi="Arial" w:cs="Arial"/>
          <w:b/>
          <w:bCs/>
          <w:highlight w:val="none"/>
          <w:u w:val="single"/>
        </w:rPr>
        <w:t>‰</w:t>
      </w:r>
      <w:r>
        <w:rPr>
          <w:rStyle w:val="86"/>
          <w:rFonts w:hint="eastAsia" w:ascii="宋体" w:hAnsi="宋体"/>
          <w:b/>
          <w:bCs/>
          <w:highlight w:val="none"/>
          <w:u w:val="single"/>
        </w:rPr>
        <w:t>的违约金。确需更换时，更换后人员不得低于承包人投标时所报人员资质、技术水平和业绩要求，并须提前30日报经发包人同意。未经发包人同意，承包人不得更换项目经理，否则发包人有权要求原项目经理在指定时间内重返工作岗位，同时承包人向发包人</w:t>
      </w:r>
      <w:r>
        <w:rPr>
          <w:rStyle w:val="86"/>
          <w:rFonts w:hint="eastAsia" w:ascii="宋体" w:hAnsi="宋体"/>
          <w:b/>
          <w:highlight w:val="none"/>
          <w:u w:val="single"/>
        </w:rPr>
        <w:t>支付</w:t>
      </w:r>
      <w:r>
        <w:rPr>
          <w:rStyle w:val="86"/>
          <w:rFonts w:hint="eastAsia" w:ascii="宋体" w:hAnsi="宋体"/>
          <w:b/>
          <w:bCs/>
          <w:highlight w:val="none"/>
          <w:u w:val="single"/>
        </w:rPr>
        <w:t>合同总价10</w:t>
      </w:r>
      <w:r>
        <w:rPr>
          <w:rStyle w:val="86"/>
          <w:rFonts w:hint="default" w:ascii="Arial" w:hAnsi="Arial" w:cs="Arial"/>
          <w:b/>
          <w:bCs/>
          <w:highlight w:val="none"/>
          <w:u w:val="single"/>
        </w:rPr>
        <w:t>‰</w:t>
      </w:r>
      <w:r>
        <w:rPr>
          <w:rStyle w:val="86"/>
          <w:rFonts w:hint="eastAsia" w:ascii="宋体" w:hAnsi="宋体"/>
          <w:b/>
          <w:bCs/>
          <w:highlight w:val="none"/>
          <w:u w:val="single"/>
        </w:rPr>
        <w:t>的违约金，发包人有权从工程款中扣除。若因更换人员导致发包人的项目出现损失的，一切损失、责任由承包人承担 。</w:t>
      </w:r>
    </w:p>
    <w:p w14:paraId="3FC2B5AF">
      <w:pPr>
        <w:pStyle w:val="84"/>
        <w:spacing w:line="360" w:lineRule="auto"/>
        <w:ind w:firstLine="420" w:firstLineChars="200"/>
        <w:rPr>
          <w:rStyle w:val="86"/>
          <w:rFonts w:hint="eastAsia" w:ascii="宋体" w:hAnsi="宋体"/>
          <w:b/>
          <w:color w:val="FF0000"/>
          <w:highlight w:val="none"/>
          <w:u w:val="single"/>
        </w:rPr>
      </w:pPr>
      <w:r>
        <w:rPr>
          <w:rStyle w:val="86"/>
          <w:rFonts w:hint="eastAsia" w:ascii="宋体" w:hAnsi="宋体"/>
          <w:highlight w:val="none"/>
        </w:rPr>
        <w:t>4.3.5 承包人无正当理由拒绝更换工程总承包项目经理的违约责任:</w:t>
      </w:r>
      <w:r>
        <w:rPr>
          <w:rStyle w:val="86"/>
          <w:rFonts w:hint="eastAsia" w:ascii="宋体" w:hAnsi="宋体"/>
          <w:b/>
          <w:highlight w:val="none"/>
          <w:u w:val="single"/>
        </w:rPr>
        <w:t>如承包人的项目经理上岗后能力不能满足发包人要求，发包人有权要求承包人更换，且无需说明理由。如承包人更换项目经理仍不能满足发包人要求，将扣除合同价款的3</w:t>
      </w:r>
      <w:r>
        <w:rPr>
          <w:rStyle w:val="86"/>
          <w:rFonts w:hint="default" w:ascii="Arial" w:hAnsi="Arial" w:cs="Arial"/>
          <w:b/>
          <w:bCs/>
          <w:highlight w:val="none"/>
          <w:u w:val="single"/>
        </w:rPr>
        <w:t>‰</w:t>
      </w:r>
      <w:r>
        <w:rPr>
          <w:rStyle w:val="86"/>
          <w:rFonts w:hint="eastAsia" w:ascii="宋体" w:hAnsi="宋体"/>
          <w:b/>
          <w:highlight w:val="none"/>
          <w:u w:val="single"/>
        </w:rPr>
        <w:t>作为违约金，直至解除合同，承包人并赔偿发包人的所有损失。发包人要求更换但承包人拒绝更换的，承包人向发包人支付合同总价5</w:t>
      </w:r>
      <w:r>
        <w:rPr>
          <w:rStyle w:val="86"/>
          <w:rFonts w:hint="default" w:ascii="Arial" w:hAnsi="Arial" w:cs="Arial"/>
          <w:b/>
          <w:bCs/>
          <w:highlight w:val="none"/>
          <w:u w:val="single"/>
        </w:rPr>
        <w:t>‰</w:t>
      </w:r>
      <w:r>
        <w:rPr>
          <w:rStyle w:val="86"/>
          <w:rFonts w:hint="eastAsia" w:ascii="宋体" w:hAnsi="宋体"/>
          <w:b/>
          <w:highlight w:val="none"/>
          <w:u w:val="single"/>
        </w:rPr>
        <w:t>的违约金，同时承包人仍应按发包人指示执行。</w:t>
      </w:r>
    </w:p>
    <w:p w14:paraId="4624CD24">
      <w:pPr>
        <w:pStyle w:val="84"/>
        <w:spacing w:line="360" w:lineRule="auto"/>
        <w:ind w:firstLine="422" w:firstLineChars="200"/>
        <w:rPr>
          <w:rStyle w:val="86"/>
          <w:rFonts w:hint="eastAsia" w:ascii="宋体" w:hAnsi="宋体"/>
          <w:b/>
          <w:color w:val="FF0000"/>
          <w:highlight w:val="none"/>
          <w:u w:val="single"/>
        </w:rPr>
      </w:pPr>
      <w:r>
        <w:rPr>
          <w:rStyle w:val="86"/>
          <w:rFonts w:hint="eastAsia" w:ascii="宋体" w:hAnsi="宋体"/>
          <w:b/>
          <w:highlight w:val="none"/>
          <w:u w:val="single"/>
        </w:rPr>
        <w:t xml:space="preserve"> 4.3.6 设计负责人姓名：              ，设计负责人职责： 1、负责施工图等所有设计文件完成过程中的协调和统筹；2、按规定参加有发包人或行政主管单位的设计审查，并根据审查结论负责安排对不超出原定范围的内容做必要调整和补充。3、在工程施工期间分阶段委派相关专业的设计代表常驻现场（具体按发包人要求），在工程保修期根据发包人要求指派 专业技术人员配合解决有关问题；4、按时参加重大分部分项工程、 隐蔽工程及竣工验收等属于设计负责人职责范围内的工作。5、其他 承包人要求的工作。 设计负责人权限： 按承包人授权范围要求负责项目的人事调动、周期进度安排等。 因擅自更换设计负责人或设计负责人兼职其他项目负责人的违约约定： 发包人视违约情况严重程度要求承包人支付5万元-20 万元的违约金，并有权从设计费中扣除。 设计负责人每月在现场时间为   天，未达到合同约定天数的，每少一天应向发包人支付违约金 10000 元。</w:t>
      </w:r>
    </w:p>
    <w:p w14:paraId="513F797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4.4 承包人人员</w:t>
      </w:r>
    </w:p>
    <w:p w14:paraId="58201E9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4.4.1 人员安排</w:t>
      </w:r>
    </w:p>
    <w:p w14:paraId="57BF695E">
      <w:pPr>
        <w:pStyle w:val="22"/>
        <w:spacing w:before="78" w:line="338" w:lineRule="auto"/>
        <w:ind w:firstLine="420" w:firstLineChars="200"/>
        <w:rPr>
          <w:rStyle w:val="86"/>
          <w:rFonts w:hint="eastAsia" w:ascii="宋体" w:hAnsi="宋体"/>
          <w:b/>
          <w:highlight w:val="none"/>
          <w:u w:val="single"/>
        </w:rPr>
      </w:pPr>
      <w:r>
        <w:rPr>
          <w:rStyle w:val="86"/>
          <w:rFonts w:hint="eastAsia" w:ascii="宋体" w:hAnsi="宋体"/>
          <w:highlight w:val="none"/>
        </w:rPr>
        <w:t>承包人提交项目管理机构及施工现场人员安排的报告的期限：</w:t>
      </w:r>
      <w:r>
        <w:rPr>
          <w:rStyle w:val="86"/>
          <w:rFonts w:hint="eastAsia" w:ascii="宋体" w:hAnsi="宋体"/>
          <w:b/>
          <w:highlight w:val="none"/>
          <w:u w:val="single"/>
        </w:rPr>
        <w:t>承包人应在本合同签订后 7 日内，向发包人/工程师提交承包人的项目管理机构以及人员安排的报告(项目管理机构人员应与投标文件项目管理机构人员一致) ，其内容应包括管理机构人员、主要岗位的关键人员名单及注册执业资格等证明， 以及设计人员和各工种技术负责人的安排情况。</w:t>
      </w:r>
    </w:p>
    <w:p w14:paraId="5853797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承包人提交关键人员信息及注册执业资格等证明其具备担任关键人员能力的相关文件的期限：</w:t>
      </w:r>
      <w:r>
        <w:rPr>
          <w:rStyle w:val="86"/>
          <w:rFonts w:hint="eastAsia" w:ascii="宋体" w:hAnsi="宋体"/>
          <w:highlight w:val="none"/>
          <w:u w:val="single"/>
        </w:rPr>
        <w:t xml:space="preserve">   </w:t>
      </w:r>
      <w:r>
        <w:rPr>
          <w:rStyle w:val="86"/>
          <w:rFonts w:hint="eastAsia" w:ascii="宋体" w:hAnsi="宋体"/>
          <w:b/>
          <w:bCs/>
          <w:highlight w:val="none"/>
          <w:u w:val="single"/>
        </w:rPr>
        <w:t xml:space="preserve">合同签订后7日内  </w:t>
      </w:r>
      <w:r>
        <w:rPr>
          <w:rStyle w:val="86"/>
          <w:rFonts w:hint="eastAsia" w:ascii="宋体" w:hAnsi="宋体"/>
          <w:highlight w:val="none"/>
          <w:u w:val="single"/>
        </w:rPr>
        <w:t xml:space="preserve">   </w:t>
      </w:r>
      <w:r>
        <w:rPr>
          <w:rStyle w:val="86"/>
          <w:rFonts w:hint="eastAsia" w:ascii="宋体" w:hAnsi="宋体"/>
          <w:highlight w:val="none"/>
        </w:rPr>
        <w:t>。</w:t>
      </w:r>
    </w:p>
    <w:p w14:paraId="51866CF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4.4.2 关键人员更换</w:t>
      </w:r>
    </w:p>
    <w:p w14:paraId="5039E57E">
      <w:pPr>
        <w:pStyle w:val="84"/>
        <w:spacing w:line="360" w:lineRule="auto"/>
        <w:ind w:firstLine="420" w:firstLineChars="200"/>
        <w:rPr>
          <w:rStyle w:val="86"/>
          <w:rFonts w:hint="eastAsia" w:ascii="宋体" w:hAnsi="宋体"/>
          <w:color w:val="FF0000"/>
          <w:highlight w:val="none"/>
        </w:rPr>
      </w:pPr>
      <w:r>
        <w:rPr>
          <w:rStyle w:val="86"/>
          <w:rFonts w:hint="eastAsia" w:ascii="宋体" w:hAnsi="宋体"/>
          <w:highlight w:val="none"/>
        </w:rPr>
        <w:t>承包人擅自更换关键人员的违约责任：</w:t>
      </w:r>
      <w:r>
        <w:rPr>
          <w:rStyle w:val="86"/>
          <w:rFonts w:hint="eastAsia" w:ascii="宋体" w:hAnsi="宋体"/>
          <w:b/>
          <w:bCs/>
          <w:highlight w:val="none"/>
          <w:u w:val="single"/>
        </w:rPr>
        <w:t xml:space="preserve"> 未经发包人书面同意承包人擅自更换或未在现场履行义务的（如安全员、项目负责人、技术负责人），擅自更换处以 10000 元/人的违约金，未在现场履行义务与处以 500元/人/天的违约金，直至承包人纠正为止。不及时纠正的，报有关部门列入不良行为记录，同时发包人</w:t>
      </w:r>
      <w:r>
        <w:rPr>
          <w:rStyle w:val="86"/>
          <w:rFonts w:hint="eastAsia" w:ascii="宋体" w:hAnsi="宋体"/>
          <w:b/>
          <w:highlight w:val="none"/>
          <w:u w:val="single"/>
        </w:rPr>
        <w:t>有权单方面解除合同，不承担任何违约责任</w:t>
      </w:r>
      <w:r>
        <w:rPr>
          <w:rStyle w:val="86"/>
          <w:rFonts w:hint="eastAsia" w:ascii="宋体" w:hAnsi="宋体"/>
          <w:highlight w:val="none"/>
          <w:u w:val="single"/>
        </w:rPr>
        <w:t xml:space="preserve"> </w:t>
      </w:r>
      <w:r>
        <w:rPr>
          <w:rStyle w:val="86"/>
          <w:rFonts w:hint="eastAsia" w:ascii="宋体" w:hAnsi="宋体"/>
          <w:b/>
          <w:bCs/>
          <w:highlight w:val="none"/>
        </w:rPr>
        <w:t>。</w:t>
      </w:r>
    </w:p>
    <w:p w14:paraId="3CAB968D">
      <w:pPr>
        <w:pStyle w:val="84"/>
        <w:spacing w:line="360" w:lineRule="auto"/>
        <w:ind w:firstLine="420" w:firstLineChars="200"/>
        <w:rPr>
          <w:rStyle w:val="86"/>
          <w:rFonts w:hint="eastAsia" w:ascii="宋体" w:hAnsi="宋体"/>
          <w:color w:val="FF0000"/>
          <w:highlight w:val="none"/>
        </w:rPr>
      </w:pPr>
      <w:r>
        <w:rPr>
          <w:rStyle w:val="86"/>
          <w:rFonts w:hint="eastAsia" w:ascii="宋体" w:hAnsi="宋体"/>
          <w:highlight w:val="none"/>
        </w:rPr>
        <w:t>承包人无正当理由拒绝撤换关键人员的违约责任：</w:t>
      </w:r>
      <w:r>
        <w:rPr>
          <w:rStyle w:val="86"/>
          <w:rFonts w:hint="eastAsia" w:ascii="宋体" w:hAnsi="宋体"/>
          <w:highlight w:val="none"/>
          <w:u w:val="single"/>
        </w:rPr>
        <w:t xml:space="preserve"> </w:t>
      </w:r>
      <w:r>
        <w:rPr>
          <w:rStyle w:val="86"/>
          <w:rFonts w:hint="eastAsia" w:ascii="宋体" w:hAnsi="宋体"/>
          <w:b/>
          <w:highlight w:val="none"/>
          <w:u w:val="single"/>
        </w:rPr>
        <w:t>承包人按照1万元/次支付违约金，如连续违约5次，承包人仍未按要求调整回来，发包人有权单方面解除合同，不承担任何违约责任</w:t>
      </w:r>
      <w:r>
        <w:rPr>
          <w:rStyle w:val="86"/>
          <w:rFonts w:hint="eastAsia" w:ascii="宋体" w:hAnsi="宋体"/>
          <w:highlight w:val="none"/>
          <w:u w:val="single"/>
        </w:rPr>
        <w:t xml:space="preserve"> </w:t>
      </w:r>
      <w:r>
        <w:rPr>
          <w:rStyle w:val="86"/>
          <w:rFonts w:hint="eastAsia" w:ascii="宋体" w:hAnsi="宋体"/>
          <w:highlight w:val="none"/>
        </w:rPr>
        <w:t>。</w:t>
      </w:r>
    </w:p>
    <w:p w14:paraId="24E2BEB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4.4.3 现场管理关键人员在岗要求</w:t>
      </w:r>
    </w:p>
    <w:p w14:paraId="14FF2F3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承包人现场管理关键人员离开施工现场的批准要求：</w:t>
      </w:r>
      <w:r>
        <w:rPr>
          <w:rStyle w:val="86"/>
          <w:rFonts w:hint="eastAsia" w:ascii="宋体" w:hAnsi="宋体"/>
          <w:sz w:val="24"/>
          <w:szCs w:val="24"/>
          <w:highlight w:val="none"/>
          <w:shd w:val="clear" w:color="auto" w:fill="FFFFFF"/>
        </w:rPr>
        <w:t xml:space="preserve"> </w:t>
      </w:r>
      <w:r>
        <w:rPr>
          <w:rStyle w:val="86"/>
          <w:rFonts w:hint="eastAsia" w:ascii="宋体" w:hAnsi="宋体"/>
          <w:b/>
          <w:bCs/>
          <w:highlight w:val="none"/>
          <w:u w:val="single"/>
        </w:rPr>
        <w:t>需得到发包人书面批准方可离开。在三天以 内的，书面报发包人项目负责人批准；在三天以上的，书面 报发包人批准，未经批准不得擅自离岗。</w:t>
      </w:r>
    </w:p>
    <w:p w14:paraId="7D661C99">
      <w:pPr>
        <w:pStyle w:val="84"/>
        <w:spacing w:line="360" w:lineRule="auto"/>
        <w:ind w:firstLine="420" w:firstLineChars="200"/>
        <w:rPr>
          <w:rStyle w:val="86"/>
          <w:rFonts w:hint="eastAsia" w:ascii="宋体" w:hAnsi="宋体"/>
          <w:color w:val="FF0000"/>
          <w:highlight w:val="none"/>
        </w:rPr>
      </w:pPr>
      <w:r>
        <w:rPr>
          <w:rStyle w:val="86"/>
          <w:rFonts w:hint="eastAsia" w:ascii="宋体" w:hAnsi="宋体"/>
          <w:highlight w:val="none"/>
        </w:rPr>
        <w:t>承包人现场管理关键人员擅自离开施工现场的违约责任：</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擅自离岗的，处以 10000 元/人·天的违约金。项目部主要成员根据承包人投标文件提出的项目部机构组成确定，不得少于投标文件确定的人员 </w:t>
      </w:r>
      <w:r>
        <w:rPr>
          <w:rStyle w:val="86"/>
          <w:rFonts w:hint="eastAsia" w:ascii="宋体" w:hAnsi="宋体"/>
          <w:b/>
          <w:bCs/>
          <w:highlight w:val="none"/>
        </w:rPr>
        <w:t>。</w:t>
      </w:r>
    </w:p>
    <w:p w14:paraId="1A52116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4.5 分包</w:t>
      </w:r>
    </w:p>
    <w:p w14:paraId="5CD0A6A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4.5.1 一般约定</w:t>
      </w:r>
    </w:p>
    <w:p w14:paraId="1464048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禁止分包的工程包括：</w:t>
      </w:r>
      <w:r>
        <w:rPr>
          <w:rStyle w:val="86"/>
          <w:rFonts w:hint="eastAsia" w:ascii="宋体" w:hAnsi="宋体"/>
          <w:b/>
          <w:highlight w:val="none"/>
          <w:u w:val="single"/>
        </w:rPr>
        <w:t>本工程未经发包人同意不得分包 ,确需进行专业分包的经发包人同意后将依法开展，并报发包人同意备案，私自违法分包将按签订的分包合同金额双倍向发包人支付违约金</w:t>
      </w:r>
      <w:r>
        <w:rPr>
          <w:rStyle w:val="86"/>
          <w:rFonts w:hint="eastAsia" w:ascii="宋体" w:hAnsi="宋体"/>
          <w:highlight w:val="none"/>
        </w:rPr>
        <w:t>。</w:t>
      </w:r>
    </w:p>
    <w:p w14:paraId="0CB70DB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4.5.2 分包的确定</w:t>
      </w:r>
    </w:p>
    <w:p w14:paraId="1F074E0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允许分包的工程包括：</w:t>
      </w:r>
      <w:r>
        <w:rPr>
          <w:rStyle w:val="86"/>
          <w:rFonts w:hint="eastAsia" w:ascii="宋体" w:hAnsi="宋体"/>
          <w:highlight w:val="none"/>
          <w:u w:val="single"/>
        </w:rPr>
        <w:t xml:space="preserve">           /              </w:t>
      </w:r>
      <w:r>
        <w:rPr>
          <w:rStyle w:val="86"/>
          <w:rFonts w:hint="eastAsia" w:ascii="宋体" w:hAnsi="宋体"/>
          <w:highlight w:val="none"/>
        </w:rPr>
        <w:t>。</w:t>
      </w:r>
    </w:p>
    <w:p w14:paraId="4776A80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其他关于分包的约定：</w:t>
      </w:r>
      <w:r>
        <w:rPr>
          <w:rStyle w:val="86"/>
          <w:rFonts w:hint="eastAsia" w:ascii="宋体" w:hAnsi="宋体"/>
          <w:highlight w:val="none"/>
          <w:u w:val="single"/>
        </w:rPr>
        <w:t xml:space="preserve">          /                   </w:t>
      </w:r>
      <w:r>
        <w:rPr>
          <w:rStyle w:val="86"/>
          <w:rFonts w:hint="eastAsia" w:ascii="宋体" w:hAnsi="宋体"/>
          <w:highlight w:val="none"/>
        </w:rPr>
        <w:t>。</w:t>
      </w:r>
    </w:p>
    <w:p w14:paraId="4618F1F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4.5.5 分包合同价款支付</w:t>
      </w:r>
    </w:p>
    <w:p w14:paraId="2DDBAF8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关于分包合同价款支付的约定：</w:t>
      </w:r>
      <w:r>
        <w:rPr>
          <w:rStyle w:val="86"/>
          <w:rFonts w:hint="eastAsia" w:ascii="宋体" w:hAnsi="宋体"/>
          <w:highlight w:val="none"/>
          <w:u w:val="single"/>
        </w:rPr>
        <w:t xml:space="preserve">       /              </w:t>
      </w:r>
      <w:r>
        <w:rPr>
          <w:rStyle w:val="86"/>
          <w:rFonts w:hint="eastAsia" w:ascii="宋体" w:hAnsi="宋体"/>
          <w:highlight w:val="none"/>
        </w:rPr>
        <w:t>。</w:t>
      </w:r>
    </w:p>
    <w:p w14:paraId="39A3EAC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4.6 联合体</w:t>
      </w:r>
    </w:p>
    <w:p w14:paraId="13EA1A9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4.6.2 联合体各成员的分工、费用收取、发票开具等事项：</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4701308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4.7 承包人现场查勘</w:t>
      </w:r>
    </w:p>
    <w:p w14:paraId="02AD03F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4.7.1 双方当事人对现场查勘的责任承担的约定：</w:t>
      </w:r>
      <w:r>
        <w:rPr>
          <w:rStyle w:val="86"/>
          <w:rFonts w:hint="eastAsia" w:ascii="宋体" w:hAnsi="宋体"/>
          <w:highlight w:val="none"/>
          <w:u w:val="single"/>
        </w:rPr>
        <w:t xml:space="preserve"> </w:t>
      </w:r>
      <w:r>
        <w:rPr>
          <w:rStyle w:val="86"/>
          <w:rFonts w:hint="eastAsia" w:ascii="宋体" w:hAnsi="宋体"/>
          <w:b/>
          <w:bCs/>
          <w:highlight w:val="none"/>
          <w:u w:val="single"/>
        </w:rPr>
        <w:t>按照国家相关法律、法规执行</w:t>
      </w:r>
      <w:r>
        <w:rPr>
          <w:rStyle w:val="86"/>
          <w:rFonts w:hint="eastAsia" w:ascii="宋体" w:hAnsi="宋体"/>
          <w:highlight w:val="none"/>
          <w:u w:val="single"/>
        </w:rPr>
        <w:t xml:space="preserve">   </w:t>
      </w:r>
      <w:r>
        <w:rPr>
          <w:rStyle w:val="86"/>
          <w:rFonts w:hint="eastAsia" w:ascii="宋体" w:hAnsi="宋体"/>
          <w:highlight w:val="none"/>
        </w:rPr>
        <w:t>。</w:t>
      </w:r>
    </w:p>
    <w:p w14:paraId="2E4A530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4.8 不可预见的困难</w:t>
      </w:r>
    </w:p>
    <w:p w14:paraId="485A331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不可预见的困难包括：</w:t>
      </w:r>
      <w:r>
        <w:rPr>
          <w:rStyle w:val="86"/>
          <w:rFonts w:hint="eastAsia" w:ascii="宋体" w:hAnsi="宋体"/>
          <w:highlight w:val="none"/>
          <w:u w:val="single"/>
        </w:rPr>
        <w:t xml:space="preserve">             /                </w:t>
      </w:r>
      <w:r>
        <w:rPr>
          <w:rStyle w:val="86"/>
          <w:rFonts w:hint="eastAsia" w:ascii="宋体" w:hAnsi="宋体"/>
          <w:highlight w:val="none"/>
        </w:rPr>
        <w:t>。</w:t>
      </w:r>
    </w:p>
    <w:p w14:paraId="34511601">
      <w:pPr>
        <w:pStyle w:val="84"/>
        <w:spacing w:before="260" w:after="260" w:line="360" w:lineRule="auto"/>
        <w:ind w:firstLine="422" w:firstLineChars="200"/>
        <w:outlineLvl w:val="1"/>
        <w:rPr>
          <w:rStyle w:val="86"/>
          <w:rFonts w:hint="eastAsia" w:ascii="宋体" w:hAnsi="宋体"/>
          <w:b/>
          <w:highlight w:val="none"/>
        </w:rPr>
      </w:pPr>
      <w:r>
        <w:rPr>
          <w:rStyle w:val="86"/>
          <w:rFonts w:hint="eastAsia" w:ascii="宋体" w:hAnsi="宋体"/>
          <w:b/>
          <w:highlight w:val="none"/>
        </w:rPr>
        <w:t>第5条 设计</w:t>
      </w:r>
    </w:p>
    <w:p w14:paraId="6E499FF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5.2 承包人文件审查</w:t>
      </w:r>
    </w:p>
    <w:p w14:paraId="264BE3B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5.2.1 承包人文件审查的期限：</w:t>
      </w:r>
      <w:r>
        <w:rPr>
          <w:rStyle w:val="86"/>
          <w:rFonts w:hint="eastAsia" w:ascii="宋体" w:hAnsi="宋体"/>
          <w:highlight w:val="none"/>
          <w:u w:val="single"/>
        </w:rPr>
        <w:t xml:space="preserve">    </w:t>
      </w:r>
      <w:r>
        <w:rPr>
          <w:rStyle w:val="86"/>
          <w:rFonts w:hint="eastAsia" w:ascii="宋体" w:hAnsi="宋体"/>
          <w:b/>
          <w:bCs/>
          <w:highlight w:val="none"/>
          <w:u w:val="single"/>
        </w:rPr>
        <w:t>出具成果后10个工作日内</w:t>
      </w:r>
      <w:r>
        <w:rPr>
          <w:rStyle w:val="86"/>
          <w:rFonts w:hint="eastAsia" w:ascii="宋体" w:hAnsi="宋体"/>
          <w:highlight w:val="none"/>
          <w:u w:val="single"/>
        </w:rPr>
        <w:t xml:space="preserve">                   </w:t>
      </w:r>
      <w:r>
        <w:rPr>
          <w:rStyle w:val="86"/>
          <w:rFonts w:hint="eastAsia" w:ascii="宋体" w:hAnsi="宋体"/>
          <w:highlight w:val="none"/>
        </w:rPr>
        <w:t>。</w:t>
      </w:r>
    </w:p>
    <w:p w14:paraId="505178A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5.2.2 审查会议的审查形式和时间安排为：</w:t>
      </w:r>
      <w:r>
        <w:rPr>
          <w:rStyle w:val="86"/>
          <w:rFonts w:hint="eastAsia" w:ascii="宋体" w:hAnsi="宋体"/>
          <w:highlight w:val="none"/>
          <w:u w:val="single"/>
        </w:rPr>
        <w:t xml:space="preserve">  </w:t>
      </w:r>
      <w:r>
        <w:rPr>
          <w:rStyle w:val="86"/>
          <w:rFonts w:hint="eastAsia" w:ascii="宋体" w:hAnsi="宋体"/>
          <w:b/>
          <w:highlight w:val="none"/>
          <w:u w:val="single"/>
        </w:rPr>
        <w:t>按发包人要求</w:t>
      </w:r>
      <w:r>
        <w:rPr>
          <w:rStyle w:val="86"/>
          <w:rFonts w:hint="eastAsia" w:ascii="宋体" w:hAnsi="宋体"/>
          <w:highlight w:val="none"/>
          <w:u w:val="single"/>
        </w:rPr>
        <w:t xml:space="preserve">  </w:t>
      </w:r>
      <w:r>
        <w:rPr>
          <w:rStyle w:val="86"/>
          <w:rFonts w:hint="eastAsia" w:ascii="宋体" w:hAnsi="宋体"/>
          <w:highlight w:val="none"/>
        </w:rPr>
        <w:t>，审查会议的相关费用由</w:t>
      </w:r>
      <w:r>
        <w:rPr>
          <w:rStyle w:val="86"/>
          <w:rFonts w:hint="eastAsia" w:ascii="宋体" w:hAnsi="宋体"/>
          <w:b/>
          <w:bCs/>
          <w:highlight w:val="none"/>
          <w:u w:val="single"/>
        </w:rPr>
        <w:t>发包人承担，但只承担一次通过的费用,未通过的费用由承包人全部</w:t>
      </w:r>
      <w:r>
        <w:rPr>
          <w:rStyle w:val="86"/>
          <w:rFonts w:hint="eastAsia" w:ascii="宋体" w:hAnsi="宋体"/>
          <w:highlight w:val="none"/>
        </w:rPr>
        <w:t>承担。</w:t>
      </w:r>
    </w:p>
    <w:p w14:paraId="14333CE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5.2.3 关于第三方审查单位的约定：</w:t>
      </w:r>
      <w:r>
        <w:rPr>
          <w:rStyle w:val="86"/>
          <w:rFonts w:hint="eastAsia" w:ascii="宋体" w:hAnsi="宋体"/>
          <w:highlight w:val="none"/>
          <w:u w:val="single"/>
        </w:rPr>
        <w:t xml:space="preserve">         /         </w:t>
      </w:r>
      <w:r>
        <w:rPr>
          <w:rStyle w:val="86"/>
          <w:rFonts w:hint="eastAsia" w:ascii="宋体" w:hAnsi="宋体"/>
          <w:highlight w:val="none"/>
        </w:rPr>
        <w:t>。</w:t>
      </w:r>
    </w:p>
    <w:p w14:paraId="65CC5C0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5.3 培训</w:t>
      </w:r>
    </w:p>
    <w:p w14:paraId="76CE63C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培训的时长为</w:t>
      </w:r>
      <w:r>
        <w:rPr>
          <w:rStyle w:val="86"/>
          <w:rFonts w:hint="eastAsia" w:ascii="宋体" w:hAnsi="宋体"/>
          <w:b/>
          <w:bCs/>
          <w:highlight w:val="none"/>
          <w:u w:val="single"/>
        </w:rPr>
        <w:t>另行约定</w:t>
      </w:r>
      <w:r>
        <w:rPr>
          <w:rStyle w:val="86"/>
          <w:rFonts w:hint="eastAsia" w:ascii="宋体" w:hAnsi="宋体"/>
          <w:highlight w:val="none"/>
          <w:u w:val="single"/>
        </w:rPr>
        <w:t xml:space="preserve"> </w:t>
      </w:r>
      <w:r>
        <w:rPr>
          <w:rStyle w:val="86"/>
          <w:rFonts w:hint="eastAsia" w:ascii="宋体" w:hAnsi="宋体"/>
          <w:highlight w:val="none"/>
        </w:rPr>
        <w:t>，承包人应为培训提供的人员、设施和其它必要条件为</w:t>
      </w:r>
      <w:r>
        <w:rPr>
          <w:rStyle w:val="86"/>
          <w:rFonts w:hint="eastAsia" w:ascii="宋体" w:hAnsi="宋体"/>
          <w:b/>
          <w:bCs/>
          <w:highlight w:val="none"/>
          <w:u w:val="single"/>
        </w:rPr>
        <w:t>另行约定</w:t>
      </w:r>
      <w:r>
        <w:rPr>
          <w:rStyle w:val="86"/>
          <w:rFonts w:hint="eastAsia" w:ascii="宋体" w:hAnsi="宋体"/>
          <w:highlight w:val="none"/>
          <w:u w:val="single"/>
        </w:rPr>
        <w:t xml:space="preserve"> </w:t>
      </w:r>
      <w:r>
        <w:rPr>
          <w:rStyle w:val="86"/>
          <w:rFonts w:hint="eastAsia" w:ascii="宋体" w:hAnsi="宋体"/>
          <w:highlight w:val="none"/>
        </w:rPr>
        <w:t>。</w:t>
      </w:r>
    </w:p>
    <w:p w14:paraId="6E774AF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5.4 竣工文件</w:t>
      </w:r>
    </w:p>
    <w:p w14:paraId="5709BFE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5.4.1 竣工文件的形式、提供的份数、技术标准以及其它相关要求：</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8份   </w:t>
      </w:r>
      <w:r>
        <w:rPr>
          <w:rStyle w:val="86"/>
          <w:rFonts w:hint="eastAsia" w:ascii="宋体" w:hAnsi="宋体"/>
          <w:highlight w:val="none"/>
          <w:u w:val="single"/>
        </w:rPr>
        <w:t xml:space="preserve">     </w:t>
      </w:r>
      <w:r>
        <w:rPr>
          <w:rStyle w:val="86"/>
          <w:rFonts w:hint="eastAsia" w:ascii="宋体" w:hAnsi="宋体"/>
          <w:highlight w:val="none"/>
        </w:rPr>
        <w:t>。</w:t>
      </w:r>
    </w:p>
    <w:p w14:paraId="65CAB60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5.4.3 关于竣工文件的其他约定：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另行约定 </w:t>
      </w:r>
      <w:r>
        <w:rPr>
          <w:rStyle w:val="86"/>
          <w:rFonts w:hint="eastAsia" w:ascii="宋体" w:hAnsi="宋体"/>
          <w:highlight w:val="none"/>
          <w:u w:val="single"/>
        </w:rPr>
        <w:t xml:space="preserve">   </w:t>
      </w:r>
      <w:r>
        <w:rPr>
          <w:rStyle w:val="86"/>
          <w:rFonts w:hint="eastAsia" w:ascii="宋体" w:hAnsi="宋体"/>
          <w:highlight w:val="none"/>
        </w:rPr>
        <w:t>。</w:t>
      </w:r>
    </w:p>
    <w:p w14:paraId="748AB85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5.5 操作和维修手册</w:t>
      </w:r>
    </w:p>
    <w:p w14:paraId="5F3DC9DB">
      <w:pPr>
        <w:pStyle w:val="22"/>
        <w:spacing w:line="360" w:lineRule="auto"/>
        <w:ind w:firstLine="420" w:firstLineChars="200"/>
        <w:jc w:val="left"/>
        <w:rPr>
          <w:rStyle w:val="86"/>
          <w:rFonts w:hint="eastAsia" w:ascii="宋体" w:hAnsi="宋体"/>
          <w:highlight w:val="none"/>
        </w:rPr>
      </w:pPr>
      <w:r>
        <w:rPr>
          <w:rStyle w:val="86"/>
          <w:rFonts w:hint="eastAsia" w:ascii="宋体" w:hAnsi="宋体"/>
          <w:highlight w:val="none"/>
        </w:rPr>
        <w:t>5.5.3 对最终操作和维修手册的约定：</w:t>
      </w:r>
      <w:r>
        <w:rPr>
          <w:rStyle w:val="86"/>
          <w:rFonts w:hint="eastAsia" w:ascii="宋体" w:hAnsi="宋体"/>
          <w:highlight w:val="none"/>
          <w:u w:val="single"/>
        </w:rPr>
        <w:t xml:space="preserve"> </w:t>
      </w:r>
      <w:r>
        <w:rPr>
          <w:rStyle w:val="86"/>
          <w:rFonts w:hint="eastAsia" w:ascii="宋体" w:hAnsi="宋体"/>
          <w:b/>
          <w:highlight w:val="none"/>
          <w:u w:val="single"/>
        </w:rPr>
        <w:t>在不影响承包人项目进度计划的时间内提交 4 份。承包人提交的操作维修手册的份数和最终提交期限： 本工程竣工前20天前提交 6 份。</w:t>
      </w:r>
    </w:p>
    <w:p w14:paraId="328FECEA">
      <w:pPr>
        <w:pStyle w:val="84"/>
        <w:spacing w:before="260" w:after="260" w:line="360" w:lineRule="auto"/>
        <w:ind w:firstLine="422" w:firstLineChars="200"/>
        <w:outlineLvl w:val="1"/>
        <w:rPr>
          <w:rStyle w:val="86"/>
          <w:rFonts w:hint="eastAsia" w:ascii="宋体" w:hAnsi="宋体"/>
          <w:b/>
          <w:highlight w:val="none"/>
        </w:rPr>
      </w:pPr>
      <w:r>
        <w:rPr>
          <w:rStyle w:val="86"/>
          <w:rFonts w:hint="eastAsia" w:ascii="宋体" w:hAnsi="宋体"/>
          <w:b/>
          <w:highlight w:val="none"/>
        </w:rPr>
        <w:t>第6条 材料、工程设备</w:t>
      </w:r>
    </w:p>
    <w:p w14:paraId="27B5A72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6.1 实施方法</w:t>
      </w:r>
    </w:p>
    <w:p w14:paraId="12F0046D">
      <w:pPr>
        <w:pStyle w:val="22"/>
        <w:spacing w:after="120" w:line="360" w:lineRule="auto"/>
        <w:ind w:firstLine="279" w:firstLineChars="133"/>
        <w:jc w:val="left"/>
        <w:rPr>
          <w:rStyle w:val="86"/>
          <w:rFonts w:hint="eastAsia" w:ascii="宋体" w:hAnsi="宋体"/>
          <w:highlight w:val="none"/>
        </w:rPr>
      </w:pPr>
      <w:r>
        <w:rPr>
          <w:rStyle w:val="86"/>
          <w:rFonts w:hint="eastAsia" w:ascii="宋体" w:hAnsi="宋体"/>
          <w:highlight w:val="none"/>
        </w:rPr>
        <w:t>双方当事人约定的实施方法、设备、设施和材料：</w:t>
      </w:r>
      <w:r>
        <w:rPr>
          <w:rStyle w:val="86"/>
          <w:rFonts w:hint="eastAsia" w:ascii="宋体" w:hAnsi="宋体"/>
          <w:b/>
          <w:bCs/>
          <w:highlight w:val="none"/>
          <w:u w:val="single"/>
        </w:rPr>
        <w:t>应满足设计、配置标准、验收标准、政府有关规定及本合同其他约定，如国家、行业 规范、标准存在相互重叠，则按较高的质量标准执行工程要求。承包人采购前应向发包人报样板，经发包人确认同意后方可采购，否则发包人有权要求承包人整改，承包人无条件服从整改要求，并承担由此发生的责任和费用。</w:t>
      </w:r>
    </w:p>
    <w:p w14:paraId="064AE3C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6.2 材料和工程设备</w:t>
      </w:r>
    </w:p>
    <w:p w14:paraId="55FE672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6.2.1 发包人提供的材料和工程设备</w:t>
      </w:r>
    </w:p>
    <w:p w14:paraId="086A7ED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发包人提供的材料和工程设备验收后，由</w:t>
      </w:r>
      <w:r>
        <w:rPr>
          <w:rStyle w:val="86"/>
          <w:rFonts w:hint="eastAsia" w:ascii="宋体" w:hAnsi="宋体"/>
          <w:highlight w:val="none"/>
          <w:u w:val="single"/>
        </w:rPr>
        <w:t xml:space="preserve"> </w:t>
      </w:r>
      <w:r>
        <w:rPr>
          <w:rStyle w:val="86"/>
          <w:rFonts w:hint="eastAsia" w:ascii="宋体" w:hAnsi="宋体"/>
          <w:b/>
          <w:bCs/>
          <w:highlight w:val="none"/>
          <w:u w:val="single"/>
        </w:rPr>
        <w:t xml:space="preserve">（若有）承包人 </w:t>
      </w:r>
      <w:r>
        <w:rPr>
          <w:rStyle w:val="86"/>
          <w:rFonts w:hint="eastAsia" w:ascii="宋体" w:hAnsi="宋体"/>
          <w:highlight w:val="none"/>
          <w:u w:val="single"/>
        </w:rPr>
        <w:t xml:space="preserve"> </w:t>
      </w:r>
      <w:r>
        <w:rPr>
          <w:rStyle w:val="86"/>
          <w:rFonts w:hint="eastAsia" w:ascii="宋体" w:hAnsi="宋体"/>
          <w:highlight w:val="none"/>
        </w:rPr>
        <w:t>负责接收、运输和保管。</w:t>
      </w:r>
    </w:p>
    <w:p w14:paraId="0A357D7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6.2.2 承包人提供的材料和工程设备</w:t>
      </w:r>
    </w:p>
    <w:p w14:paraId="6ED79ED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材料和工程设备的类别、估算数量：</w:t>
      </w:r>
      <w:r>
        <w:rPr>
          <w:rStyle w:val="86"/>
          <w:rFonts w:hint="eastAsia" w:ascii="宋体" w:hAnsi="宋体"/>
          <w:highlight w:val="none"/>
          <w:u w:val="single"/>
        </w:rPr>
        <w:t xml:space="preserve"> </w:t>
      </w:r>
      <w:r>
        <w:rPr>
          <w:rStyle w:val="86"/>
          <w:rFonts w:hint="eastAsia" w:ascii="宋体" w:hAnsi="宋体"/>
          <w:b/>
          <w:highlight w:val="none"/>
          <w:u w:val="single"/>
        </w:rPr>
        <w:t>本合同承包范围内的所有工程物资</w:t>
      </w:r>
      <w:r>
        <w:rPr>
          <w:rStyle w:val="86"/>
          <w:rFonts w:hint="eastAsia" w:ascii="宋体" w:hAnsi="宋体"/>
          <w:highlight w:val="none"/>
          <w:u w:val="single"/>
        </w:rPr>
        <w:tab/>
      </w:r>
      <w:r>
        <w:rPr>
          <w:rStyle w:val="86"/>
          <w:rFonts w:hint="eastAsia" w:ascii="宋体" w:hAnsi="宋体"/>
          <w:highlight w:val="none"/>
          <w:u w:val="single"/>
        </w:rPr>
        <w:t xml:space="preserve">      </w:t>
      </w:r>
      <w:r>
        <w:rPr>
          <w:rStyle w:val="86"/>
          <w:rFonts w:hint="eastAsia" w:ascii="宋体" w:hAnsi="宋体"/>
          <w:highlight w:val="none"/>
        </w:rPr>
        <w:t>。</w:t>
      </w:r>
    </w:p>
    <w:p w14:paraId="78DDA77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竣工后试验的生产性材料的类别或（和）清单：</w:t>
      </w:r>
      <w:r>
        <w:rPr>
          <w:rStyle w:val="86"/>
          <w:rFonts w:hint="eastAsia" w:ascii="宋体" w:hAnsi="宋体"/>
          <w:highlight w:val="none"/>
          <w:u w:val="single"/>
        </w:rPr>
        <w:t xml:space="preserve">   </w:t>
      </w:r>
      <w:r>
        <w:rPr>
          <w:rStyle w:val="86"/>
          <w:rFonts w:hint="eastAsia" w:ascii="宋体" w:hAnsi="宋体"/>
          <w:b/>
          <w:bCs/>
          <w:highlight w:val="none"/>
          <w:u w:val="single"/>
        </w:rPr>
        <w:t xml:space="preserve">（若有后附清单 ）  </w:t>
      </w:r>
      <w:r>
        <w:rPr>
          <w:rStyle w:val="86"/>
          <w:rFonts w:hint="eastAsia" w:ascii="宋体" w:hAnsi="宋体"/>
          <w:highlight w:val="none"/>
          <w:u w:val="single"/>
        </w:rPr>
        <w:t xml:space="preserve">       </w:t>
      </w:r>
      <w:r>
        <w:rPr>
          <w:rStyle w:val="86"/>
          <w:rFonts w:hint="eastAsia" w:ascii="宋体" w:hAnsi="宋体"/>
          <w:highlight w:val="none"/>
        </w:rPr>
        <w:t>。</w:t>
      </w:r>
    </w:p>
    <w:p w14:paraId="04CC355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6.2.3 材料和工程设备的保管</w:t>
      </w:r>
    </w:p>
    <w:p w14:paraId="6E2EEFF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发包人供应的材料和工程设备的保管费用由</w:t>
      </w:r>
      <w:r>
        <w:rPr>
          <w:rStyle w:val="86"/>
          <w:rFonts w:hint="eastAsia" w:ascii="宋体" w:hAnsi="宋体"/>
          <w:highlight w:val="none"/>
          <w:u w:val="single"/>
        </w:rPr>
        <w:t xml:space="preserve"> </w:t>
      </w:r>
      <w:r>
        <w:rPr>
          <w:rStyle w:val="86"/>
          <w:rFonts w:hint="eastAsia" w:ascii="宋体" w:hAnsi="宋体"/>
          <w:b/>
          <w:bCs/>
          <w:highlight w:val="none"/>
          <w:u w:val="single"/>
        </w:rPr>
        <w:t>（若有）承包人</w:t>
      </w:r>
      <w:r>
        <w:rPr>
          <w:rStyle w:val="86"/>
          <w:rFonts w:hint="eastAsia" w:ascii="宋体" w:hAnsi="宋体"/>
          <w:highlight w:val="none"/>
          <w:u w:val="single"/>
        </w:rPr>
        <w:t xml:space="preserve"> </w:t>
      </w:r>
      <w:r>
        <w:rPr>
          <w:rStyle w:val="86"/>
          <w:rFonts w:hint="eastAsia" w:ascii="宋体" w:hAnsi="宋体"/>
          <w:highlight w:val="none"/>
        </w:rPr>
        <w:t>承担。</w:t>
      </w:r>
    </w:p>
    <w:p w14:paraId="6BDDCD8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承包人提交保管、维护方案的时间：</w:t>
      </w:r>
      <w:r>
        <w:rPr>
          <w:rStyle w:val="86"/>
          <w:rFonts w:hint="eastAsia" w:ascii="宋体" w:hAnsi="宋体"/>
          <w:highlight w:val="none"/>
          <w:u w:val="single"/>
        </w:rPr>
        <w:t xml:space="preserve">        /       </w:t>
      </w:r>
      <w:r>
        <w:rPr>
          <w:rStyle w:val="86"/>
          <w:rFonts w:hint="eastAsia" w:ascii="宋体" w:hAnsi="宋体"/>
          <w:highlight w:val="none"/>
        </w:rPr>
        <w:t>。</w:t>
      </w:r>
    </w:p>
    <w:p w14:paraId="0050CF5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发包人提供的库房、堆场、设施和设备：</w:t>
      </w:r>
      <w:r>
        <w:rPr>
          <w:rStyle w:val="86"/>
          <w:rFonts w:hint="eastAsia" w:ascii="宋体" w:hAnsi="宋体"/>
          <w:highlight w:val="none"/>
          <w:u w:val="single"/>
        </w:rPr>
        <w:t xml:space="preserve">     /         </w:t>
      </w:r>
      <w:r>
        <w:rPr>
          <w:rStyle w:val="86"/>
          <w:rFonts w:hint="eastAsia" w:ascii="宋体" w:hAnsi="宋体"/>
          <w:highlight w:val="none"/>
        </w:rPr>
        <w:t>。</w:t>
      </w:r>
    </w:p>
    <w:p w14:paraId="6656A00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6.3 样品</w:t>
      </w:r>
    </w:p>
    <w:p w14:paraId="72D203A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6.3.1 样品的报送与封存</w:t>
      </w:r>
    </w:p>
    <w:p w14:paraId="69323C65">
      <w:pPr>
        <w:pStyle w:val="84"/>
        <w:spacing w:line="360" w:lineRule="auto"/>
        <w:ind w:firstLine="420" w:firstLineChars="200"/>
        <w:rPr>
          <w:rStyle w:val="86"/>
          <w:rFonts w:hint="eastAsia" w:ascii="宋体" w:hAnsi="宋体"/>
          <w:b/>
          <w:bCs/>
          <w:color w:val="FF0000"/>
          <w:highlight w:val="none"/>
        </w:rPr>
      </w:pPr>
      <w:r>
        <w:rPr>
          <w:rStyle w:val="86"/>
          <w:rFonts w:hint="eastAsia" w:ascii="宋体" w:hAnsi="宋体"/>
          <w:highlight w:val="none"/>
        </w:rPr>
        <w:t>需要承包人报送样品的材料或工程设备，样品种类、名称、规格、数量：</w:t>
      </w:r>
      <w:r>
        <w:rPr>
          <w:rStyle w:val="86"/>
          <w:rFonts w:hint="eastAsia" w:ascii="宋体" w:hAnsi="宋体"/>
          <w:b/>
          <w:bCs/>
          <w:highlight w:val="none"/>
          <w:u w:val="single"/>
        </w:rPr>
        <w:t xml:space="preserve">用于本工程的所有主要材料、成品、半成品和设备，并附上相应的产品合格证、质量检测报告等材质证明文件。其中，发包人发出的《工程量清单》中对部分材料设备有明确品牌、材质和性能要求，以及设计文件对材料产品有明确性能指标要求的，承包人必须严格按照相应要求执行。承包人须将上述材料报监理人、发包人审批，通过后方可使用，若承包人未按上述要求履行样品报送、审定和封存程序，自行将未经审查的材料用于本工程，或擅自变更材料品种、性能指标等，监理人和发包人有权要求承包人无条件更换，同时承包人向发包人支付2万元/次的违约金，并承担由此造成的其他损失 </w:t>
      </w:r>
      <w:r>
        <w:rPr>
          <w:rStyle w:val="86"/>
          <w:rFonts w:hint="eastAsia" w:ascii="宋体" w:hAnsi="宋体"/>
          <w:b/>
          <w:bCs/>
          <w:highlight w:val="none"/>
        </w:rPr>
        <w:t>。</w:t>
      </w:r>
    </w:p>
    <w:p w14:paraId="6805FD1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6.4 质量检查</w:t>
      </w:r>
    </w:p>
    <w:p w14:paraId="7A67988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6.4.1 工程质量要求</w:t>
      </w:r>
    </w:p>
    <w:p w14:paraId="6898C20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工程质量的特殊标准或要求：</w:t>
      </w:r>
      <w:r>
        <w:rPr>
          <w:rStyle w:val="86"/>
          <w:rFonts w:hint="eastAsia" w:ascii="宋体" w:hAnsi="宋体"/>
          <w:highlight w:val="none"/>
          <w:u w:val="single"/>
        </w:rPr>
        <w:t xml:space="preserve">   </w:t>
      </w:r>
      <w:r>
        <w:rPr>
          <w:rStyle w:val="86"/>
          <w:rFonts w:hint="eastAsia" w:ascii="宋体" w:hAnsi="宋体"/>
          <w:b/>
          <w:bCs/>
          <w:highlight w:val="none"/>
          <w:u w:val="single"/>
        </w:rPr>
        <w:t>工程质量要求达到合格,能够满足使用功能要求,并符合国家有关质量标准及要求，一次性竣工验收合格</w:t>
      </w:r>
      <w:r>
        <w:rPr>
          <w:rStyle w:val="86"/>
          <w:rFonts w:hint="eastAsia" w:ascii="宋体" w:hAnsi="宋体"/>
          <w:highlight w:val="none"/>
          <w:u w:val="single"/>
        </w:rPr>
        <w:t xml:space="preserve"> </w:t>
      </w:r>
      <w:r>
        <w:rPr>
          <w:rStyle w:val="86"/>
          <w:rFonts w:hint="eastAsia" w:ascii="宋体" w:hAnsi="宋体"/>
          <w:highlight w:val="none"/>
        </w:rPr>
        <w:t>。</w:t>
      </w:r>
    </w:p>
    <w:p w14:paraId="5B6D0E2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6.4.2 质量检查</w:t>
      </w:r>
    </w:p>
    <w:p w14:paraId="54D6CDE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除通用合同条件已列明的质量检查的地点外，发包人有权进行质量检查的其他地点：</w:t>
      </w:r>
      <w:r>
        <w:rPr>
          <w:rStyle w:val="86"/>
          <w:rFonts w:hint="eastAsia" w:ascii="宋体" w:hAnsi="宋体"/>
          <w:b/>
          <w:bCs/>
          <w:highlight w:val="none"/>
          <w:u w:val="single"/>
        </w:rPr>
        <w:t>另行约定</w:t>
      </w:r>
      <w:r>
        <w:rPr>
          <w:rStyle w:val="86"/>
          <w:rFonts w:hint="eastAsia" w:ascii="宋体" w:hAnsi="宋体"/>
          <w:highlight w:val="none"/>
        </w:rPr>
        <w:t>。</w:t>
      </w:r>
    </w:p>
    <w:p w14:paraId="109347F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6.4.3 隐蔽工程检查</w:t>
      </w:r>
    </w:p>
    <w:p w14:paraId="6BCBECD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关于隐蔽工程和中间验收的特别约定：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0F60291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6.5 由承包人试验和检验</w:t>
      </w:r>
    </w:p>
    <w:p w14:paraId="782ABAA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6.5.1 试验设备与试验人员</w:t>
      </w:r>
    </w:p>
    <w:p w14:paraId="02AF9D2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试验的内容、时间和地点：</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075B634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试验所需要的试验设备、取样装置、试验场所和试验条件：</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3C3A1992">
      <w:pPr>
        <w:pStyle w:val="84"/>
        <w:spacing w:line="360" w:lineRule="auto"/>
        <w:ind w:firstLine="420" w:firstLineChars="200"/>
        <w:rPr>
          <w:rStyle w:val="86"/>
          <w:rFonts w:hint="eastAsia" w:ascii="宋体" w:hAnsi="宋体"/>
          <w:highlight w:val="none"/>
          <w:u w:val="single"/>
        </w:rPr>
      </w:pPr>
      <w:r>
        <w:rPr>
          <w:rStyle w:val="86"/>
          <w:rFonts w:hint="eastAsia" w:ascii="宋体" w:hAnsi="宋体"/>
          <w:highlight w:val="none"/>
        </w:rPr>
        <w:t>试验和检验费用的计价原则：</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按国家法律法规执行  </w:t>
      </w:r>
      <w:r>
        <w:rPr>
          <w:rStyle w:val="86"/>
          <w:rFonts w:hint="eastAsia" w:ascii="宋体" w:hAnsi="宋体"/>
          <w:highlight w:val="none"/>
          <w:u w:val="single"/>
        </w:rPr>
        <w:t xml:space="preserve"> </w:t>
      </w:r>
      <w:r>
        <w:rPr>
          <w:rStyle w:val="86"/>
          <w:rFonts w:hint="eastAsia" w:ascii="宋体" w:hAnsi="宋体"/>
          <w:highlight w:val="none"/>
        </w:rPr>
        <w:t>。</w:t>
      </w:r>
    </w:p>
    <w:p w14:paraId="538363BE">
      <w:pPr>
        <w:pStyle w:val="84"/>
        <w:spacing w:before="260" w:after="260" w:line="360" w:lineRule="auto"/>
        <w:ind w:firstLine="422" w:firstLineChars="200"/>
        <w:outlineLvl w:val="1"/>
        <w:rPr>
          <w:rStyle w:val="86"/>
          <w:rFonts w:hint="eastAsia" w:ascii="宋体" w:hAnsi="宋体"/>
          <w:b/>
          <w:bCs/>
          <w:highlight w:val="none"/>
        </w:rPr>
      </w:pPr>
      <w:r>
        <w:rPr>
          <w:rStyle w:val="86"/>
          <w:rFonts w:hint="eastAsia" w:ascii="宋体" w:hAnsi="宋体"/>
          <w:b/>
          <w:bCs/>
          <w:highlight w:val="none"/>
        </w:rPr>
        <w:t>第7条 施工</w:t>
      </w:r>
    </w:p>
    <w:p w14:paraId="768E740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7.1 交通运输</w:t>
      </w:r>
    </w:p>
    <w:p w14:paraId="7143C75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7.1.1 出入现场的权利</w:t>
      </w:r>
    </w:p>
    <w:p w14:paraId="2B034504">
      <w:pPr>
        <w:pStyle w:val="84"/>
        <w:spacing w:line="360" w:lineRule="auto"/>
        <w:ind w:firstLine="420" w:firstLineChars="200"/>
        <w:rPr>
          <w:rStyle w:val="86"/>
          <w:rFonts w:hint="eastAsia" w:ascii="宋体" w:hAnsi="宋体"/>
          <w:b/>
          <w:bCs/>
          <w:highlight w:val="none"/>
        </w:rPr>
      </w:pPr>
      <w:r>
        <w:rPr>
          <w:rStyle w:val="86"/>
          <w:rFonts w:hint="eastAsia" w:ascii="宋体" w:hAnsi="宋体"/>
          <w:highlight w:val="none"/>
        </w:rPr>
        <w:t>关于出入现场的权利的约定：</w:t>
      </w:r>
      <w:r>
        <w:rPr>
          <w:rStyle w:val="86"/>
          <w:rFonts w:hint="eastAsia" w:ascii="宋体" w:hAnsi="宋体"/>
          <w:b/>
          <w:bCs/>
          <w:highlight w:val="none"/>
          <w:u w:val="single"/>
        </w:rPr>
        <w:t xml:space="preserve"> 承包人根据工程的施工需要，办理取得出入施工场地的道路通行权，以及取得为工程建设所需修建场外设施的权利，并承担相关费用。发包人协助从承包人办理上述手续    </w:t>
      </w:r>
      <w:r>
        <w:rPr>
          <w:rStyle w:val="86"/>
          <w:rFonts w:hint="eastAsia" w:ascii="宋体" w:hAnsi="宋体"/>
          <w:b/>
          <w:bCs/>
          <w:highlight w:val="none"/>
        </w:rPr>
        <w:t>。</w:t>
      </w:r>
    </w:p>
    <w:p w14:paraId="2BFC47E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7.1.2 场外交通</w:t>
      </w:r>
    </w:p>
    <w:p w14:paraId="7D77188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关于场外交通的特别约定：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承包人需对施工区域以外的道路进行必要的保护,制定相应的保护措施,如有破坏需无偿恢复，并承担相关费用  </w:t>
      </w:r>
      <w:r>
        <w:rPr>
          <w:rStyle w:val="86"/>
          <w:rFonts w:hint="eastAsia" w:ascii="宋体" w:hAnsi="宋体"/>
          <w:b/>
          <w:bCs/>
          <w:highlight w:val="none"/>
        </w:rPr>
        <w:t>。</w:t>
      </w:r>
    </w:p>
    <w:p w14:paraId="0150689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7.1.3 场内交通</w:t>
      </w:r>
    </w:p>
    <w:p w14:paraId="06A40BE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关于场内交通的特别约定：</w:t>
      </w:r>
      <w:r>
        <w:rPr>
          <w:rStyle w:val="86"/>
          <w:rFonts w:hint="eastAsia" w:ascii="宋体" w:hAnsi="宋体"/>
          <w:highlight w:val="none"/>
          <w:u w:val="single"/>
        </w:rPr>
        <w:t xml:space="preserve"> </w:t>
      </w:r>
      <w:r>
        <w:rPr>
          <w:rStyle w:val="86"/>
          <w:rFonts w:hint="eastAsia" w:ascii="宋体" w:hAnsi="宋体"/>
          <w:b/>
          <w:bCs/>
          <w:highlight w:val="none"/>
          <w:u w:val="single"/>
        </w:rPr>
        <w:t>承包人应对施工区域内的道路和设施进行必要的保护, 制定相应的保护措施,如有破坏需无偿恢复,监理认可的必须破坏的情况除外</w:t>
      </w:r>
      <w:r>
        <w:rPr>
          <w:rStyle w:val="86"/>
          <w:rFonts w:hint="eastAsia" w:ascii="宋体" w:hAnsi="宋体"/>
          <w:highlight w:val="none"/>
          <w:u w:val="single"/>
        </w:rPr>
        <w:t xml:space="preserve">  </w:t>
      </w:r>
      <w:r>
        <w:rPr>
          <w:rStyle w:val="86"/>
          <w:rFonts w:hint="eastAsia" w:ascii="宋体" w:hAnsi="宋体"/>
          <w:highlight w:val="none"/>
        </w:rPr>
        <w:t>。</w:t>
      </w:r>
    </w:p>
    <w:p w14:paraId="505EE6B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关于场内交通与场外交通边界的约定：</w:t>
      </w:r>
      <w:r>
        <w:rPr>
          <w:rStyle w:val="86"/>
          <w:rFonts w:hint="eastAsia" w:ascii="宋体" w:hAnsi="宋体"/>
          <w:highlight w:val="none"/>
          <w:u w:val="single"/>
        </w:rPr>
        <w:t xml:space="preserve">  </w:t>
      </w:r>
      <w:r>
        <w:rPr>
          <w:rStyle w:val="86"/>
          <w:rFonts w:hint="eastAsia" w:ascii="宋体" w:hAnsi="宋体"/>
          <w:b/>
          <w:bCs/>
          <w:highlight w:val="none"/>
          <w:u w:val="single"/>
        </w:rPr>
        <w:t>/</w:t>
      </w:r>
      <w:r>
        <w:rPr>
          <w:rStyle w:val="86"/>
          <w:rFonts w:hint="eastAsia" w:ascii="宋体" w:hAnsi="宋体"/>
          <w:highlight w:val="none"/>
          <w:u w:val="single"/>
        </w:rPr>
        <w:t xml:space="preserve">   </w:t>
      </w:r>
      <w:r>
        <w:rPr>
          <w:rStyle w:val="86"/>
          <w:rFonts w:hint="eastAsia" w:ascii="宋体" w:hAnsi="宋体"/>
          <w:highlight w:val="none"/>
        </w:rPr>
        <w:t>。</w:t>
      </w:r>
    </w:p>
    <w:p w14:paraId="04B25B9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7.1.4 超大件和超重件的运输</w:t>
      </w:r>
    </w:p>
    <w:p w14:paraId="1FBF321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运输超大件或超重件所需的道路和桥梁临时加固改造费用和其他有关费用由</w:t>
      </w:r>
      <w:r>
        <w:rPr>
          <w:rStyle w:val="86"/>
          <w:rFonts w:hint="eastAsia" w:ascii="宋体" w:hAnsi="宋体"/>
          <w:b/>
          <w:bCs/>
          <w:highlight w:val="none"/>
          <w:u w:val="single"/>
        </w:rPr>
        <w:t>承包人</w:t>
      </w:r>
      <w:r>
        <w:rPr>
          <w:rStyle w:val="86"/>
          <w:rFonts w:hint="eastAsia" w:ascii="宋体" w:hAnsi="宋体"/>
          <w:highlight w:val="none"/>
          <w:u w:val="single"/>
        </w:rPr>
        <w:t xml:space="preserve">  </w:t>
      </w:r>
      <w:r>
        <w:rPr>
          <w:rStyle w:val="86"/>
          <w:rFonts w:hint="eastAsia" w:ascii="宋体" w:hAnsi="宋体"/>
          <w:highlight w:val="none"/>
        </w:rPr>
        <w:t>承担。</w:t>
      </w:r>
    </w:p>
    <w:p w14:paraId="38441D7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7.2 施工设备和临时设施</w:t>
      </w:r>
    </w:p>
    <w:p w14:paraId="72967D9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7.2.1 承包人提供的施工设备和临时设施</w:t>
      </w:r>
    </w:p>
    <w:p w14:paraId="08AB624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临时设施的费用和临时占地手续和费用承担的特别约定：</w:t>
      </w:r>
      <w:r>
        <w:rPr>
          <w:rStyle w:val="86"/>
          <w:rFonts w:hint="eastAsia" w:ascii="宋体" w:hAnsi="宋体"/>
          <w:highlight w:val="none"/>
          <w:u w:val="single"/>
        </w:rPr>
        <w:t xml:space="preserve"> </w:t>
      </w:r>
      <w:r>
        <w:rPr>
          <w:rStyle w:val="86"/>
          <w:rFonts w:hint="eastAsia" w:ascii="宋体" w:hAnsi="宋体"/>
          <w:b/>
          <w:bCs/>
          <w:highlight w:val="none"/>
          <w:u w:val="single"/>
        </w:rPr>
        <w:t>承包人承担</w:t>
      </w:r>
      <w:r>
        <w:rPr>
          <w:rStyle w:val="86"/>
          <w:rFonts w:hint="eastAsia" w:ascii="宋体" w:hAnsi="宋体"/>
          <w:highlight w:val="none"/>
          <w:u w:val="single"/>
        </w:rPr>
        <w:t xml:space="preserve">  </w:t>
      </w:r>
      <w:r>
        <w:rPr>
          <w:rStyle w:val="86"/>
          <w:rFonts w:hint="eastAsia" w:ascii="宋体" w:hAnsi="宋体"/>
          <w:highlight w:val="none"/>
        </w:rPr>
        <w:t>。</w:t>
      </w:r>
    </w:p>
    <w:p w14:paraId="006B778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7.2.2 发包人提供的施工设备和临时设施</w:t>
      </w:r>
    </w:p>
    <w:p w14:paraId="0C49C91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发包人提供的施工设备或临时设施范围：</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1724AE0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7.3 现场合作</w:t>
      </w:r>
    </w:p>
    <w:p w14:paraId="5DAAE6C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关于现场合作费用的特别约定：</w:t>
      </w:r>
      <w:r>
        <w:rPr>
          <w:rStyle w:val="86"/>
          <w:rFonts w:hint="eastAsia" w:ascii="宋体" w:hAnsi="宋体"/>
          <w:highlight w:val="none"/>
          <w:u w:val="single"/>
        </w:rPr>
        <w:t xml:space="preserve"> </w:t>
      </w:r>
      <w:r>
        <w:rPr>
          <w:rStyle w:val="86"/>
          <w:rFonts w:hint="eastAsia" w:ascii="宋体" w:hAnsi="宋体"/>
          <w:b/>
          <w:bCs/>
          <w:highlight w:val="none"/>
          <w:u w:val="single"/>
        </w:rPr>
        <w:t>承包人承担</w:t>
      </w:r>
      <w:r>
        <w:rPr>
          <w:rStyle w:val="86"/>
          <w:rFonts w:hint="eastAsia" w:ascii="宋体" w:hAnsi="宋体"/>
          <w:highlight w:val="none"/>
          <w:u w:val="single"/>
        </w:rPr>
        <w:t xml:space="preserve"> </w:t>
      </w:r>
      <w:r>
        <w:rPr>
          <w:rStyle w:val="86"/>
          <w:rFonts w:hint="eastAsia" w:ascii="宋体" w:hAnsi="宋体"/>
          <w:highlight w:val="none"/>
        </w:rPr>
        <w:t>。</w:t>
      </w:r>
    </w:p>
    <w:p w14:paraId="4E92663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7.4 测量放线</w:t>
      </w:r>
    </w:p>
    <w:p w14:paraId="69EF524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7.4.1 关于测量放线的特别约定的技术规范：</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。施工控制网资料的告知期限：</w:t>
      </w:r>
      <w:r>
        <w:rPr>
          <w:rStyle w:val="86"/>
          <w:rFonts w:hint="eastAsia" w:ascii="宋体" w:hAnsi="宋体"/>
          <w:highlight w:val="none"/>
          <w:u w:val="single"/>
        </w:rPr>
        <w:t xml:space="preserve">   </w:t>
      </w:r>
      <w:r>
        <w:rPr>
          <w:rStyle w:val="86"/>
          <w:rFonts w:hint="eastAsia" w:ascii="宋体" w:hAnsi="宋体"/>
          <w:b/>
          <w:bCs/>
          <w:highlight w:val="none"/>
          <w:u w:val="single"/>
        </w:rPr>
        <w:t>另行约定</w:t>
      </w:r>
      <w:r>
        <w:rPr>
          <w:rStyle w:val="86"/>
          <w:rFonts w:hint="eastAsia" w:ascii="宋体" w:hAnsi="宋体"/>
          <w:highlight w:val="none"/>
          <w:u w:val="single"/>
        </w:rPr>
        <w:t xml:space="preserve">  </w:t>
      </w:r>
      <w:r>
        <w:rPr>
          <w:rStyle w:val="86"/>
          <w:rFonts w:hint="eastAsia" w:ascii="宋体" w:hAnsi="宋体"/>
          <w:highlight w:val="none"/>
        </w:rPr>
        <w:t>。</w:t>
      </w:r>
    </w:p>
    <w:p w14:paraId="24CD787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7.5 现场劳动用工</w:t>
      </w:r>
    </w:p>
    <w:p w14:paraId="2A225F2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7.5.2 合同当事人对建筑工人工资清偿事宜和违约责任的约定：</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22EA03D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7.6 安全文明施工</w:t>
      </w:r>
    </w:p>
    <w:p w14:paraId="285F788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7.6.1 安全生产要求</w:t>
      </w:r>
    </w:p>
    <w:p w14:paraId="48A11E6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合同当事人对安全施工的要求：</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6AC5ED9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7.6.3 文明施工</w:t>
      </w:r>
    </w:p>
    <w:p w14:paraId="0636231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合同当事人对文明施工的要求：</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4771EC0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7.9 临时性公用设施</w:t>
      </w:r>
    </w:p>
    <w:p w14:paraId="5E43E74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关于临时性公用设施的特别约定：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37B4D8C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7.10 现场安保</w:t>
      </w:r>
    </w:p>
    <w:p w14:paraId="3EF13AD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承包人现场安保义务的特别约定：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27DEEE2B">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第8条 工期和进度</w:t>
      </w:r>
    </w:p>
    <w:p w14:paraId="6A13F02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8.1 开始工作</w:t>
      </w:r>
    </w:p>
    <w:p w14:paraId="6D7B198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8.1.1 开始准备工作：</w:t>
      </w:r>
      <w:r>
        <w:rPr>
          <w:rStyle w:val="86"/>
          <w:rFonts w:hint="eastAsia" w:ascii="宋体" w:hAnsi="宋体"/>
          <w:highlight w:val="none"/>
          <w:u w:val="single"/>
        </w:rPr>
        <w:t xml:space="preserve"> </w:t>
      </w:r>
      <w:r>
        <w:rPr>
          <w:rStyle w:val="86"/>
          <w:rFonts w:hint="eastAsia" w:ascii="宋体" w:hAnsi="宋体"/>
          <w:b/>
          <w:bCs/>
          <w:highlight w:val="none"/>
          <w:u w:val="single"/>
        </w:rPr>
        <w:t>承包人收到中标通知书后，另有约定除外</w:t>
      </w:r>
      <w:r>
        <w:rPr>
          <w:rStyle w:val="86"/>
          <w:rFonts w:hint="eastAsia" w:ascii="宋体" w:hAnsi="宋体"/>
          <w:highlight w:val="none"/>
          <w:u w:val="single"/>
        </w:rPr>
        <w:t xml:space="preserve"> </w:t>
      </w:r>
      <w:r>
        <w:rPr>
          <w:rStyle w:val="86"/>
          <w:rFonts w:hint="eastAsia" w:ascii="宋体" w:hAnsi="宋体"/>
          <w:highlight w:val="none"/>
        </w:rPr>
        <w:t>。</w:t>
      </w:r>
    </w:p>
    <w:p w14:paraId="447B9F4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8.1.2 发包人可在计划开始工作之日起84日后发出开始工作通知的特殊情形：</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发包人发出开始工作通知，即开始工作，并开始起算工期，发包人不承担由此增加的一切费用</w:t>
      </w:r>
      <w:r>
        <w:rPr>
          <w:rStyle w:val="86"/>
          <w:rFonts w:hint="eastAsia" w:ascii="宋体" w:hAnsi="宋体"/>
          <w:highlight w:val="none"/>
          <w:u w:val="single"/>
        </w:rPr>
        <w:t xml:space="preserve">  </w:t>
      </w:r>
      <w:r>
        <w:rPr>
          <w:rStyle w:val="86"/>
          <w:rFonts w:hint="eastAsia" w:ascii="宋体" w:hAnsi="宋体"/>
          <w:highlight w:val="none"/>
        </w:rPr>
        <w:t>。</w:t>
      </w:r>
    </w:p>
    <w:p w14:paraId="6608342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8.2 竣工日期</w:t>
      </w:r>
    </w:p>
    <w:p w14:paraId="3D5C551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竣工日期的约定：</w:t>
      </w:r>
      <w:r>
        <w:rPr>
          <w:rStyle w:val="86"/>
          <w:rFonts w:hint="eastAsia" w:ascii="宋体" w:hAnsi="宋体"/>
          <w:highlight w:val="none"/>
          <w:u w:val="single"/>
        </w:rPr>
        <w:t xml:space="preserve">                                   </w:t>
      </w:r>
      <w:r>
        <w:rPr>
          <w:rStyle w:val="86"/>
          <w:rFonts w:hint="eastAsia" w:ascii="宋体" w:hAnsi="宋体"/>
          <w:highlight w:val="none"/>
        </w:rPr>
        <w:t>。</w:t>
      </w:r>
    </w:p>
    <w:p w14:paraId="7482EDC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8.3 项目实施计划</w:t>
      </w:r>
    </w:p>
    <w:p w14:paraId="3732ADE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8.3.1 项目实施计划的内容</w:t>
      </w:r>
    </w:p>
    <w:p w14:paraId="049C17A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项目实施计划的内容：</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146B848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8.3.2 项目实施计划的提交和修改</w:t>
      </w:r>
    </w:p>
    <w:p w14:paraId="15C9A7E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项目实施计划的提交及修改期限：</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64B4F32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8.4 项目进度计划</w:t>
      </w:r>
    </w:p>
    <w:p w14:paraId="119CDC2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8.4.1 工程师在收到进度计划后确认或提出修改意见的期限：</w:t>
      </w:r>
      <w:r>
        <w:rPr>
          <w:rStyle w:val="86"/>
          <w:rFonts w:hint="eastAsia" w:ascii="宋体" w:hAnsi="宋体"/>
          <w:highlight w:val="none"/>
          <w:u w:val="single"/>
        </w:rPr>
        <w:t xml:space="preserve">               </w:t>
      </w:r>
      <w:r>
        <w:rPr>
          <w:rStyle w:val="86"/>
          <w:rFonts w:hint="eastAsia" w:ascii="宋体" w:hAnsi="宋体"/>
          <w:highlight w:val="none"/>
        </w:rPr>
        <w:t>。</w:t>
      </w:r>
    </w:p>
    <w:p w14:paraId="32787DE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8.4.2 进度计划的具体要求：</w:t>
      </w:r>
      <w:r>
        <w:rPr>
          <w:rStyle w:val="86"/>
          <w:rFonts w:hint="eastAsia" w:ascii="宋体" w:hAnsi="宋体"/>
          <w:highlight w:val="none"/>
          <w:u w:val="single"/>
        </w:rPr>
        <w:t xml:space="preserve">                    </w:t>
      </w:r>
      <w:r>
        <w:rPr>
          <w:rStyle w:val="86"/>
          <w:rFonts w:hint="eastAsia" w:ascii="宋体" w:hAnsi="宋体"/>
          <w:highlight w:val="none"/>
        </w:rPr>
        <w:t>。</w:t>
      </w:r>
    </w:p>
    <w:p w14:paraId="5317D34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关键路径及关键路径变化的确定原则：</w:t>
      </w:r>
      <w:r>
        <w:rPr>
          <w:rStyle w:val="86"/>
          <w:rFonts w:hint="eastAsia" w:ascii="宋体" w:hAnsi="宋体"/>
          <w:highlight w:val="none"/>
          <w:u w:val="single"/>
        </w:rPr>
        <w:t xml:space="preserve">                </w:t>
      </w:r>
      <w:r>
        <w:rPr>
          <w:rStyle w:val="86"/>
          <w:rFonts w:hint="eastAsia" w:ascii="宋体" w:hAnsi="宋体"/>
          <w:highlight w:val="none"/>
        </w:rPr>
        <w:t>。</w:t>
      </w:r>
    </w:p>
    <w:p w14:paraId="0D9C00B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承包人提交项目进度计划的份数和时间：</w:t>
      </w:r>
      <w:r>
        <w:rPr>
          <w:rStyle w:val="86"/>
          <w:rFonts w:hint="eastAsia" w:ascii="宋体" w:hAnsi="宋体"/>
          <w:highlight w:val="none"/>
          <w:u w:val="single"/>
        </w:rPr>
        <w:t xml:space="preserve">                 </w:t>
      </w:r>
      <w:r>
        <w:rPr>
          <w:rStyle w:val="86"/>
          <w:rFonts w:hint="eastAsia" w:ascii="宋体" w:hAnsi="宋体"/>
          <w:highlight w:val="none"/>
        </w:rPr>
        <w:t>。</w:t>
      </w:r>
    </w:p>
    <w:p w14:paraId="59A1CF3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8.4.3 进度计划的修订</w:t>
      </w:r>
    </w:p>
    <w:p w14:paraId="3FF9DE2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承包人提交修订项目进度计划申请报告的期限：</w:t>
      </w:r>
      <w:r>
        <w:rPr>
          <w:rStyle w:val="86"/>
          <w:rFonts w:hint="eastAsia" w:ascii="宋体" w:hAnsi="宋体"/>
          <w:highlight w:val="none"/>
          <w:u w:val="single"/>
        </w:rPr>
        <w:t xml:space="preserve">                    </w:t>
      </w:r>
      <w:r>
        <w:rPr>
          <w:rStyle w:val="86"/>
          <w:rFonts w:hint="eastAsia" w:ascii="宋体" w:hAnsi="宋体"/>
          <w:highlight w:val="none"/>
        </w:rPr>
        <w:t>。</w:t>
      </w:r>
    </w:p>
    <w:p w14:paraId="6E7AED4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发包人批复修订项目进度计划申请报告的期限：</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b/>
          <w:bCs/>
          <w:spacing w:val="-4"/>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034DAE7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承包人答复发包人提出修订合同计划的期限：</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b/>
          <w:bCs/>
          <w:spacing w:val="-4"/>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697A7BD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8.5 进度报告</w:t>
      </w:r>
    </w:p>
    <w:p w14:paraId="2A7C389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进度报告的具体要求：</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6AF6416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8.7 工期延误</w:t>
      </w:r>
    </w:p>
    <w:p w14:paraId="3D52049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8.7.2 因承包人原因导致工期延误</w:t>
      </w:r>
    </w:p>
    <w:p w14:paraId="6A95FE3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因承包人原因使竣工日期延误，每延误1日的误期赔偿金额为合同协议书的合同价格的</w:t>
      </w:r>
      <w:r>
        <w:rPr>
          <w:rStyle w:val="86"/>
          <w:rFonts w:hint="eastAsia" w:ascii="宋体" w:hAnsi="宋体"/>
          <w:b/>
          <w:bCs/>
          <w:highlight w:val="none"/>
          <w:u w:val="single"/>
        </w:rPr>
        <w:t xml:space="preserve">  / </w:t>
      </w:r>
      <w:r>
        <w:rPr>
          <w:rStyle w:val="86"/>
          <w:rFonts w:hint="eastAsia" w:ascii="宋体" w:hAnsi="宋体"/>
          <w:highlight w:val="none"/>
          <w:u w:val="single"/>
        </w:rPr>
        <w:t xml:space="preserve"> </w:t>
      </w:r>
      <w:r>
        <w:rPr>
          <w:rStyle w:val="86"/>
          <w:rFonts w:hint="eastAsia" w:ascii="宋体" w:hAnsi="宋体"/>
          <w:highlight w:val="none"/>
        </w:rPr>
        <w:t>%或人民币金额为：</w:t>
      </w:r>
      <w:r>
        <w:rPr>
          <w:rStyle w:val="86"/>
          <w:rFonts w:hint="eastAsia" w:ascii="宋体" w:hAnsi="宋体"/>
          <w:highlight w:val="none"/>
          <w:u w:val="single"/>
        </w:rPr>
        <w:t xml:space="preserve"> </w:t>
      </w:r>
      <w:r>
        <w:rPr>
          <w:rStyle w:val="86"/>
          <w:rFonts w:hint="eastAsia" w:ascii="宋体" w:hAnsi="宋体"/>
          <w:highlight w:val="none"/>
          <w:u w:val="single"/>
          <w:lang w:val="en-US" w:eastAsia="zh-CN"/>
        </w:rPr>
        <w:t>5000</w:t>
      </w:r>
      <w:r>
        <w:rPr>
          <w:rStyle w:val="86"/>
          <w:rFonts w:hint="eastAsia" w:ascii="宋体" w:hAnsi="宋体"/>
          <w:highlight w:val="none"/>
          <w:u w:val="single"/>
        </w:rPr>
        <w:t xml:space="preserve"> 元  </w:t>
      </w:r>
      <w:r>
        <w:rPr>
          <w:rStyle w:val="86"/>
          <w:rFonts w:hint="eastAsia" w:ascii="宋体" w:hAnsi="宋体"/>
          <w:highlight w:val="none"/>
        </w:rPr>
        <w:t>、累计最高赔偿金额为合同协议书的合同价格的：</w:t>
      </w:r>
      <w:r>
        <w:rPr>
          <w:rStyle w:val="86"/>
          <w:rFonts w:hint="eastAsia" w:ascii="宋体" w:hAnsi="宋体"/>
          <w:highlight w:val="none"/>
          <w:u w:val="single"/>
        </w:rPr>
        <w:t xml:space="preserve">  1  </w:t>
      </w:r>
      <w:r>
        <w:rPr>
          <w:rStyle w:val="86"/>
          <w:rFonts w:hint="eastAsia" w:ascii="宋体" w:hAnsi="宋体"/>
          <w:highlight w:val="none"/>
        </w:rPr>
        <w:t>%或人民币金额为：</w:t>
      </w:r>
      <w:r>
        <w:rPr>
          <w:rStyle w:val="86"/>
          <w:rFonts w:hint="eastAsia" w:ascii="宋体" w:hAnsi="宋体"/>
          <w:highlight w:val="none"/>
          <w:u w:val="single"/>
        </w:rPr>
        <w:t xml:space="preserve">  /   </w:t>
      </w:r>
      <w:r>
        <w:rPr>
          <w:rStyle w:val="86"/>
          <w:rFonts w:hint="eastAsia" w:ascii="宋体" w:hAnsi="宋体"/>
          <w:highlight w:val="none"/>
        </w:rPr>
        <w:t>。</w:t>
      </w:r>
    </w:p>
    <w:p w14:paraId="4036768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8.7.3 行政审批迟延</w:t>
      </w:r>
    </w:p>
    <w:p w14:paraId="4C9AC96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行政审批报送的职责分工：</w:t>
      </w:r>
      <w:r>
        <w:rPr>
          <w:rStyle w:val="86"/>
          <w:rFonts w:hint="eastAsia" w:ascii="宋体" w:hAnsi="宋体"/>
          <w:highlight w:val="none"/>
          <w:u w:val="single"/>
        </w:rPr>
        <w:t xml:space="preserve">                          </w:t>
      </w:r>
      <w:r>
        <w:rPr>
          <w:rStyle w:val="86"/>
          <w:rFonts w:hint="eastAsia" w:ascii="宋体" w:hAnsi="宋体"/>
          <w:highlight w:val="none"/>
        </w:rPr>
        <w:t>。</w:t>
      </w:r>
    </w:p>
    <w:p w14:paraId="71475DE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8.7.4 异常恶劣的气候条件</w:t>
      </w:r>
    </w:p>
    <w:p w14:paraId="41E554C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双方约定视为异常恶劣的气候条件的情形：</w:t>
      </w:r>
      <w:r>
        <w:rPr>
          <w:rStyle w:val="86"/>
          <w:rFonts w:hint="eastAsia" w:ascii="宋体" w:hAnsi="宋体"/>
          <w:highlight w:val="none"/>
          <w:u w:val="single"/>
        </w:rPr>
        <w:t xml:space="preserve">                </w:t>
      </w:r>
      <w:r>
        <w:rPr>
          <w:rStyle w:val="86"/>
          <w:rFonts w:hint="eastAsia" w:ascii="宋体" w:hAnsi="宋体"/>
          <w:highlight w:val="none"/>
        </w:rPr>
        <w:t>。</w:t>
      </w:r>
    </w:p>
    <w:p w14:paraId="0218CA0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8.8 工期提前</w:t>
      </w:r>
    </w:p>
    <w:p w14:paraId="3BA9B09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8.8.2 承包人提前竣工的奖励：</w:t>
      </w:r>
      <w:r>
        <w:rPr>
          <w:rStyle w:val="86"/>
          <w:rFonts w:hint="eastAsia" w:ascii="宋体" w:hAnsi="宋体"/>
          <w:highlight w:val="none"/>
          <w:u w:val="single"/>
        </w:rPr>
        <w:t xml:space="preserve">          无           </w:t>
      </w:r>
      <w:r>
        <w:rPr>
          <w:rStyle w:val="86"/>
          <w:rFonts w:hint="eastAsia" w:ascii="宋体" w:hAnsi="宋体"/>
          <w:highlight w:val="none"/>
        </w:rPr>
        <w:t>。</w:t>
      </w:r>
    </w:p>
    <w:p w14:paraId="60D66521">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第9条 竣工试验</w:t>
      </w:r>
    </w:p>
    <w:p w14:paraId="4505AD4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9.1 竣工试验的义务</w:t>
      </w:r>
    </w:p>
    <w:p w14:paraId="22FE4CE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9.1.3 竣工试验的阶段、内容和顺序：</w:t>
      </w:r>
      <w:r>
        <w:rPr>
          <w:rStyle w:val="86"/>
          <w:rFonts w:hint="eastAsia" w:ascii="宋体" w:hAnsi="宋体"/>
          <w:highlight w:val="none"/>
          <w:u w:val="single"/>
        </w:rPr>
        <w:t xml:space="preserve">                   </w:t>
      </w:r>
      <w:r>
        <w:rPr>
          <w:rStyle w:val="86"/>
          <w:rFonts w:hint="eastAsia" w:ascii="宋体" w:hAnsi="宋体"/>
          <w:highlight w:val="none"/>
        </w:rPr>
        <w:t>。</w:t>
      </w:r>
    </w:p>
    <w:p w14:paraId="6325628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竣工试验的操作要求：</w:t>
      </w:r>
      <w:r>
        <w:rPr>
          <w:rStyle w:val="86"/>
          <w:rFonts w:hint="eastAsia" w:ascii="宋体" w:hAnsi="宋体"/>
          <w:highlight w:val="none"/>
          <w:u w:val="single"/>
        </w:rPr>
        <w:t xml:space="preserve">                 </w:t>
      </w:r>
      <w:r>
        <w:rPr>
          <w:rStyle w:val="86"/>
          <w:rFonts w:hint="eastAsia" w:ascii="宋体" w:hAnsi="宋体"/>
          <w:highlight w:val="none"/>
        </w:rPr>
        <w:t>。</w:t>
      </w:r>
    </w:p>
    <w:p w14:paraId="76A8B249">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第10条 验收和工程接收</w:t>
      </w:r>
    </w:p>
    <w:p w14:paraId="56C6B9BF">
      <w:pPr>
        <w:pStyle w:val="22"/>
        <w:spacing w:before="78" w:line="450" w:lineRule="exact"/>
        <w:ind w:left="492"/>
        <w:rPr>
          <w:rStyle w:val="86"/>
          <w:rFonts w:hint="eastAsia" w:ascii="黑体" w:hAnsi="黑体" w:eastAsia="黑体"/>
          <w:sz w:val="24"/>
          <w:szCs w:val="24"/>
          <w:highlight w:val="none"/>
        </w:rPr>
      </w:pPr>
      <w:r>
        <w:rPr>
          <w:rStyle w:val="86"/>
          <w:rFonts w:hint="eastAsia" w:ascii="黑体" w:hAnsi="黑体" w:eastAsia="黑体"/>
          <w:spacing w:val="-3"/>
          <w:position w:val="15"/>
          <w:sz w:val="24"/>
          <w:szCs w:val="24"/>
          <w:highlight w:val="none"/>
        </w:rPr>
        <w:t>1</w:t>
      </w:r>
      <w:r>
        <w:rPr>
          <w:rStyle w:val="86"/>
          <w:rFonts w:hint="eastAsia" w:ascii="黑体" w:hAnsi="黑体" w:eastAsia="黑体"/>
          <w:spacing w:val="-2"/>
          <w:position w:val="15"/>
          <w:sz w:val="24"/>
          <w:szCs w:val="24"/>
          <w:highlight w:val="none"/>
        </w:rPr>
        <w:t>0.1 竣工验收</w:t>
      </w:r>
    </w:p>
    <w:p w14:paraId="3A27608B">
      <w:pPr>
        <w:pStyle w:val="22"/>
        <w:spacing w:before="2"/>
        <w:ind w:firstLine="414" w:firstLineChars="200"/>
        <w:rPr>
          <w:rStyle w:val="86"/>
          <w:rFonts w:hint="eastAsia" w:ascii="宋体" w:hAnsi="宋体"/>
          <w:b/>
          <w:bCs/>
          <w:highlight w:val="none"/>
        </w:rPr>
      </w:pPr>
      <w:r>
        <w:rPr>
          <w:rStyle w:val="86"/>
          <w:rFonts w:hint="eastAsia" w:ascii="宋体" w:hAnsi="宋体"/>
          <w:b/>
          <w:bCs/>
          <w:spacing w:val="-2"/>
          <w:highlight w:val="none"/>
          <w:u w:val="single"/>
        </w:rPr>
        <w:t>10.1</w:t>
      </w:r>
      <w:r>
        <w:rPr>
          <w:rStyle w:val="86"/>
          <w:rFonts w:hint="eastAsia" w:ascii="宋体" w:hAnsi="宋体"/>
          <w:b/>
          <w:bCs/>
          <w:spacing w:val="-1"/>
          <w:highlight w:val="none"/>
          <w:u w:val="single"/>
        </w:rPr>
        <w:t xml:space="preserve"> 竣工资料及竣工验收报告</w:t>
      </w:r>
      <w:r>
        <w:rPr>
          <w:rStyle w:val="86"/>
          <w:rFonts w:hint="eastAsia" w:ascii="宋体" w:hAnsi="宋体"/>
          <w:b/>
          <w:bCs/>
          <w:highlight w:val="none"/>
          <w:u w:val="single"/>
        </w:rPr>
        <w:t xml:space="preserve"> </w:t>
      </w:r>
    </w:p>
    <w:p w14:paraId="7FECFBB9">
      <w:pPr>
        <w:pStyle w:val="22"/>
        <w:spacing w:before="154"/>
        <w:ind w:left="376"/>
        <w:rPr>
          <w:rStyle w:val="86"/>
          <w:rFonts w:hint="eastAsia" w:ascii="宋体" w:hAnsi="宋体"/>
          <w:b/>
          <w:bCs/>
          <w:highlight w:val="none"/>
        </w:rPr>
      </w:pPr>
      <w:r>
        <w:rPr>
          <w:rStyle w:val="86"/>
          <w:rFonts w:hint="eastAsia" w:ascii="宋体" w:hAnsi="宋体"/>
          <w:b/>
          <w:bCs/>
          <w:spacing w:val="-1"/>
          <w:highlight w:val="none"/>
          <w:u w:val="single"/>
        </w:rPr>
        <w:t>10.1 竣工验收报告及完整的竣工资料</w:t>
      </w:r>
      <w:r>
        <w:rPr>
          <w:rStyle w:val="86"/>
          <w:rFonts w:hint="eastAsia" w:ascii="宋体" w:hAnsi="宋体"/>
          <w:b/>
          <w:bCs/>
          <w:highlight w:val="none"/>
          <w:u w:val="single"/>
        </w:rPr>
        <w:t xml:space="preserve"> </w:t>
      </w:r>
    </w:p>
    <w:p w14:paraId="1B9C2867">
      <w:pPr>
        <w:pStyle w:val="22"/>
        <w:spacing w:before="155"/>
        <w:ind w:left="376"/>
        <w:rPr>
          <w:rStyle w:val="86"/>
          <w:rFonts w:hint="eastAsia" w:ascii="宋体" w:hAnsi="宋体"/>
          <w:b/>
          <w:bCs/>
          <w:highlight w:val="none"/>
          <w:u w:val="single"/>
        </w:rPr>
      </w:pPr>
      <w:r>
        <w:rPr>
          <w:rStyle w:val="86"/>
          <w:rFonts w:hint="eastAsia" w:ascii="宋体" w:hAnsi="宋体"/>
          <w:b/>
          <w:bCs/>
          <w:spacing w:val="-2"/>
          <w:highlight w:val="none"/>
          <w:u w:val="single"/>
        </w:rPr>
        <w:t>10</w:t>
      </w:r>
      <w:r>
        <w:rPr>
          <w:rStyle w:val="86"/>
          <w:rFonts w:hint="eastAsia" w:ascii="宋体" w:hAnsi="宋体"/>
          <w:b/>
          <w:bCs/>
          <w:spacing w:val="-1"/>
          <w:highlight w:val="none"/>
          <w:u w:val="single"/>
        </w:rPr>
        <w:t>.l.l 竣工资料和竣工验收报告</w:t>
      </w:r>
      <w:r>
        <w:rPr>
          <w:rStyle w:val="86"/>
          <w:rFonts w:hint="eastAsia" w:ascii="宋体" w:hAnsi="宋体"/>
          <w:b/>
          <w:bCs/>
          <w:highlight w:val="none"/>
          <w:u w:val="single"/>
        </w:rPr>
        <w:t xml:space="preserve"> </w:t>
      </w:r>
    </w:p>
    <w:p w14:paraId="451C81EB">
      <w:pPr>
        <w:pStyle w:val="22"/>
        <w:spacing w:before="78" w:line="340" w:lineRule="auto"/>
        <w:ind w:left="10" w:right="18" w:firstLine="366"/>
        <w:rPr>
          <w:rStyle w:val="86"/>
          <w:rFonts w:hint="eastAsia" w:ascii="宋体" w:hAnsi="宋体"/>
          <w:b/>
          <w:bCs/>
          <w:highlight w:val="none"/>
        </w:rPr>
      </w:pPr>
      <w:r>
        <w:rPr>
          <w:rStyle w:val="86"/>
          <w:rFonts w:hint="eastAsia" w:ascii="宋体" w:hAnsi="宋体"/>
          <w:b/>
          <w:bCs/>
          <w:spacing w:val="-2"/>
          <w:highlight w:val="none"/>
          <w:u w:val="single"/>
        </w:rPr>
        <w:t>10.1 .1.1 竣工验收申请报告当工程具备以下条件时， 承包</w:t>
      </w:r>
      <w:r>
        <w:rPr>
          <w:rStyle w:val="86"/>
          <w:rFonts w:hint="eastAsia" w:ascii="宋体" w:hAnsi="宋体"/>
          <w:b/>
          <w:bCs/>
          <w:spacing w:val="-1"/>
          <w:highlight w:val="none"/>
          <w:u w:val="single"/>
        </w:rPr>
        <w:t>人即可向监理人、发包</w:t>
      </w:r>
      <w:r>
        <w:rPr>
          <w:rStyle w:val="86"/>
          <w:rFonts w:hint="eastAsia" w:ascii="宋体" w:hAnsi="宋体"/>
          <w:b/>
          <w:bCs/>
          <w:spacing w:val="-23"/>
          <w:highlight w:val="none"/>
          <w:u w:val="single"/>
        </w:rPr>
        <w:t>人</w:t>
      </w:r>
      <w:r>
        <w:rPr>
          <w:rStyle w:val="86"/>
          <w:rFonts w:hint="eastAsia" w:ascii="宋体" w:hAnsi="宋体"/>
          <w:b/>
          <w:bCs/>
          <w:spacing w:val="-15"/>
          <w:highlight w:val="none"/>
          <w:u w:val="single"/>
        </w:rPr>
        <w:t>报送竣工验收申请报告：</w:t>
      </w:r>
      <w:r>
        <w:rPr>
          <w:rStyle w:val="86"/>
          <w:rFonts w:hint="eastAsia" w:ascii="宋体" w:hAnsi="宋体"/>
          <w:b/>
          <w:bCs/>
          <w:highlight w:val="none"/>
          <w:u w:val="single"/>
        </w:rPr>
        <w:t xml:space="preserve">  </w:t>
      </w:r>
    </w:p>
    <w:p w14:paraId="6F1BA426">
      <w:pPr>
        <w:pStyle w:val="22"/>
        <w:spacing w:before="2" w:line="336" w:lineRule="auto"/>
        <w:ind w:left="8" w:right="2" w:firstLine="392"/>
        <w:rPr>
          <w:rStyle w:val="86"/>
          <w:rFonts w:hint="eastAsia" w:ascii="宋体" w:hAnsi="宋体"/>
          <w:b/>
          <w:bCs/>
          <w:highlight w:val="none"/>
        </w:rPr>
      </w:pPr>
      <w:r>
        <w:rPr>
          <w:rStyle w:val="86"/>
          <w:rFonts w:hint="eastAsia" w:ascii="宋体" w:hAnsi="宋体"/>
          <w:b/>
          <w:bCs/>
          <w:spacing w:val="20"/>
          <w:highlight w:val="none"/>
          <w:u w:val="single"/>
        </w:rPr>
        <w:t>(</w:t>
      </w:r>
      <w:r>
        <w:rPr>
          <w:rStyle w:val="86"/>
          <w:rFonts w:hint="eastAsia" w:ascii="宋体" w:hAnsi="宋体"/>
          <w:b/>
          <w:bCs/>
          <w:spacing w:val="16"/>
          <w:highlight w:val="none"/>
          <w:u w:val="single"/>
        </w:rPr>
        <w:t>1</w:t>
      </w:r>
      <w:r>
        <w:rPr>
          <w:rStyle w:val="86"/>
          <w:rFonts w:hint="eastAsia" w:ascii="宋体" w:hAnsi="宋体"/>
          <w:b/>
          <w:bCs/>
          <w:spacing w:val="10"/>
          <w:highlight w:val="none"/>
          <w:u w:val="single"/>
        </w:rPr>
        <w:t>)除监理人、发包人同意列入缺陷责任期内完成的尾工(甩项)工程和缺陷修补</w:t>
      </w:r>
      <w:r>
        <w:rPr>
          <w:rStyle w:val="86"/>
          <w:rFonts w:hint="eastAsia" w:ascii="宋体" w:hAnsi="宋体"/>
          <w:b/>
          <w:bCs/>
          <w:highlight w:val="none"/>
        </w:rPr>
        <w:t xml:space="preserve"> </w:t>
      </w:r>
      <w:r>
        <w:rPr>
          <w:rStyle w:val="86"/>
          <w:rFonts w:hint="eastAsia" w:ascii="宋体" w:hAnsi="宋体"/>
          <w:b/>
          <w:bCs/>
          <w:spacing w:val="-8"/>
          <w:highlight w:val="none"/>
          <w:u w:val="single"/>
        </w:rPr>
        <w:t>工作外</w:t>
      </w:r>
      <w:r>
        <w:rPr>
          <w:rStyle w:val="86"/>
          <w:rFonts w:hint="eastAsia" w:ascii="宋体" w:hAnsi="宋体"/>
          <w:b/>
          <w:bCs/>
          <w:spacing w:val="-5"/>
          <w:highlight w:val="none"/>
          <w:u w:val="single"/>
        </w:rPr>
        <w:t>，</w:t>
      </w:r>
      <w:r>
        <w:rPr>
          <w:rStyle w:val="86"/>
          <w:rFonts w:hint="eastAsia" w:ascii="宋体" w:hAnsi="宋体"/>
          <w:b/>
          <w:bCs/>
          <w:spacing w:val="-4"/>
          <w:highlight w:val="none"/>
          <w:u w:val="single"/>
        </w:rPr>
        <w:t xml:space="preserve"> 合同范围内的全部单位工程以及有关工作，包括合同要求的试验、试运行以及</w:t>
      </w:r>
      <w:r>
        <w:rPr>
          <w:rStyle w:val="86"/>
          <w:rFonts w:hint="eastAsia" w:ascii="宋体" w:hAnsi="宋体"/>
          <w:b/>
          <w:bCs/>
          <w:spacing w:val="-12"/>
          <w:highlight w:val="none"/>
          <w:u w:val="single"/>
        </w:rPr>
        <w:t>检</w:t>
      </w:r>
      <w:r>
        <w:rPr>
          <w:rStyle w:val="86"/>
          <w:rFonts w:hint="eastAsia" w:ascii="宋体" w:hAnsi="宋体"/>
          <w:b/>
          <w:bCs/>
          <w:spacing w:val="-10"/>
          <w:highlight w:val="none"/>
          <w:u w:val="single"/>
        </w:rPr>
        <w:t>验和验收均己完成，并符合合同要求；</w:t>
      </w:r>
      <w:r>
        <w:rPr>
          <w:rStyle w:val="86"/>
          <w:rFonts w:hint="eastAsia" w:ascii="宋体" w:hAnsi="宋体"/>
          <w:b/>
          <w:bCs/>
          <w:highlight w:val="none"/>
          <w:u w:val="single"/>
        </w:rPr>
        <w:t xml:space="preserve">  </w:t>
      </w:r>
    </w:p>
    <w:p w14:paraId="30301E04">
      <w:pPr>
        <w:pStyle w:val="22"/>
        <w:spacing w:before="1"/>
        <w:ind w:left="401"/>
        <w:rPr>
          <w:rStyle w:val="86"/>
          <w:rFonts w:hint="eastAsia" w:ascii="宋体" w:hAnsi="宋体"/>
          <w:b/>
          <w:bCs/>
          <w:highlight w:val="none"/>
        </w:rPr>
      </w:pPr>
      <w:r>
        <w:rPr>
          <w:rStyle w:val="86"/>
          <w:rFonts w:hint="eastAsia" w:ascii="宋体" w:hAnsi="宋体"/>
          <w:b/>
          <w:bCs/>
          <w:spacing w:val="-6"/>
          <w:highlight w:val="none"/>
          <w:u w:val="single"/>
        </w:rPr>
        <w:t>(2</w:t>
      </w:r>
      <w:r>
        <w:rPr>
          <w:rStyle w:val="86"/>
          <w:rFonts w:hint="eastAsia" w:ascii="宋体" w:hAnsi="宋体"/>
          <w:b/>
          <w:bCs/>
          <w:spacing w:val="-4"/>
          <w:highlight w:val="none"/>
          <w:u w:val="single"/>
        </w:rPr>
        <w:t>)</w:t>
      </w:r>
      <w:r>
        <w:rPr>
          <w:rStyle w:val="86"/>
          <w:rFonts w:hint="eastAsia" w:ascii="宋体" w:hAnsi="宋体"/>
          <w:b/>
          <w:bCs/>
          <w:spacing w:val="-3"/>
          <w:highlight w:val="none"/>
          <w:u w:val="single"/>
        </w:rPr>
        <w:t>已按合同约定的内容和份数备齐了符合要求的竣工资料；</w:t>
      </w:r>
      <w:r>
        <w:rPr>
          <w:rStyle w:val="86"/>
          <w:rFonts w:hint="eastAsia" w:ascii="宋体" w:hAnsi="宋体"/>
          <w:b/>
          <w:bCs/>
          <w:highlight w:val="none"/>
          <w:u w:val="single"/>
        </w:rPr>
        <w:t xml:space="preserve">  </w:t>
      </w:r>
    </w:p>
    <w:p w14:paraId="012D6671">
      <w:pPr>
        <w:pStyle w:val="22"/>
        <w:spacing w:before="153" w:line="340" w:lineRule="auto"/>
        <w:ind w:left="4" w:right="14" w:firstLine="396"/>
        <w:rPr>
          <w:rStyle w:val="86"/>
          <w:rFonts w:hint="eastAsia" w:ascii="宋体" w:hAnsi="宋体"/>
          <w:b/>
          <w:bCs/>
          <w:highlight w:val="none"/>
        </w:rPr>
      </w:pPr>
      <w:r>
        <w:rPr>
          <w:rStyle w:val="86"/>
          <w:rFonts w:hint="eastAsia" w:ascii="宋体" w:hAnsi="宋体"/>
          <w:b/>
          <w:bCs/>
          <w:spacing w:val="20"/>
          <w:highlight w:val="none"/>
          <w:u w:val="single"/>
        </w:rPr>
        <w:t>(</w:t>
      </w:r>
      <w:r>
        <w:rPr>
          <w:rStyle w:val="86"/>
          <w:rFonts w:hint="eastAsia" w:ascii="宋体" w:hAnsi="宋体"/>
          <w:b/>
          <w:bCs/>
          <w:spacing w:val="16"/>
          <w:highlight w:val="none"/>
          <w:u w:val="single"/>
        </w:rPr>
        <w:t>3</w:t>
      </w:r>
      <w:r>
        <w:rPr>
          <w:rStyle w:val="86"/>
          <w:rFonts w:hint="eastAsia" w:ascii="宋体" w:hAnsi="宋体"/>
          <w:b/>
          <w:bCs/>
          <w:spacing w:val="10"/>
          <w:highlight w:val="none"/>
          <w:u w:val="single"/>
        </w:rPr>
        <w:t>)已按监理人、发包人的要求编制了在缺陷责任期内完成的尾工(甩项)工程和</w:t>
      </w:r>
      <w:r>
        <w:rPr>
          <w:rStyle w:val="86"/>
          <w:rFonts w:hint="eastAsia" w:ascii="宋体" w:hAnsi="宋体"/>
          <w:b/>
          <w:bCs/>
          <w:highlight w:val="none"/>
        </w:rPr>
        <w:t xml:space="preserve"> </w:t>
      </w:r>
      <w:r>
        <w:rPr>
          <w:rStyle w:val="86"/>
          <w:rFonts w:hint="eastAsia" w:ascii="宋体" w:hAnsi="宋体"/>
          <w:b/>
          <w:bCs/>
          <w:spacing w:val="-19"/>
          <w:highlight w:val="none"/>
          <w:u w:val="single"/>
        </w:rPr>
        <w:t>缺</w:t>
      </w:r>
      <w:r>
        <w:rPr>
          <w:rStyle w:val="86"/>
          <w:rFonts w:hint="eastAsia" w:ascii="宋体" w:hAnsi="宋体"/>
          <w:b/>
          <w:bCs/>
          <w:spacing w:val="-10"/>
          <w:highlight w:val="none"/>
          <w:u w:val="single"/>
        </w:rPr>
        <w:t>陷修补工作清单以及相应施工计划；</w:t>
      </w:r>
      <w:r>
        <w:rPr>
          <w:rStyle w:val="86"/>
          <w:rFonts w:hint="eastAsia" w:ascii="宋体" w:hAnsi="宋体"/>
          <w:b/>
          <w:bCs/>
          <w:highlight w:val="none"/>
          <w:u w:val="single"/>
        </w:rPr>
        <w:t xml:space="preserve">  </w:t>
      </w:r>
    </w:p>
    <w:p w14:paraId="27A049D3">
      <w:pPr>
        <w:pStyle w:val="22"/>
        <w:ind w:left="401"/>
        <w:rPr>
          <w:rStyle w:val="86"/>
          <w:rFonts w:hint="eastAsia" w:ascii="宋体" w:hAnsi="宋体"/>
          <w:b/>
          <w:bCs/>
          <w:highlight w:val="none"/>
        </w:rPr>
      </w:pPr>
      <w:r>
        <w:rPr>
          <w:rStyle w:val="86"/>
          <w:rFonts w:hint="eastAsia" w:ascii="宋体" w:hAnsi="宋体"/>
          <w:b/>
          <w:bCs/>
          <w:spacing w:val="-6"/>
          <w:highlight w:val="none"/>
          <w:u w:val="single"/>
        </w:rPr>
        <w:t>(4)</w:t>
      </w:r>
      <w:r>
        <w:rPr>
          <w:rStyle w:val="86"/>
          <w:rFonts w:hint="eastAsia" w:ascii="宋体" w:hAnsi="宋体"/>
          <w:b/>
          <w:bCs/>
          <w:spacing w:val="-5"/>
          <w:highlight w:val="none"/>
          <w:u w:val="single"/>
        </w:rPr>
        <w:t>监</w:t>
      </w:r>
      <w:r>
        <w:rPr>
          <w:rStyle w:val="86"/>
          <w:rFonts w:hint="eastAsia" w:ascii="宋体" w:hAnsi="宋体"/>
          <w:b/>
          <w:bCs/>
          <w:spacing w:val="-3"/>
          <w:highlight w:val="none"/>
          <w:u w:val="single"/>
        </w:rPr>
        <w:t>理人、发包人要求在竣工验收前应完成的其他工作：</w:t>
      </w:r>
      <w:r>
        <w:rPr>
          <w:rStyle w:val="86"/>
          <w:rFonts w:hint="eastAsia" w:ascii="宋体" w:hAnsi="宋体"/>
          <w:b/>
          <w:bCs/>
          <w:highlight w:val="none"/>
          <w:u w:val="single"/>
        </w:rPr>
        <w:t xml:space="preserve">  </w:t>
      </w:r>
    </w:p>
    <w:p w14:paraId="0BF89D97">
      <w:pPr>
        <w:pStyle w:val="22"/>
        <w:spacing w:before="156"/>
        <w:ind w:left="401"/>
        <w:rPr>
          <w:rStyle w:val="86"/>
          <w:rFonts w:hint="eastAsia" w:ascii="宋体" w:hAnsi="宋体"/>
          <w:b/>
          <w:bCs/>
          <w:highlight w:val="none"/>
        </w:rPr>
      </w:pPr>
      <w:r>
        <w:rPr>
          <w:rStyle w:val="86"/>
          <w:rFonts w:hint="eastAsia" w:ascii="宋体" w:hAnsi="宋体"/>
          <w:b/>
          <w:bCs/>
          <w:spacing w:val="-3"/>
          <w:highlight w:val="none"/>
          <w:u w:val="single"/>
        </w:rPr>
        <w:t>(5)监理人、发包人要求提交的竣工验收资料清单。</w:t>
      </w:r>
      <w:r>
        <w:rPr>
          <w:rStyle w:val="86"/>
          <w:rFonts w:hint="eastAsia" w:ascii="宋体" w:hAnsi="宋体"/>
          <w:b/>
          <w:bCs/>
          <w:highlight w:val="none"/>
          <w:u w:val="single"/>
        </w:rPr>
        <w:t xml:space="preserve">  </w:t>
      </w:r>
    </w:p>
    <w:p w14:paraId="727A13B6">
      <w:pPr>
        <w:pStyle w:val="22"/>
        <w:spacing w:before="169" w:line="338" w:lineRule="auto"/>
        <w:ind w:left="6" w:firstLine="394"/>
        <w:rPr>
          <w:rStyle w:val="86"/>
          <w:rFonts w:hint="eastAsia" w:ascii="宋体" w:hAnsi="宋体"/>
          <w:b/>
          <w:bCs/>
          <w:highlight w:val="none"/>
        </w:rPr>
      </w:pPr>
      <w:r>
        <w:rPr>
          <w:rStyle w:val="86"/>
          <w:rFonts w:hint="eastAsia" w:ascii="宋体" w:hAnsi="宋体"/>
          <w:b/>
          <w:bCs/>
          <w:spacing w:val="4"/>
          <w:highlight w:val="none"/>
          <w:u w:val="single"/>
        </w:rPr>
        <w:t>(6)承包人负责整理和提交的竣工验收资料应当符合工程所在地建设行政主管</w:t>
      </w:r>
      <w:r>
        <w:rPr>
          <w:rStyle w:val="86"/>
          <w:rFonts w:hint="eastAsia" w:ascii="宋体" w:hAnsi="宋体"/>
          <w:b/>
          <w:bCs/>
          <w:spacing w:val="2"/>
          <w:highlight w:val="none"/>
          <w:u w:val="single"/>
        </w:rPr>
        <w:t>部</w:t>
      </w:r>
      <w:r>
        <w:rPr>
          <w:rStyle w:val="86"/>
          <w:rFonts w:hint="eastAsia" w:ascii="宋体" w:hAnsi="宋体"/>
          <w:b/>
          <w:bCs/>
          <w:highlight w:val="none"/>
          <w:u w:val="single"/>
        </w:rPr>
        <w:t>门</w:t>
      </w:r>
      <w:r>
        <w:rPr>
          <w:rStyle w:val="86"/>
          <w:rFonts w:hint="eastAsia" w:ascii="宋体" w:hAnsi="宋体"/>
          <w:b/>
          <w:bCs/>
          <w:highlight w:val="none"/>
        </w:rPr>
        <w:t xml:space="preserve"> </w:t>
      </w:r>
      <w:r>
        <w:rPr>
          <w:rStyle w:val="86"/>
          <w:rFonts w:hint="eastAsia" w:ascii="宋体" w:hAnsi="宋体"/>
          <w:b/>
          <w:bCs/>
          <w:spacing w:val="-8"/>
          <w:highlight w:val="none"/>
          <w:u w:val="single"/>
        </w:rPr>
        <w:t>和</w:t>
      </w:r>
      <w:r>
        <w:rPr>
          <w:rStyle w:val="86"/>
          <w:rFonts w:hint="eastAsia" w:ascii="宋体" w:hAnsi="宋体"/>
          <w:b/>
          <w:bCs/>
          <w:spacing w:val="-5"/>
          <w:highlight w:val="none"/>
          <w:u w:val="single"/>
        </w:rPr>
        <w:t>(</w:t>
      </w:r>
      <w:r>
        <w:rPr>
          <w:rStyle w:val="86"/>
          <w:rFonts w:hint="eastAsia" w:ascii="宋体" w:hAnsi="宋体"/>
          <w:b/>
          <w:bCs/>
          <w:spacing w:val="-4"/>
          <w:highlight w:val="none"/>
          <w:u w:val="single"/>
        </w:rPr>
        <w:t>或)城市建设档案管理机构有关施工资料的要求， 并符合发包人和承包人共同签署的</w:t>
      </w:r>
      <w:r>
        <w:rPr>
          <w:rStyle w:val="86"/>
          <w:rFonts w:hint="eastAsia" w:ascii="宋体" w:hAnsi="宋体"/>
          <w:b/>
          <w:bCs/>
          <w:highlight w:val="none"/>
        </w:rPr>
        <w:t xml:space="preserve"> </w:t>
      </w:r>
      <w:r>
        <w:rPr>
          <w:rStyle w:val="86"/>
          <w:rFonts w:hint="eastAsia" w:ascii="宋体" w:hAnsi="宋体"/>
          <w:b/>
          <w:bCs/>
          <w:spacing w:val="-8"/>
          <w:highlight w:val="none"/>
          <w:u w:val="single"/>
        </w:rPr>
        <w:t>工</w:t>
      </w:r>
      <w:r>
        <w:rPr>
          <w:rStyle w:val="86"/>
          <w:rFonts w:hint="eastAsia" w:ascii="宋体" w:hAnsi="宋体"/>
          <w:b/>
          <w:bCs/>
          <w:spacing w:val="-4"/>
          <w:highlight w:val="none"/>
          <w:u w:val="single"/>
        </w:rPr>
        <w:t>程竣工资料归档管理协议的要求。竣工验收资料的份数：  5 份</w:t>
      </w:r>
      <w:r>
        <w:rPr>
          <w:rStyle w:val="86"/>
          <w:rFonts w:hint="eastAsia" w:ascii="宋体" w:hAnsi="宋体"/>
          <w:b/>
          <w:bCs/>
          <w:highlight w:val="none"/>
          <w:u w:val="single"/>
        </w:rPr>
        <w:t xml:space="preserve"> </w:t>
      </w:r>
    </w:p>
    <w:p w14:paraId="2D58929A">
      <w:pPr>
        <w:pStyle w:val="22"/>
        <w:spacing w:before="1"/>
        <w:ind w:left="376"/>
        <w:rPr>
          <w:rStyle w:val="86"/>
          <w:rFonts w:hint="eastAsia" w:ascii="宋体" w:hAnsi="宋体"/>
          <w:b/>
          <w:bCs/>
          <w:highlight w:val="none"/>
        </w:rPr>
      </w:pPr>
      <w:r>
        <w:rPr>
          <w:rStyle w:val="86"/>
          <w:rFonts w:hint="eastAsia" w:ascii="宋体" w:hAnsi="宋体"/>
          <w:b/>
          <w:bCs/>
          <w:spacing w:val="-12"/>
          <w:highlight w:val="none"/>
          <w:u w:val="single"/>
        </w:rPr>
        <w:t>1</w:t>
      </w:r>
      <w:r>
        <w:rPr>
          <w:rStyle w:val="86"/>
          <w:rFonts w:hint="eastAsia" w:ascii="宋体" w:hAnsi="宋体"/>
          <w:b/>
          <w:bCs/>
          <w:spacing w:val="-9"/>
          <w:highlight w:val="none"/>
          <w:u w:val="single"/>
        </w:rPr>
        <w:t>0</w:t>
      </w:r>
      <w:r>
        <w:rPr>
          <w:rStyle w:val="86"/>
          <w:rFonts w:hint="eastAsia" w:ascii="宋体" w:hAnsi="宋体"/>
          <w:b/>
          <w:bCs/>
          <w:spacing w:val="-6"/>
          <w:highlight w:val="none"/>
          <w:u w:val="single"/>
        </w:rPr>
        <w:t>.2 验收和工程接收</w:t>
      </w:r>
    </w:p>
    <w:p w14:paraId="5AF22C18">
      <w:pPr>
        <w:pStyle w:val="22"/>
        <w:spacing w:before="150" w:line="340" w:lineRule="auto"/>
        <w:ind w:left="10" w:right="18" w:firstLine="366"/>
        <w:rPr>
          <w:rStyle w:val="86"/>
          <w:rFonts w:hint="eastAsia" w:ascii="宋体" w:hAnsi="宋体"/>
          <w:b/>
          <w:bCs/>
          <w:highlight w:val="none"/>
        </w:rPr>
      </w:pPr>
      <w:r>
        <w:rPr>
          <w:rStyle w:val="86"/>
          <w:rFonts w:hint="eastAsia" w:ascii="宋体" w:hAnsi="宋体"/>
          <w:b/>
          <w:bCs/>
          <w:spacing w:val="-10"/>
          <w:highlight w:val="none"/>
          <w:u w:val="single"/>
        </w:rPr>
        <w:t>10.2.1 执行通用条款第 10 条相关规定，绿化分项工程分段进行验收， 分区域栽植</w:t>
      </w:r>
      <w:r>
        <w:rPr>
          <w:rStyle w:val="86"/>
          <w:rFonts w:hint="eastAsia" w:ascii="宋体" w:hAnsi="宋体"/>
          <w:b/>
          <w:bCs/>
          <w:spacing w:val="-3"/>
          <w:highlight w:val="none"/>
          <w:u w:val="single"/>
        </w:rPr>
        <w:t>完</w:t>
      </w:r>
      <w:r>
        <w:rPr>
          <w:rStyle w:val="86"/>
          <w:rFonts w:hint="eastAsia" w:ascii="宋体" w:hAnsi="宋体"/>
          <w:b/>
          <w:bCs/>
          <w:highlight w:val="none"/>
        </w:rPr>
        <w:t xml:space="preserve"> </w:t>
      </w:r>
      <w:r>
        <w:rPr>
          <w:rStyle w:val="86"/>
          <w:rFonts w:hint="eastAsia" w:ascii="宋体" w:hAnsi="宋体"/>
          <w:b/>
          <w:bCs/>
          <w:spacing w:val="-24"/>
          <w:highlight w:val="none"/>
          <w:u w:val="single"/>
        </w:rPr>
        <w:t>成</w:t>
      </w:r>
      <w:r>
        <w:rPr>
          <w:rStyle w:val="86"/>
          <w:rFonts w:hint="eastAsia" w:ascii="宋体" w:hAnsi="宋体"/>
          <w:b/>
          <w:bCs/>
          <w:spacing w:val="-22"/>
          <w:highlight w:val="none"/>
          <w:u w:val="single"/>
        </w:rPr>
        <w:t xml:space="preserve"> 30 日为一个时间段。</w:t>
      </w:r>
      <w:r>
        <w:rPr>
          <w:rStyle w:val="86"/>
          <w:rFonts w:hint="eastAsia" w:ascii="宋体" w:hAnsi="宋体"/>
          <w:b/>
          <w:bCs/>
          <w:highlight w:val="none"/>
          <w:u w:val="single"/>
        </w:rPr>
        <w:t xml:space="preserve"> </w:t>
      </w:r>
    </w:p>
    <w:p w14:paraId="3512E8B7">
      <w:pPr>
        <w:pStyle w:val="22"/>
        <w:spacing w:line="268" w:lineRule="auto"/>
        <w:ind w:firstLine="374" w:firstLineChars="200"/>
        <w:rPr>
          <w:rStyle w:val="86"/>
          <w:rFonts w:hint="eastAsia" w:ascii="宋体" w:hAnsi="宋体"/>
          <w:highlight w:val="none"/>
        </w:rPr>
      </w:pPr>
      <w:r>
        <w:rPr>
          <w:rStyle w:val="86"/>
          <w:rFonts w:hint="eastAsia" w:ascii="宋体" w:hAnsi="宋体"/>
          <w:b/>
          <w:bCs/>
          <w:spacing w:val="-12"/>
          <w:highlight w:val="none"/>
          <w:u w:val="single"/>
        </w:rPr>
        <w:t>10.2.</w:t>
      </w:r>
      <w:r>
        <w:rPr>
          <w:rStyle w:val="86"/>
          <w:rFonts w:hint="eastAsia" w:ascii="宋体" w:hAnsi="宋体"/>
          <w:b/>
          <w:bCs/>
          <w:spacing w:val="-7"/>
          <w:highlight w:val="none"/>
          <w:u w:val="single"/>
        </w:rPr>
        <w:t>2</w:t>
      </w:r>
      <w:r>
        <w:rPr>
          <w:rStyle w:val="86"/>
          <w:rFonts w:hint="eastAsia" w:ascii="宋体" w:hAnsi="宋体"/>
          <w:b/>
          <w:bCs/>
          <w:spacing w:val="-6"/>
          <w:highlight w:val="none"/>
          <w:u w:val="single"/>
        </w:rPr>
        <w:t xml:space="preserve"> 绿化工程养护乔木成活率不低于 95%，灌木草坪成活率不低于 97%，外地乔木成</w:t>
      </w:r>
      <w:r>
        <w:rPr>
          <w:rStyle w:val="86"/>
          <w:rFonts w:hint="eastAsia" w:ascii="宋体" w:hAnsi="宋体"/>
          <w:b/>
          <w:bCs/>
          <w:spacing w:val="-12"/>
          <w:highlight w:val="none"/>
          <w:u w:val="single"/>
        </w:rPr>
        <w:t>活</w:t>
      </w:r>
      <w:r>
        <w:rPr>
          <w:rStyle w:val="86"/>
          <w:rFonts w:hint="eastAsia" w:ascii="宋体" w:hAnsi="宋体"/>
          <w:b/>
          <w:bCs/>
          <w:spacing w:val="-9"/>
          <w:highlight w:val="none"/>
          <w:u w:val="single"/>
        </w:rPr>
        <w:t>率</w:t>
      </w:r>
      <w:r>
        <w:rPr>
          <w:rStyle w:val="86"/>
          <w:rFonts w:hint="eastAsia" w:ascii="宋体" w:hAnsi="宋体"/>
          <w:b/>
          <w:bCs/>
          <w:spacing w:val="-6"/>
          <w:highlight w:val="none"/>
          <w:u w:val="single"/>
        </w:rPr>
        <w:t xml:space="preserve">不低于 95%  </w:t>
      </w:r>
      <w:r>
        <w:rPr>
          <w:rStyle w:val="86"/>
          <w:rFonts w:hint="eastAsia" w:ascii="宋体" w:hAnsi="宋体"/>
          <w:b/>
          <w:bCs/>
          <w:spacing w:val="-6"/>
          <w:highlight w:val="none"/>
        </w:rPr>
        <w:t>。</w:t>
      </w:r>
    </w:p>
    <w:p w14:paraId="5450E2F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10.1.2 关于竣工验收程序的约定：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17AF896F">
      <w:pPr>
        <w:pStyle w:val="84"/>
        <w:spacing w:line="360" w:lineRule="auto"/>
        <w:ind w:firstLine="420" w:firstLineChars="200"/>
        <w:rPr>
          <w:rStyle w:val="86"/>
          <w:rFonts w:hint="eastAsia" w:ascii="宋体" w:hAnsi="宋体"/>
          <w:highlight w:val="none"/>
          <w:u w:val="single"/>
        </w:rPr>
      </w:pPr>
      <w:r>
        <w:rPr>
          <w:rStyle w:val="86"/>
          <w:rFonts w:hint="eastAsia" w:ascii="宋体" w:hAnsi="宋体"/>
          <w:highlight w:val="none"/>
        </w:rPr>
        <w:t>发包人不按照合同约定组织竣工验收、颁发工程接受证书的违约金的计算方式：</w:t>
      </w:r>
      <w:r>
        <w:rPr>
          <w:rStyle w:val="86"/>
          <w:rFonts w:hint="eastAsia" w:ascii="宋体" w:hAnsi="宋体"/>
          <w:highlight w:val="none"/>
          <w:u w:val="single"/>
        </w:rPr>
        <w:t xml:space="preserve">  </w:t>
      </w:r>
      <w:r>
        <w:rPr>
          <w:rStyle w:val="86"/>
          <w:rFonts w:hint="eastAsia" w:ascii="宋体" w:hAnsi="宋体"/>
          <w:b/>
          <w:bCs/>
          <w:highlight w:val="none"/>
          <w:u w:val="single"/>
        </w:rPr>
        <w:t>/  。</w:t>
      </w:r>
    </w:p>
    <w:p w14:paraId="5DE3AA0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10.3</w:t>
      </w:r>
      <w:r>
        <w:rPr>
          <w:rStyle w:val="86"/>
          <w:rFonts w:hint="eastAsia" w:ascii="宋体" w:hAnsi="宋体"/>
          <w:highlight w:val="none"/>
        </w:rPr>
        <w:tab/>
      </w:r>
      <w:r>
        <w:rPr>
          <w:rStyle w:val="86"/>
          <w:rFonts w:hint="eastAsia" w:ascii="宋体" w:hAnsi="宋体"/>
          <w:highlight w:val="none"/>
        </w:rPr>
        <w:t xml:space="preserve"> 工程的接收</w:t>
      </w:r>
    </w:p>
    <w:p w14:paraId="2ADCAC2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10.3.1工程接收的先后顺序、时间安排和其他要求：</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624E1D6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10.3.2 接受工程时承包人需提交竣工验收资料的类别、内容、份数和提交时间：</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40135A1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10.3.3 发包人逾期接收工程的违约责任：</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2D16D45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10.3.4 承包人无正当理由不移交工程的违约责任：</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4192836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10.4 接收证书</w:t>
      </w:r>
    </w:p>
    <w:p w14:paraId="77EB702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10.4.1 工程接收证书颁发时间：</w:t>
      </w:r>
      <w:r>
        <w:rPr>
          <w:rStyle w:val="86"/>
          <w:rFonts w:hint="eastAsia" w:ascii="宋体" w:hAnsi="宋体"/>
          <w:b/>
          <w:bCs/>
          <w:highlight w:val="none"/>
          <w:u w:val="single"/>
        </w:rPr>
        <w:t xml:space="preserve">               </w:t>
      </w:r>
      <w:r>
        <w:rPr>
          <w:rStyle w:val="86"/>
          <w:rFonts w:hint="eastAsia" w:ascii="宋体" w:hAnsi="宋体"/>
          <w:b/>
          <w:bCs/>
          <w:highlight w:val="none"/>
        </w:rPr>
        <w:t>。</w:t>
      </w:r>
    </w:p>
    <w:p w14:paraId="4B9C279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10.5 竣工退场</w:t>
      </w:r>
    </w:p>
    <w:p w14:paraId="3785134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10.5.1 竣工退场的相关约定：</w:t>
      </w:r>
      <w:r>
        <w:rPr>
          <w:rStyle w:val="86"/>
          <w:rFonts w:hint="eastAsia" w:ascii="宋体" w:hAnsi="宋体"/>
          <w:b/>
          <w:bCs/>
          <w:highlight w:val="none"/>
          <w:u w:val="single"/>
        </w:rPr>
        <w:t xml:space="preserve"> 以发包人的要求为准</w:t>
      </w:r>
      <w:r>
        <w:rPr>
          <w:rStyle w:val="86"/>
          <w:rFonts w:hint="eastAsia" w:ascii="宋体" w:hAnsi="宋体"/>
          <w:highlight w:val="none"/>
          <w:u w:val="single"/>
        </w:rPr>
        <w:t xml:space="preserve"> </w:t>
      </w:r>
      <w:r>
        <w:rPr>
          <w:rStyle w:val="86"/>
          <w:rFonts w:hint="eastAsia" w:ascii="宋体" w:hAnsi="宋体"/>
          <w:highlight w:val="none"/>
        </w:rPr>
        <w:t>。</w:t>
      </w:r>
    </w:p>
    <w:p w14:paraId="2798641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10.5.3人员撤离</w:t>
      </w:r>
    </w:p>
    <w:p w14:paraId="5C2BAAB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工程师同意需在缺陷责任期内继续工作和使用的人员、施工设备和临时工程的内容：</w:t>
      </w:r>
      <w:r>
        <w:rPr>
          <w:rStyle w:val="86"/>
          <w:rFonts w:hint="eastAsia" w:ascii="宋体" w:hAnsi="宋体"/>
          <w:b/>
          <w:bCs/>
          <w:highlight w:val="none"/>
          <w:u w:val="single"/>
        </w:rPr>
        <w:t xml:space="preserve"> 以发包人要求为准，产生的费用由承包人承担</w:t>
      </w:r>
      <w:r>
        <w:rPr>
          <w:rStyle w:val="86"/>
          <w:rFonts w:hint="eastAsia" w:ascii="宋体" w:hAnsi="宋体"/>
          <w:highlight w:val="none"/>
          <w:u w:val="single"/>
        </w:rPr>
        <w:t xml:space="preserve"> </w:t>
      </w:r>
      <w:r>
        <w:rPr>
          <w:rStyle w:val="86"/>
          <w:rFonts w:hint="eastAsia" w:ascii="宋体" w:hAnsi="宋体"/>
          <w:highlight w:val="none"/>
        </w:rPr>
        <w:t>。</w:t>
      </w:r>
    </w:p>
    <w:p w14:paraId="74A1CF6E">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第11条 缺陷责任与保修</w:t>
      </w:r>
    </w:p>
    <w:p w14:paraId="59A4833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11.2 缺陷责任期</w:t>
      </w:r>
    </w:p>
    <w:p w14:paraId="3E32020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缺陷责任期的期限：</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24个月 </w:t>
      </w:r>
      <w:r>
        <w:rPr>
          <w:rStyle w:val="86"/>
          <w:rFonts w:hint="eastAsia" w:ascii="宋体" w:hAnsi="宋体"/>
          <w:highlight w:val="none"/>
          <w:u w:val="single"/>
        </w:rPr>
        <w:t xml:space="preserve">    </w:t>
      </w:r>
      <w:r>
        <w:rPr>
          <w:rStyle w:val="86"/>
          <w:rFonts w:hint="eastAsia" w:ascii="宋体" w:hAnsi="宋体"/>
          <w:highlight w:val="none"/>
        </w:rPr>
        <w:t>。</w:t>
      </w:r>
    </w:p>
    <w:p w14:paraId="406D84D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11.3 缺陷调查</w:t>
      </w:r>
    </w:p>
    <w:p w14:paraId="427F47E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11.3.4 修复通知</w:t>
      </w:r>
    </w:p>
    <w:p w14:paraId="2EFD82D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承包人收到保修通知并到达工程现场的合理时间：</w:t>
      </w:r>
      <w:r>
        <w:rPr>
          <w:rStyle w:val="86"/>
          <w:rFonts w:hint="eastAsia" w:ascii="宋体" w:hAnsi="宋体"/>
          <w:highlight w:val="none"/>
          <w:u w:val="single"/>
        </w:rPr>
        <w:t xml:space="preserve">  </w:t>
      </w:r>
      <w:r>
        <w:rPr>
          <w:rStyle w:val="86"/>
          <w:rFonts w:hint="eastAsia" w:ascii="宋体" w:hAnsi="宋体"/>
          <w:b/>
          <w:bCs/>
          <w:highlight w:val="none"/>
          <w:u w:val="single"/>
        </w:rPr>
        <w:t xml:space="preserve">2日内 </w:t>
      </w:r>
      <w:r>
        <w:rPr>
          <w:rStyle w:val="86"/>
          <w:rFonts w:hint="eastAsia" w:ascii="宋体" w:hAnsi="宋体"/>
          <w:highlight w:val="none"/>
          <w:u w:val="single"/>
        </w:rPr>
        <w:t xml:space="preserve"> </w:t>
      </w:r>
      <w:r>
        <w:rPr>
          <w:rStyle w:val="86"/>
          <w:rFonts w:hint="eastAsia" w:ascii="宋体" w:hAnsi="宋体"/>
          <w:highlight w:val="none"/>
        </w:rPr>
        <w:t>。</w:t>
      </w:r>
    </w:p>
    <w:p w14:paraId="58EA3EA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11.6 缺陷责任期终止证书</w:t>
      </w:r>
    </w:p>
    <w:p w14:paraId="3F3ABFA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承包人应于缺陷责任期届满后</w:t>
      </w:r>
      <w:r>
        <w:rPr>
          <w:rStyle w:val="86"/>
          <w:rFonts w:hint="eastAsia" w:ascii="宋体" w:hAnsi="宋体"/>
          <w:highlight w:val="none"/>
          <w:u w:val="single"/>
        </w:rPr>
        <w:t xml:space="preserve">  </w:t>
      </w:r>
      <w:r>
        <w:rPr>
          <w:rStyle w:val="86"/>
          <w:rFonts w:hint="eastAsia" w:ascii="宋体" w:hAnsi="宋体"/>
          <w:b/>
          <w:bCs/>
          <w:highlight w:val="none"/>
          <w:u w:val="single"/>
        </w:rPr>
        <w:t>7</w:t>
      </w:r>
      <w:r>
        <w:rPr>
          <w:rStyle w:val="86"/>
          <w:rFonts w:hint="eastAsia" w:ascii="宋体" w:hAnsi="宋体"/>
          <w:highlight w:val="none"/>
          <w:u w:val="single"/>
        </w:rPr>
        <w:t xml:space="preserve">  </w:t>
      </w:r>
      <w:r>
        <w:rPr>
          <w:rStyle w:val="86"/>
          <w:rFonts w:hint="eastAsia" w:ascii="宋体" w:hAnsi="宋体"/>
          <w:highlight w:val="none"/>
        </w:rPr>
        <w:t>天内向发包人发出缺陷责任期届满通知，发包人应在收到缺陷责任期满通知后</w:t>
      </w:r>
      <w:r>
        <w:rPr>
          <w:rStyle w:val="86"/>
          <w:rFonts w:hint="eastAsia" w:ascii="宋体" w:hAnsi="宋体"/>
          <w:highlight w:val="none"/>
          <w:u w:val="single"/>
        </w:rPr>
        <w:t xml:space="preserve"> </w:t>
      </w:r>
      <w:r>
        <w:rPr>
          <w:rStyle w:val="86"/>
          <w:rFonts w:hint="eastAsia" w:ascii="宋体" w:hAnsi="宋体"/>
          <w:b/>
          <w:bCs/>
          <w:highlight w:val="none"/>
          <w:u w:val="single"/>
        </w:rPr>
        <w:t>7</w:t>
      </w:r>
      <w:r>
        <w:rPr>
          <w:rStyle w:val="86"/>
          <w:rFonts w:hint="eastAsia" w:ascii="宋体" w:hAnsi="宋体"/>
          <w:highlight w:val="none"/>
          <w:u w:val="single"/>
        </w:rPr>
        <w:t xml:space="preserve"> </w:t>
      </w:r>
      <w:r>
        <w:rPr>
          <w:rStyle w:val="86"/>
          <w:rFonts w:hint="eastAsia" w:ascii="宋体" w:hAnsi="宋体"/>
          <w:highlight w:val="none"/>
        </w:rPr>
        <w:t>天内核实承包人是否履行缺陷修复义务，承包人未能履行缺陷修复义务的，发包人有权扣除相应金额的维修费用。发包人应在收到缺陷责任期届满通知后</w:t>
      </w:r>
      <w:r>
        <w:rPr>
          <w:rStyle w:val="86"/>
          <w:rFonts w:hint="eastAsia" w:ascii="宋体" w:hAnsi="宋体"/>
          <w:highlight w:val="none"/>
          <w:u w:val="single"/>
        </w:rPr>
        <w:t xml:space="preserve">    </w:t>
      </w:r>
      <w:r>
        <w:rPr>
          <w:rStyle w:val="86"/>
          <w:rFonts w:hint="eastAsia" w:ascii="宋体" w:hAnsi="宋体"/>
          <w:b/>
          <w:bCs/>
          <w:highlight w:val="none"/>
          <w:u w:val="single"/>
        </w:rPr>
        <w:t>7</w:t>
      </w:r>
      <w:r>
        <w:rPr>
          <w:rStyle w:val="86"/>
          <w:rFonts w:hint="eastAsia" w:ascii="宋体" w:hAnsi="宋体"/>
          <w:highlight w:val="none"/>
        </w:rPr>
        <w:t>天内，向承包人颁发缺陷责任期终止证书。</w:t>
      </w:r>
    </w:p>
    <w:p w14:paraId="0A14CF9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11.7 保修责任</w:t>
      </w:r>
    </w:p>
    <w:p w14:paraId="3ECBAC1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工程质量保修范围、期限和责任为：</w:t>
      </w:r>
      <w:r>
        <w:rPr>
          <w:rStyle w:val="86"/>
          <w:rFonts w:hint="eastAsia" w:ascii="宋体" w:hAnsi="宋体"/>
          <w:highlight w:val="none"/>
          <w:u w:val="single"/>
        </w:rPr>
        <w:t xml:space="preserve"> </w:t>
      </w:r>
      <w:r>
        <w:rPr>
          <w:rStyle w:val="86"/>
          <w:rFonts w:hint="eastAsia" w:ascii="宋体" w:hAnsi="宋体"/>
          <w:b/>
          <w:bCs/>
          <w:highlight w:val="none"/>
          <w:u w:val="single"/>
        </w:rPr>
        <w:t>按国家相关法律法规执行</w:t>
      </w:r>
      <w:r>
        <w:rPr>
          <w:rStyle w:val="86"/>
          <w:rFonts w:hint="eastAsia" w:ascii="宋体" w:hAnsi="宋体"/>
          <w:highlight w:val="none"/>
          <w:u w:val="single"/>
        </w:rPr>
        <w:t xml:space="preserve"> </w:t>
      </w:r>
      <w:r>
        <w:rPr>
          <w:rStyle w:val="86"/>
          <w:rFonts w:hint="eastAsia" w:ascii="宋体" w:hAnsi="宋体"/>
          <w:highlight w:val="none"/>
        </w:rPr>
        <w:t>。</w:t>
      </w:r>
    </w:p>
    <w:p w14:paraId="22B4CC7B">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第12条 竣工后试验</w:t>
      </w:r>
    </w:p>
    <w:p w14:paraId="794B49A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本合同工程是否包含竣工后试验：</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是 </w:t>
      </w:r>
      <w:r>
        <w:rPr>
          <w:rStyle w:val="86"/>
          <w:rFonts w:hint="eastAsia" w:ascii="宋体" w:hAnsi="宋体"/>
          <w:highlight w:val="none"/>
          <w:u w:val="single"/>
        </w:rPr>
        <w:t xml:space="preserve">     </w:t>
      </w:r>
      <w:r>
        <w:rPr>
          <w:rStyle w:val="86"/>
          <w:rFonts w:hint="eastAsia" w:ascii="宋体" w:hAnsi="宋体"/>
          <w:highlight w:val="none"/>
        </w:rPr>
        <w:t>。</w:t>
      </w:r>
    </w:p>
    <w:p w14:paraId="49F790E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12.1 竣工后试验的程序</w:t>
      </w:r>
    </w:p>
    <w:p w14:paraId="403C5C7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45BD9961">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第13条 变更与调整</w:t>
      </w:r>
    </w:p>
    <w:p w14:paraId="174F2C6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13.2 承包人的合理化建议</w:t>
      </w:r>
    </w:p>
    <w:p w14:paraId="4A1D087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13.2.2 工程师应在收到承包人提交的合理化建议后</w:t>
      </w:r>
      <w:r>
        <w:rPr>
          <w:rStyle w:val="86"/>
          <w:rFonts w:hint="eastAsia" w:ascii="宋体" w:hAnsi="宋体"/>
          <w:highlight w:val="none"/>
          <w:u w:val="single"/>
        </w:rPr>
        <w:t xml:space="preserve">  </w:t>
      </w:r>
      <w:r>
        <w:rPr>
          <w:rStyle w:val="86"/>
          <w:rFonts w:hint="eastAsia" w:ascii="宋体" w:hAnsi="宋体"/>
          <w:b/>
          <w:bCs/>
          <w:highlight w:val="none"/>
          <w:u w:val="single"/>
        </w:rPr>
        <w:t>7</w:t>
      </w:r>
      <w:r>
        <w:rPr>
          <w:rStyle w:val="86"/>
          <w:rFonts w:hint="eastAsia" w:ascii="宋体" w:hAnsi="宋体"/>
          <w:highlight w:val="none"/>
          <w:u w:val="single"/>
        </w:rPr>
        <w:t xml:space="preserve">  </w:t>
      </w:r>
      <w:r>
        <w:rPr>
          <w:rStyle w:val="86"/>
          <w:rFonts w:hint="eastAsia" w:ascii="宋体" w:hAnsi="宋体"/>
          <w:highlight w:val="none"/>
        </w:rPr>
        <w:t>日内审查完毕并报送发包人，发现其中存在技术上的缺陷，应通知承包人修改。发包人应在收到工程师报送的合理化建议后</w:t>
      </w:r>
      <w:r>
        <w:rPr>
          <w:rStyle w:val="86"/>
          <w:rFonts w:hint="eastAsia" w:ascii="宋体" w:hAnsi="宋体"/>
          <w:highlight w:val="none"/>
          <w:u w:val="single"/>
        </w:rPr>
        <w:t xml:space="preserve">    </w:t>
      </w:r>
      <w:r>
        <w:rPr>
          <w:rStyle w:val="86"/>
          <w:rFonts w:hint="eastAsia" w:ascii="宋体" w:hAnsi="宋体"/>
          <w:b/>
          <w:bCs/>
          <w:highlight w:val="none"/>
          <w:u w:val="single"/>
        </w:rPr>
        <w:t>7</w:t>
      </w:r>
      <w:r>
        <w:rPr>
          <w:rStyle w:val="86"/>
          <w:rFonts w:hint="eastAsia" w:ascii="宋体" w:hAnsi="宋体"/>
          <w:highlight w:val="none"/>
        </w:rPr>
        <w:t>日内审批完毕。合理化建议经发包人批准的，工程师应及时发出变更指示，由此引起的合同价格调整按照</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执行。发包人不同意变更的，工程师应书面通知承包人</w:t>
      </w:r>
    </w:p>
    <w:p w14:paraId="24856B7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13.2.3 承包人提出的合理化变更建议的利益分享约定：</w:t>
      </w:r>
      <w:r>
        <w:rPr>
          <w:rStyle w:val="86"/>
          <w:rFonts w:hint="eastAsia" w:ascii="宋体" w:hAnsi="宋体"/>
          <w:highlight w:val="none"/>
          <w:u w:val="single"/>
        </w:rPr>
        <w:t xml:space="preserve">     /        </w:t>
      </w:r>
      <w:r>
        <w:rPr>
          <w:rStyle w:val="86"/>
          <w:rFonts w:hint="eastAsia" w:ascii="宋体" w:hAnsi="宋体"/>
          <w:highlight w:val="none"/>
        </w:rPr>
        <w:t>。</w:t>
      </w:r>
    </w:p>
    <w:p w14:paraId="794A8CB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13.3 变更程序</w:t>
      </w:r>
    </w:p>
    <w:p w14:paraId="3C0F6E8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13.3.3 变更估价</w:t>
      </w:r>
    </w:p>
    <w:p w14:paraId="5032C88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13.3.3.1 变更估价原则</w:t>
      </w:r>
    </w:p>
    <w:p w14:paraId="69C1D03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关于变更估价原则的约定：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18F7DCD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13.4 暂估价</w:t>
      </w:r>
    </w:p>
    <w:p w14:paraId="7AF5BE9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13.4.1 依法必须招标的暂估价项目</w:t>
      </w:r>
    </w:p>
    <w:p w14:paraId="255E1C9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承包人可以参与投标的暂估价项目范围：</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3FD112B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承包人不得参与投标的暂估价项目范围：</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5578B81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招投标程序及其他约定：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424CEAE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13.4.2 不属于依法必须招标的暂估价项目</w:t>
      </w:r>
    </w:p>
    <w:p w14:paraId="13C81C6B">
      <w:pPr>
        <w:pStyle w:val="22"/>
        <w:spacing w:line="360" w:lineRule="auto"/>
        <w:ind w:firstLine="420" w:firstLineChars="200"/>
        <w:jc w:val="left"/>
        <w:rPr>
          <w:rStyle w:val="86"/>
          <w:rFonts w:hint="eastAsia" w:ascii="宋体" w:hAnsi="宋体"/>
          <w:b/>
          <w:bCs/>
          <w:highlight w:val="none"/>
          <w:u w:val="single"/>
        </w:rPr>
      </w:pPr>
      <w:r>
        <w:rPr>
          <w:rStyle w:val="86"/>
          <w:rFonts w:hint="eastAsia" w:ascii="宋体" w:hAnsi="宋体"/>
          <w:highlight w:val="none"/>
        </w:rPr>
        <w:t>不属于依法必须招标的暂估价项目的协商及估价的约定：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b/>
          <w:bCs/>
          <w:highlight w:val="none"/>
        </w:rPr>
        <w:t>。</w:t>
      </w:r>
    </w:p>
    <w:p w14:paraId="071D179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13.5 暂列金额</w:t>
      </w:r>
    </w:p>
    <w:p w14:paraId="001B50A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其他关于暂列金额使用的约定：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775D9B6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13.8 市场价格波动引起的调整</w:t>
      </w:r>
    </w:p>
    <w:p w14:paraId="2216AEA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13.8.2 关于是否采用《价格指数权重表》的约定：</w:t>
      </w:r>
      <w:r>
        <w:rPr>
          <w:rStyle w:val="86"/>
          <w:rFonts w:hint="eastAsia" w:ascii="宋体" w:hAnsi="宋体"/>
          <w:highlight w:val="none"/>
          <w:u w:val="single"/>
        </w:rPr>
        <w:t xml:space="preserve">                    </w:t>
      </w:r>
      <w:r>
        <w:rPr>
          <w:rStyle w:val="86"/>
          <w:rFonts w:hint="eastAsia" w:ascii="宋体" w:hAnsi="宋体"/>
          <w:highlight w:val="none"/>
        </w:rPr>
        <w:t>。</w:t>
      </w:r>
    </w:p>
    <w:p w14:paraId="5F5BE64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13.8.3 关于采用其他方式调整合同价款的约定：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70F41441">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第14条 合同价格与支付</w:t>
      </w:r>
    </w:p>
    <w:p w14:paraId="2FA6A00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14.1 合同价格形式</w:t>
      </w:r>
    </w:p>
    <w:p w14:paraId="3A97E4E7">
      <w:pPr>
        <w:pStyle w:val="22"/>
        <w:spacing w:line="360" w:lineRule="auto"/>
        <w:ind w:firstLine="420" w:firstLineChars="200"/>
        <w:jc w:val="left"/>
        <w:rPr>
          <w:rStyle w:val="86"/>
          <w:rFonts w:hint="eastAsia" w:ascii="宋体" w:hAnsi="宋体"/>
          <w:highlight w:val="none"/>
        </w:rPr>
      </w:pPr>
      <w:r>
        <w:rPr>
          <w:rStyle w:val="86"/>
          <w:rFonts w:hint="eastAsia" w:ascii="宋体" w:hAnsi="宋体"/>
          <w:highlight w:val="none"/>
        </w:rPr>
        <w:t>14.1.1 关于合同价格形式的约定：</w:t>
      </w:r>
    </w:p>
    <w:p w14:paraId="0F070699">
      <w:pPr>
        <w:pStyle w:val="84"/>
        <w:kinsoku w:val="0"/>
        <w:spacing w:line="360" w:lineRule="auto"/>
        <w:ind w:left="420" w:leftChars="200"/>
        <w:jc w:val="left"/>
        <w:rPr>
          <w:rStyle w:val="89"/>
          <w:rFonts w:hint="eastAsia" w:ascii="宋体" w:hAnsi="宋体"/>
          <w:b/>
          <w:bCs/>
          <w:highlight w:val="none"/>
          <w:u w:val="single"/>
        </w:rPr>
      </w:pPr>
      <w:r>
        <w:rPr>
          <w:rStyle w:val="89"/>
          <w:rFonts w:hint="eastAsia" w:ascii="宋体" w:hAnsi="宋体"/>
          <w:b/>
          <w:bCs/>
          <w:highlight w:val="none"/>
          <w:u w:val="single"/>
        </w:rPr>
        <w:t>1.设计费以中标价为总价包干，不因设计变更、工期延误等其他因素调整。</w:t>
      </w:r>
    </w:p>
    <w:p w14:paraId="42B0A629">
      <w:pPr>
        <w:pStyle w:val="88"/>
        <w:spacing w:line="360" w:lineRule="auto"/>
        <w:ind w:firstLine="420" w:firstLineChars="200"/>
        <w:rPr>
          <w:rStyle w:val="86"/>
          <w:rFonts w:hint="eastAsia" w:ascii="宋体" w:hAnsi="宋体"/>
          <w:b/>
          <w:bCs/>
          <w:highlight w:val="none"/>
          <w:u w:val="single"/>
        </w:rPr>
      </w:pPr>
      <w:r>
        <w:rPr>
          <w:rStyle w:val="86"/>
          <w:rFonts w:hint="eastAsia" w:ascii="宋体" w:hAnsi="宋体" w:eastAsia="PMingLiU"/>
          <w:b/>
          <w:bCs/>
          <w:highlight w:val="none"/>
          <w:u w:val="single"/>
        </w:rPr>
        <w:t>2</w:t>
      </w:r>
      <w:r>
        <w:rPr>
          <w:rStyle w:val="86"/>
          <w:rFonts w:hint="eastAsia" w:ascii="宋体" w:hAnsi="宋体"/>
          <w:b/>
          <w:bCs/>
          <w:highlight w:val="none"/>
          <w:u w:val="single"/>
        </w:rPr>
        <w:t>.施工建安工程费采用工程量清单计价模式，执行《建设工程工程量清单计价规范》、《四川省建设工程工程量清单计价定额》及相关配套文件，材料价格的优先采用顺序为:首先《四川省建设工程造价信息》中的绵阳市信息价为准，其次采用《绵阳市工程造价信息》;最后信息价中没有的或者只有特定品牌价格的可调材料，其材料价格以市场询价的价格为准</w:t>
      </w:r>
      <w:r>
        <w:rPr>
          <w:rStyle w:val="86"/>
          <w:rFonts w:hint="eastAsia" w:ascii="宋体" w:hAnsi="宋体"/>
          <w:b/>
          <w:bCs/>
          <w:highlight w:val="none"/>
        </w:rPr>
        <w:t>。</w:t>
      </w:r>
    </w:p>
    <w:p w14:paraId="018BB989">
      <w:pPr>
        <w:pStyle w:val="88"/>
        <w:spacing w:line="360" w:lineRule="auto"/>
        <w:ind w:firstLine="422" w:firstLineChars="200"/>
        <w:rPr>
          <w:rStyle w:val="86"/>
          <w:rFonts w:hint="eastAsia" w:ascii="宋体" w:hAnsi="宋体"/>
          <w:b/>
          <w:bCs/>
          <w:highlight w:val="none"/>
          <w:u w:val="single"/>
        </w:rPr>
      </w:pPr>
      <w:r>
        <w:rPr>
          <w:rStyle w:val="86"/>
          <w:rFonts w:hint="eastAsia" w:ascii="宋体" w:hAnsi="宋体"/>
          <w:b/>
          <w:bCs/>
          <w:highlight w:val="none"/>
          <w:u w:val="single"/>
        </w:rPr>
        <w:t>需要进行费率测评的安全文明施工费等按施工期间国家相关文件规定计算和执行；规费按承包人中标时持有的《四川省施工企业规费计取标准》规定执行。最终结算价以发包人委托第三方审计单位审核结算为准</w:t>
      </w:r>
      <w:r>
        <w:rPr>
          <w:rStyle w:val="86"/>
          <w:rFonts w:hint="eastAsia" w:ascii="宋体" w:hAnsi="宋体"/>
          <w:b/>
          <w:bCs/>
          <w:highlight w:val="none"/>
        </w:rPr>
        <w:t>。</w:t>
      </w:r>
    </w:p>
    <w:p w14:paraId="6532026B">
      <w:pPr>
        <w:pStyle w:val="22"/>
        <w:numPr>
          <w:ilvl w:val="0"/>
          <w:numId w:val="11"/>
        </w:numPr>
        <w:spacing w:line="360" w:lineRule="auto"/>
        <w:ind w:firstLine="422" w:firstLineChars="200"/>
        <w:jc w:val="left"/>
        <w:rPr>
          <w:rStyle w:val="86"/>
          <w:rFonts w:hint="eastAsia" w:ascii="宋体" w:hAnsi="宋体"/>
          <w:highlight w:val="none"/>
        </w:rPr>
      </w:pPr>
      <w:r>
        <w:rPr>
          <w:rStyle w:val="86"/>
          <w:rFonts w:hint="eastAsia" w:ascii="宋体" w:hAnsi="宋体"/>
          <w:b/>
          <w:bCs/>
          <w:highlight w:val="none"/>
          <w:u w:val="single"/>
        </w:rPr>
        <w:t>变更及新增项目调整因素及计价方法：按照《建设工程工程量清单计价规范》</w:t>
      </w:r>
      <w:r>
        <w:rPr>
          <w:rStyle w:val="86"/>
          <w:rFonts w:hint="eastAsia" w:ascii="宋体" w:hAnsi="宋体"/>
          <w:b/>
          <w:bCs/>
          <w:highlight w:val="none"/>
          <w:u w:val="single"/>
          <w:lang w:eastAsia="zh-CN"/>
        </w:rPr>
        <w:t>、</w:t>
      </w:r>
      <w:r>
        <w:rPr>
          <w:rStyle w:val="86"/>
          <w:rFonts w:hint="eastAsia" w:ascii="宋体" w:hAnsi="宋体"/>
          <w:b/>
          <w:bCs/>
          <w:highlight w:val="none"/>
          <w:u w:val="single"/>
        </w:rPr>
        <w:t>《四川省建设工程工程量清单计价定额》及时组价，并按中标费率折算</w:t>
      </w:r>
      <w:r>
        <w:rPr>
          <w:rStyle w:val="86"/>
          <w:rFonts w:hint="eastAsia" w:ascii="宋体" w:hAnsi="宋体"/>
          <w:b/>
          <w:bCs/>
          <w:highlight w:val="none"/>
        </w:rPr>
        <w:t>。</w:t>
      </w:r>
      <w:r>
        <w:rPr>
          <w:rStyle w:val="86"/>
          <w:rFonts w:hint="eastAsia" w:ascii="宋体" w:hAnsi="宋体"/>
          <w:highlight w:val="none"/>
        </w:rPr>
        <w:t xml:space="preserve"> </w:t>
      </w:r>
    </w:p>
    <w:p w14:paraId="5E98A617">
      <w:pPr>
        <w:pStyle w:val="22"/>
        <w:spacing w:line="360" w:lineRule="auto"/>
        <w:ind w:firstLine="420" w:firstLineChars="200"/>
        <w:jc w:val="left"/>
        <w:rPr>
          <w:rStyle w:val="86"/>
          <w:rFonts w:hint="eastAsia" w:ascii="宋体" w:hAnsi="宋体"/>
          <w:highlight w:val="none"/>
          <w:u w:val="single"/>
        </w:rPr>
      </w:pPr>
      <w:r>
        <w:rPr>
          <w:rStyle w:val="86"/>
          <w:rFonts w:hint="eastAsia" w:ascii="宋体" w:hAnsi="宋体"/>
          <w:highlight w:val="none"/>
        </w:rPr>
        <w:t>14.1.2 关于合同价格调整的约定：</w:t>
      </w:r>
    </w:p>
    <w:p w14:paraId="672B0595">
      <w:pPr>
        <w:pStyle w:val="22"/>
        <w:spacing w:line="360" w:lineRule="auto"/>
        <w:ind w:firstLine="422" w:firstLineChars="200"/>
        <w:jc w:val="left"/>
        <w:rPr>
          <w:rStyle w:val="86"/>
          <w:rFonts w:hint="eastAsia" w:ascii="宋体" w:hAnsi="宋体"/>
          <w:b/>
          <w:bCs/>
          <w:highlight w:val="none"/>
          <w:u w:val="single"/>
        </w:rPr>
      </w:pPr>
      <w:r>
        <w:rPr>
          <w:rStyle w:val="86"/>
          <w:rFonts w:hint="eastAsia" w:ascii="宋体" w:hAnsi="宋体"/>
          <w:b/>
          <w:bCs/>
          <w:highlight w:val="none"/>
          <w:u w:val="single"/>
        </w:rPr>
        <w:t>1、材料调差</w:t>
      </w:r>
    </w:p>
    <w:p w14:paraId="37A2439A">
      <w:pPr>
        <w:pStyle w:val="15"/>
        <w:spacing w:line="360" w:lineRule="auto"/>
        <w:ind w:firstLine="422" w:firstLineChars="200"/>
        <w:rPr>
          <w:rStyle w:val="86"/>
          <w:rFonts w:ascii="宋体" w:hAnsi="宋体"/>
          <w:b/>
          <w:bCs/>
          <w:highlight w:val="none"/>
          <w:u w:val="single"/>
        </w:rPr>
      </w:pPr>
      <w:r>
        <w:rPr>
          <w:rStyle w:val="86"/>
          <w:rFonts w:hint="eastAsia" w:ascii="宋体" w:hAnsi="宋体"/>
          <w:b/>
          <w:bCs/>
          <w:highlight w:val="none"/>
          <w:u w:val="single"/>
        </w:rPr>
        <w:t>（1）本工程调差材料为：</w:t>
      </w:r>
      <w:r>
        <w:rPr>
          <w:rStyle w:val="86"/>
          <w:rFonts w:hint="eastAsia" w:ascii="宋体" w:hAnsi="宋体"/>
          <w:b/>
          <w:bCs/>
          <w:highlight w:val="none"/>
          <w:u w:val="single"/>
          <w:lang w:val="en-US" w:eastAsia="zh-CN"/>
        </w:rPr>
        <w:t>主要材料</w:t>
      </w:r>
      <w:r>
        <w:rPr>
          <w:rStyle w:val="86"/>
          <w:rFonts w:hint="eastAsia" w:ascii="宋体" w:hAnsi="宋体"/>
          <w:b/>
          <w:bCs/>
          <w:highlight w:val="none"/>
          <w:u w:val="single"/>
        </w:rPr>
        <w:t>，风险范围为±3%，其他材料不予调整。</w:t>
      </w:r>
    </w:p>
    <w:p w14:paraId="6A69F4AF">
      <w:pPr>
        <w:pStyle w:val="22"/>
        <w:spacing w:line="360" w:lineRule="auto"/>
        <w:ind w:firstLine="422" w:firstLineChars="200"/>
        <w:jc w:val="left"/>
        <w:rPr>
          <w:rStyle w:val="86"/>
          <w:rFonts w:hint="eastAsia" w:ascii="宋体" w:hAnsi="宋体"/>
          <w:b/>
          <w:bCs/>
          <w:highlight w:val="none"/>
          <w:u w:val="single"/>
        </w:rPr>
      </w:pPr>
      <w:r>
        <w:rPr>
          <w:rStyle w:val="86"/>
          <w:rFonts w:hint="eastAsia" w:ascii="宋体" w:hAnsi="宋体"/>
          <w:b/>
          <w:bCs/>
          <w:highlight w:val="none"/>
          <w:u w:val="single"/>
        </w:rPr>
        <w:t>（2）调整依据参照《四川省住房和城乡建设厅关于建设工程合同中价格风险约定和价格调整的指导意见》川建造价发〔2021〕302号相关调整文件执行，同步按有关部门最新颁布的文件调整。</w:t>
      </w:r>
    </w:p>
    <w:p w14:paraId="74A374CD">
      <w:pPr>
        <w:pStyle w:val="22"/>
        <w:spacing w:line="360" w:lineRule="auto"/>
        <w:ind w:firstLine="422" w:firstLineChars="200"/>
        <w:jc w:val="left"/>
        <w:rPr>
          <w:rStyle w:val="86"/>
          <w:rFonts w:hint="eastAsia" w:ascii="宋体" w:hAnsi="宋体"/>
          <w:b/>
          <w:bCs/>
          <w:highlight w:val="none"/>
          <w:u w:val="single"/>
        </w:rPr>
      </w:pPr>
      <w:r>
        <w:rPr>
          <w:rStyle w:val="86"/>
          <w:rFonts w:hint="eastAsia" w:ascii="宋体" w:hAnsi="宋体"/>
          <w:b/>
          <w:bCs/>
          <w:highlight w:val="none"/>
          <w:u w:val="single"/>
        </w:rPr>
        <w:t>（3）基准日为投标截止时前28天，材料价格的优先采用顺序为:首先《四川省建设工程造价信息》中的绵阳市信息价为准，其次采用《绵阳市工程造价信息》;最后信息价中没有的或者只有特定品牌价格的可调材料，其材料价格以市场询价的价格为准，不参与调差；计量按本合同执行，材料调差在项目竣工结算时据实调整。</w:t>
      </w:r>
    </w:p>
    <w:p w14:paraId="1E44237E">
      <w:pPr>
        <w:pStyle w:val="22"/>
        <w:spacing w:line="360" w:lineRule="auto"/>
        <w:ind w:firstLine="422" w:firstLineChars="200"/>
        <w:jc w:val="left"/>
        <w:rPr>
          <w:rStyle w:val="86"/>
          <w:rFonts w:hint="eastAsia" w:ascii="宋体" w:hAnsi="宋体"/>
          <w:b/>
          <w:bCs/>
          <w:highlight w:val="none"/>
          <w:u w:val="single"/>
        </w:rPr>
      </w:pPr>
      <w:r>
        <w:rPr>
          <w:rStyle w:val="86"/>
          <w:rFonts w:hint="eastAsia" w:ascii="宋体" w:hAnsi="宋体"/>
          <w:b/>
          <w:bCs/>
          <w:highlight w:val="none"/>
          <w:u w:val="single"/>
        </w:rPr>
        <w:t>2、人工调差</w:t>
      </w:r>
    </w:p>
    <w:p w14:paraId="541AE184">
      <w:pPr>
        <w:pStyle w:val="22"/>
        <w:spacing w:line="360" w:lineRule="auto"/>
        <w:ind w:firstLine="422" w:firstLineChars="200"/>
        <w:jc w:val="left"/>
        <w:rPr>
          <w:rStyle w:val="86"/>
          <w:rFonts w:hint="eastAsia" w:ascii="宋体" w:hAnsi="宋体"/>
          <w:b/>
          <w:bCs/>
          <w:highlight w:val="none"/>
          <w:u w:val="single"/>
        </w:rPr>
      </w:pPr>
      <w:r>
        <w:rPr>
          <w:rStyle w:val="86"/>
          <w:rFonts w:hint="eastAsia" w:ascii="宋体" w:hAnsi="宋体"/>
          <w:b/>
          <w:bCs/>
          <w:highlight w:val="none"/>
          <w:u w:val="single"/>
        </w:rPr>
        <w:t>人工调差按照《四川省建设工程工程量清单计价定额》及省政府发布的对应的最新人工费调整文件执行。</w:t>
      </w:r>
    </w:p>
    <w:p w14:paraId="5B16B70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14.1.3 按实际完成的工程量支付工程价款的计量方法、估价方法：</w:t>
      </w:r>
      <w:r>
        <w:rPr>
          <w:rStyle w:val="86"/>
          <w:rFonts w:hint="eastAsia" w:ascii="宋体" w:hAnsi="宋体"/>
          <w:b/>
          <w:bCs/>
          <w:highlight w:val="none"/>
          <w:u w:val="single"/>
        </w:rPr>
        <w:t xml:space="preserve">按照国家相关法律法规执行 </w:t>
      </w:r>
      <w:r>
        <w:rPr>
          <w:rStyle w:val="86"/>
          <w:rFonts w:hint="eastAsia" w:ascii="宋体" w:hAnsi="宋体"/>
          <w:highlight w:val="none"/>
        </w:rPr>
        <w:t>。</w:t>
      </w:r>
    </w:p>
    <w:p w14:paraId="02EB552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14.2 预付款</w:t>
      </w:r>
    </w:p>
    <w:p w14:paraId="3627707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14.2.1 预付款支付</w:t>
      </w:r>
    </w:p>
    <w:p w14:paraId="76E00C1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预付款的金额或比例为：</w:t>
      </w:r>
      <w:r>
        <w:rPr>
          <w:rStyle w:val="86"/>
          <w:rFonts w:hint="eastAsia" w:ascii="宋体" w:hAnsi="宋体"/>
          <w:highlight w:val="none"/>
          <w:u w:val="single"/>
          <w:lang w:val="en-US" w:eastAsia="zh-CN"/>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48374A5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预付款支付期限：</w:t>
      </w:r>
      <w:r>
        <w:rPr>
          <w:rStyle w:val="86"/>
          <w:rFonts w:hint="eastAsia" w:ascii="宋体" w:hAnsi="宋体"/>
          <w:highlight w:val="none"/>
          <w:u w:val="single"/>
          <w:lang w:val="en-US" w:eastAsia="zh-CN"/>
        </w:rPr>
        <w:t xml:space="preserve">     </w:t>
      </w:r>
      <w:r>
        <w:rPr>
          <w:rStyle w:val="86"/>
          <w:rFonts w:hint="eastAsia" w:ascii="宋体" w:hAnsi="宋体"/>
          <w:highlight w:val="none"/>
        </w:rPr>
        <w:t>。</w:t>
      </w:r>
    </w:p>
    <w:p w14:paraId="69BED040">
      <w:pPr>
        <w:pStyle w:val="84"/>
        <w:spacing w:line="480" w:lineRule="exact"/>
        <w:ind w:firstLine="420" w:firstLineChars="200"/>
        <w:rPr>
          <w:rStyle w:val="86"/>
          <w:rFonts w:hint="eastAsia" w:ascii="宋体" w:hAnsi="宋体"/>
          <w:highlight w:val="none"/>
        </w:rPr>
      </w:pPr>
      <w:r>
        <w:rPr>
          <w:rStyle w:val="86"/>
          <w:rFonts w:hint="eastAsia" w:ascii="宋体" w:hAnsi="宋体"/>
          <w:highlight w:val="none"/>
        </w:rPr>
        <w:t>预付款扣回的方式：</w:t>
      </w:r>
      <w:r>
        <w:rPr>
          <w:rStyle w:val="86"/>
          <w:rFonts w:hint="eastAsia" w:ascii="宋体" w:hAnsi="宋体"/>
          <w:highlight w:val="none"/>
          <w:u w:val="single"/>
          <w:lang w:val="en-US" w:eastAsia="zh-CN"/>
        </w:rPr>
        <w:t xml:space="preserve">     </w:t>
      </w:r>
      <w:r>
        <w:rPr>
          <w:rStyle w:val="86"/>
          <w:rFonts w:hint="eastAsia" w:ascii="宋体" w:hAnsi="宋体"/>
          <w:highlight w:val="none"/>
        </w:rPr>
        <w:t>。</w:t>
      </w:r>
    </w:p>
    <w:p w14:paraId="036FD740">
      <w:pPr>
        <w:pStyle w:val="85"/>
        <w:spacing w:before="0" w:after="0" w:line="480" w:lineRule="exact"/>
        <w:ind w:firstLine="420" w:firstLineChars="200"/>
        <w:rPr>
          <w:rStyle w:val="86"/>
          <w:rFonts w:hint="eastAsia" w:ascii="宋体" w:hAnsi="宋体" w:eastAsia="宋体"/>
          <w:bCs w:val="0"/>
          <w:sz w:val="21"/>
          <w:szCs w:val="21"/>
          <w:highlight w:val="none"/>
        </w:rPr>
      </w:pPr>
      <w:r>
        <w:rPr>
          <w:rStyle w:val="86"/>
          <w:rFonts w:hint="eastAsia" w:ascii="宋体" w:hAnsi="宋体" w:eastAsia="宋体"/>
          <w:bCs w:val="0"/>
          <w:sz w:val="21"/>
          <w:szCs w:val="21"/>
          <w:highlight w:val="none"/>
        </w:rPr>
        <w:t>增加：</w:t>
      </w:r>
    </w:p>
    <w:p w14:paraId="53D7776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14.2.2预付款担保</w:t>
      </w:r>
    </w:p>
    <w:p w14:paraId="07E9022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提供预付款担保期限：</w:t>
      </w:r>
      <w:r>
        <w:rPr>
          <w:rStyle w:val="86"/>
          <w:rFonts w:hint="eastAsia" w:ascii="宋体" w:hAnsi="宋体"/>
          <w:highlight w:val="none"/>
          <w:u w:val="single"/>
        </w:rPr>
        <w:t xml:space="preserve">     无                   </w:t>
      </w:r>
      <w:r>
        <w:rPr>
          <w:rStyle w:val="86"/>
          <w:rFonts w:hint="eastAsia" w:ascii="宋体" w:hAnsi="宋体"/>
          <w:highlight w:val="none"/>
        </w:rPr>
        <w:t>。</w:t>
      </w:r>
    </w:p>
    <w:p w14:paraId="1A13930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预付款担保形式：</w:t>
      </w:r>
      <w:r>
        <w:rPr>
          <w:rStyle w:val="86"/>
          <w:rFonts w:hint="eastAsia" w:ascii="宋体" w:hAnsi="宋体"/>
          <w:highlight w:val="none"/>
          <w:u w:val="single"/>
        </w:rPr>
        <w:t xml:space="preserve">         无                   </w:t>
      </w:r>
      <w:r>
        <w:rPr>
          <w:rStyle w:val="86"/>
          <w:rFonts w:hint="eastAsia" w:ascii="宋体" w:hAnsi="宋体"/>
          <w:highlight w:val="none"/>
        </w:rPr>
        <w:t>。</w:t>
      </w:r>
    </w:p>
    <w:p w14:paraId="03571F5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14.3 工程进度款</w:t>
      </w:r>
    </w:p>
    <w:p w14:paraId="520C889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14.3.1 工程进度付款申请</w:t>
      </w:r>
    </w:p>
    <w:p w14:paraId="0C4C45B3">
      <w:pPr>
        <w:pStyle w:val="84"/>
        <w:spacing w:line="360" w:lineRule="auto"/>
        <w:ind w:firstLine="420" w:firstLineChars="200"/>
        <w:rPr>
          <w:rStyle w:val="86"/>
          <w:rFonts w:hint="eastAsia" w:ascii="Calibri" w:hAnsi="Calibri"/>
          <w:highlight w:val="none"/>
        </w:rPr>
      </w:pPr>
      <w:r>
        <w:rPr>
          <w:rStyle w:val="86"/>
          <w:rFonts w:hint="eastAsia" w:ascii="宋体" w:hAnsi="宋体"/>
          <w:highlight w:val="none"/>
        </w:rPr>
        <w:t>设计费支付方式</w:t>
      </w:r>
    </w:p>
    <w:tbl>
      <w:tblPr>
        <w:tblStyle w:val="33"/>
        <w:tblpPr w:leftFromText="180" w:rightFromText="180" w:vertAnchor="text" w:horzAnchor="page" w:tblpX="1764" w:tblpY="262"/>
        <w:tblOverlap w:val="never"/>
        <w:tblW w:w="0" w:type="auto"/>
        <w:tblInd w:w="0" w:type="dxa"/>
        <w:tblLayout w:type="fixed"/>
        <w:tblCellMar>
          <w:top w:w="0" w:type="dxa"/>
          <w:left w:w="108" w:type="dxa"/>
          <w:bottom w:w="0" w:type="dxa"/>
          <w:right w:w="108" w:type="dxa"/>
        </w:tblCellMar>
      </w:tblPr>
      <w:tblGrid>
        <w:gridCol w:w="1239"/>
        <w:gridCol w:w="1935"/>
        <w:gridCol w:w="5825"/>
      </w:tblGrid>
      <w:tr w14:paraId="3E9B1126">
        <w:tblPrEx>
          <w:tblCellMar>
            <w:top w:w="0" w:type="dxa"/>
            <w:left w:w="108" w:type="dxa"/>
            <w:bottom w:w="0" w:type="dxa"/>
            <w:right w:w="108" w:type="dxa"/>
          </w:tblCellMar>
        </w:tblPrEx>
        <w:trPr>
          <w:trHeight w:val="90" w:hRule="atLeast"/>
        </w:trPr>
        <w:tc>
          <w:tcPr>
            <w:tcW w:w="1239" w:type="dxa"/>
            <w:tcBorders>
              <w:top w:val="single" w:color="auto" w:sz="4" w:space="0"/>
              <w:left w:val="single" w:color="auto" w:sz="4" w:space="0"/>
              <w:bottom w:val="single" w:color="auto" w:sz="4" w:space="0"/>
              <w:right w:val="single" w:color="auto" w:sz="4" w:space="0"/>
            </w:tcBorders>
            <w:noWrap w:val="0"/>
            <w:vAlign w:val="center"/>
          </w:tcPr>
          <w:p w14:paraId="55550651">
            <w:pPr>
              <w:pStyle w:val="17"/>
              <w:spacing w:line="300" w:lineRule="exact"/>
              <w:ind w:right="-197" w:rightChars="-94"/>
              <w:jc w:val="center"/>
              <w:rPr>
                <w:rStyle w:val="86"/>
                <w:rFonts w:hint="eastAsia" w:ascii="宋体" w:hAnsi="宋体" w:eastAsia="宋体"/>
                <w:bCs/>
                <w:szCs w:val="21"/>
                <w:highlight w:val="none"/>
              </w:rPr>
            </w:pPr>
            <w:r>
              <w:rPr>
                <w:rStyle w:val="86"/>
                <w:rFonts w:hint="eastAsia" w:ascii="宋体" w:hAnsi="宋体" w:eastAsia="宋体"/>
                <w:bCs/>
                <w:szCs w:val="21"/>
                <w:highlight w:val="none"/>
              </w:rPr>
              <w:t>付费次序</w:t>
            </w:r>
          </w:p>
        </w:tc>
        <w:tc>
          <w:tcPr>
            <w:tcW w:w="1935" w:type="dxa"/>
            <w:tcBorders>
              <w:top w:val="single" w:color="auto" w:sz="4" w:space="0"/>
              <w:left w:val="nil"/>
              <w:bottom w:val="single" w:color="auto" w:sz="4" w:space="0"/>
              <w:right w:val="single" w:color="auto" w:sz="4" w:space="0"/>
            </w:tcBorders>
            <w:noWrap w:val="0"/>
            <w:vAlign w:val="center"/>
          </w:tcPr>
          <w:p w14:paraId="79B4279C">
            <w:pPr>
              <w:pStyle w:val="17"/>
              <w:spacing w:line="300" w:lineRule="exact"/>
              <w:ind w:right="-197" w:rightChars="-94"/>
              <w:jc w:val="center"/>
              <w:rPr>
                <w:rStyle w:val="86"/>
                <w:rFonts w:hint="eastAsia" w:ascii="宋体" w:hAnsi="宋体" w:eastAsia="宋体"/>
                <w:bCs/>
                <w:szCs w:val="21"/>
                <w:highlight w:val="none"/>
              </w:rPr>
            </w:pPr>
            <w:r>
              <w:rPr>
                <w:rStyle w:val="86"/>
                <w:rFonts w:hint="eastAsia" w:ascii="宋体" w:hAnsi="宋体" w:eastAsia="宋体"/>
                <w:bCs/>
                <w:szCs w:val="21"/>
                <w:highlight w:val="none"/>
              </w:rPr>
              <w:t>占总设计费%</w:t>
            </w:r>
          </w:p>
        </w:tc>
        <w:tc>
          <w:tcPr>
            <w:tcW w:w="5825" w:type="dxa"/>
            <w:tcBorders>
              <w:top w:val="single" w:color="auto" w:sz="4" w:space="0"/>
              <w:left w:val="nil"/>
              <w:bottom w:val="single" w:color="auto" w:sz="4" w:space="0"/>
              <w:right w:val="single" w:color="auto" w:sz="4" w:space="0"/>
            </w:tcBorders>
            <w:noWrap w:val="0"/>
            <w:vAlign w:val="center"/>
          </w:tcPr>
          <w:p w14:paraId="15172DD1">
            <w:pPr>
              <w:pStyle w:val="17"/>
              <w:spacing w:line="300" w:lineRule="exact"/>
              <w:ind w:right="-197" w:rightChars="-94"/>
              <w:jc w:val="center"/>
              <w:rPr>
                <w:rStyle w:val="86"/>
                <w:rFonts w:hint="eastAsia" w:ascii="宋体" w:hAnsi="宋体" w:eastAsia="宋体"/>
                <w:bCs/>
                <w:szCs w:val="21"/>
                <w:highlight w:val="none"/>
              </w:rPr>
            </w:pPr>
            <w:r>
              <w:rPr>
                <w:rStyle w:val="86"/>
                <w:rFonts w:hint="eastAsia" w:ascii="宋体" w:hAnsi="宋体" w:eastAsia="宋体"/>
                <w:bCs/>
                <w:szCs w:val="21"/>
                <w:highlight w:val="none"/>
              </w:rPr>
              <w:t>付费时间</w:t>
            </w:r>
          </w:p>
        </w:tc>
      </w:tr>
      <w:tr w14:paraId="0A17DE6C">
        <w:tblPrEx>
          <w:tblCellMar>
            <w:top w:w="0" w:type="dxa"/>
            <w:left w:w="108" w:type="dxa"/>
            <w:bottom w:w="0" w:type="dxa"/>
            <w:right w:w="108" w:type="dxa"/>
          </w:tblCellMar>
        </w:tblPrEx>
        <w:trPr>
          <w:trHeight w:val="531" w:hRule="atLeast"/>
        </w:trPr>
        <w:tc>
          <w:tcPr>
            <w:tcW w:w="1239" w:type="dxa"/>
            <w:tcBorders>
              <w:top w:val="single" w:color="auto" w:sz="4" w:space="0"/>
              <w:left w:val="single" w:color="auto" w:sz="4" w:space="0"/>
              <w:bottom w:val="single" w:color="auto" w:sz="4" w:space="0"/>
              <w:right w:val="single" w:color="auto" w:sz="4" w:space="0"/>
            </w:tcBorders>
            <w:noWrap w:val="0"/>
            <w:vAlign w:val="center"/>
          </w:tcPr>
          <w:p w14:paraId="155EBBCB">
            <w:pPr>
              <w:pStyle w:val="17"/>
              <w:ind w:right="-197" w:rightChars="-94" w:firstLine="422" w:firstLineChars="200"/>
              <w:rPr>
                <w:rStyle w:val="86"/>
                <w:rFonts w:hint="eastAsia" w:ascii="宋体" w:hAnsi="宋体" w:eastAsia="宋体"/>
                <w:b/>
                <w:szCs w:val="21"/>
                <w:highlight w:val="none"/>
              </w:rPr>
            </w:pPr>
            <w:r>
              <w:rPr>
                <w:rStyle w:val="86"/>
                <w:rFonts w:hint="eastAsia" w:ascii="宋体" w:hAnsi="宋体" w:eastAsia="宋体"/>
                <w:b/>
                <w:szCs w:val="21"/>
                <w:highlight w:val="none"/>
              </w:rPr>
              <w:t>1</w:t>
            </w:r>
          </w:p>
        </w:tc>
        <w:tc>
          <w:tcPr>
            <w:tcW w:w="1935" w:type="dxa"/>
            <w:tcBorders>
              <w:top w:val="single" w:color="auto" w:sz="4" w:space="0"/>
              <w:left w:val="nil"/>
              <w:bottom w:val="single" w:color="auto" w:sz="4" w:space="0"/>
              <w:right w:val="single" w:color="auto" w:sz="4" w:space="0"/>
            </w:tcBorders>
            <w:noWrap w:val="0"/>
            <w:vAlign w:val="center"/>
          </w:tcPr>
          <w:p w14:paraId="34EBA01B">
            <w:pPr>
              <w:pStyle w:val="17"/>
              <w:snapToGrid w:val="0"/>
              <w:jc w:val="center"/>
              <w:rPr>
                <w:rStyle w:val="86"/>
                <w:rFonts w:hint="eastAsia" w:ascii="宋体" w:hAnsi="宋体" w:eastAsia="宋体"/>
                <w:b/>
                <w:szCs w:val="21"/>
                <w:highlight w:val="none"/>
              </w:rPr>
            </w:pPr>
            <w:r>
              <w:rPr>
                <w:rStyle w:val="86"/>
                <w:rFonts w:hint="eastAsia" w:ascii="宋体" w:hAnsi="宋体"/>
                <w:b/>
                <w:szCs w:val="21"/>
                <w:highlight w:val="none"/>
                <w:lang w:val="en-US" w:eastAsia="zh-CN"/>
              </w:rPr>
              <w:t>8</w:t>
            </w:r>
            <w:r>
              <w:rPr>
                <w:rStyle w:val="86"/>
                <w:rFonts w:hint="eastAsia" w:ascii="宋体" w:hAnsi="宋体" w:eastAsia="宋体"/>
                <w:b/>
                <w:szCs w:val="21"/>
                <w:highlight w:val="none"/>
              </w:rPr>
              <w:t>0%</w:t>
            </w:r>
          </w:p>
        </w:tc>
        <w:tc>
          <w:tcPr>
            <w:tcW w:w="5825" w:type="dxa"/>
            <w:tcBorders>
              <w:top w:val="single" w:color="auto" w:sz="4" w:space="0"/>
              <w:left w:val="nil"/>
              <w:bottom w:val="single" w:color="auto" w:sz="4" w:space="0"/>
              <w:right w:val="single" w:color="auto" w:sz="4" w:space="0"/>
            </w:tcBorders>
            <w:noWrap w:val="0"/>
            <w:vAlign w:val="center"/>
          </w:tcPr>
          <w:p w14:paraId="2B249DE3">
            <w:pPr>
              <w:pStyle w:val="90"/>
              <w:snapToGrid w:val="0"/>
              <w:rPr>
                <w:rStyle w:val="86"/>
                <w:rFonts w:hint="eastAsia" w:ascii="宋体" w:hAnsi="宋体"/>
                <w:b/>
                <w:szCs w:val="21"/>
                <w:highlight w:val="none"/>
              </w:rPr>
            </w:pPr>
            <w:r>
              <w:rPr>
                <w:rStyle w:val="86"/>
                <w:rFonts w:hint="eastAsia" w:ascii="宋体" w:hAnsi="宋体"/>
                <w:b/>
                <w:szCs w:val="21"/>
                <w:highlight w:val="none"/>
              </w:rPr>
              <w:t>提交施工图设计成果并经发包人、审查单位审查合格后10个工作日内支付,按中标价作为计算基数</w:t>
            </w:r>
          </w:p>
        </w:tc>
      </w:tr>
      <w:tr w14:paraId="50678665">
        <w:tblPrEx>
          <w:tblCellMar>
            <w:top w:w="0" w:type="dxa"/>
            <w:left w:w="108" w:type="dxa"/>
            <w:bottom w:w="0" w:type="dxa"/>
            <w:right w:w="108" w:type="dxa"/>
          </w:tblCellMar>
        </w:tblPrEx>
        <w:trPr>
          <w:trHeight w:val="558" w:hRule="atLeast"/>
        </w:trPr>
        <w:tc>
          <w:tcPr>
            <w:tcW w:w="1239" w:type="dxa"/>
            <w:tcBorders>
              <w:top w:val="single" w:color="auto" w:sz="4" w:space="0"/>
              <w:left w:val="single" w:color="auto" w:sz="4" w:space="0"/>
              <w:bottom w:val="single" w:color="auto" w:sz="4" w:space="0"/>
              <w:right w:val="single" w:color="auto" w:sz="4" w:space="0"/>
            </w:tcBorders>
            <w:noWrap w:val="0"/>
            <w:vAlign w:val="center"/>
          </w:tcPr>
          <w:p w14:paraId="445215BD">
            <w:pPr>
              <w:pStyle w:val="17"/>
              <w:ind w:right="-197" w:rightChars="-94" w:firstLine="422" w:firstLineChars="200"/>
              <w:rPr>
                <w:rStyle w:val="86"/>
                <w:rFonts w:hint="eastAsia" w:ascii="宋体" w:hAnsi="宋体" w:eastAsia="宋体"/>
                <w:b/>
                <w:szCs w:val="21"/>
                <w:highlight w:val="none"/>
              </w:rPr>
            </w:pPr>
            <w:r>
              <w:rPr>
                <w:rStyle w:val="86"/>
                <w:rFonts w:hint="eastAsia" w:ascii="宋体" w:hAnsi="宋体" w:eastAsia="宋体"/>
                <w:b/>
                <w:szCs w:val="21"/>
                <w:highlight w:val="none"/>
              </w:rPr>
              <w:t>2</w:t>
            </w:r>
          </w:p>
        </w:tc>
        <w:tc>
          <w:tcPr>
            <w:tcW w:w="1935" w:type="dxa"/>
            <w:tcBorders>
              <w:top w:val="single" w:color="auto" w:sz="4" w:space="0"/>
              <w:left w:val="nil"/>
              <w:bottom w:val="single" w:color="auto" w:sz="4" w:space="0"/>
              <w:right w:val="single" w:color="auto" w:sz="4" w:space="0"/>
            </w:tcBorders>
            <w:noWrap w:val="0"/>
            <w:vAlign w:val="center"/>
          </w:tcPr>
          <w:p w14:paraId="00AE19E9">
            <w:pPr>
              <w:pStyle w:val="17"/>
              <w:snapToGrid w:val="0"/>
              <w:jc w:val="center"/>
              <w:rPr>
                <w:rStyle w:val="86"/>
                <w:rFonts w:hint="eastAsia" w:ascii="宋体" w:hAnsi="宋体" w:eastAsia="宋体"/>
                <w:b/>
                <w:szCs w:val="21"/>
                <w:highlight w:val="none"/>
              </w:rPr>
            </w:pPr>
            <w:r>
              <w:rPr>
                <w:rStyle w:val="86"/>
                <w:rFonts w:hint="eastAsia" w:ascii="宋体" w:hAnsi="宋体"/>
                <w:b/>
                <w:szCs w:val="21"/>
                <w:highlight w:val="none"/>
                <w:lang w:val="en-US" w:eastAsia="zh-CN"/>
              </w:rPr>
              <w:t>1</w:t>
            </w:r>
            <w:r>
              <w:rPr>
                <w:rStyle w:val="86"/>
                <w:rFonts w:hint="eastAsia" w:ascii="宋体" w:hAnsi="宋体" w:eastAsia="宋体"/>
                <w:b/>
                <w:szCs w:val="21"/>
                <w:highlight w:val="none"/>
              </w:rPr>
              <w:t>0%</w:t>
            </w:r>
          </w:p>
        </w:tc>
        <w:tc>
          <w:tcPr>
            <w:tcW w:w="5825" w:type="dxa"/>
            <w:tcBorders>
              <w:top w:val="single" w:color="auto" w:sz="4" w:space="0"/>
              <w:left w:val="nil"/>
              <w:bottom w:val="single" w:color="auto" w:sz="4" w:space="0"/>
              <w:right w:val="single" w:color="auto" w:sz="4" w:space="0"/>
            </w:tcBorders>
            <w:noWrap w:val="0"/>
            <w:vAlign w:val="center"/>
          </w:tcPr>
          <w:p w14:paraId="0E3D2526">
            <w:pPr>
              <w:pStyle w:val="90"/>
              <w:snapToGrid w:val="0"/>
              <w:rPr>
                <w:rStyle w:val="86"/>
                <w:rFonts w:hint="eastAsia" w:ascii="宋体" w:hAnsi="宋体"/>
                <w:b/>
                <w:szCs w:val="21"/>
                <w:highlight w:val="none"/>
              </w:rPr>
            </w:pPr>
            <w:r>
              <w:rPr>
                <w:rStyle w:val="86"/>
                <w:rFonts w:hint="eastAsia" w:ascii="宋体" w:hAnsi="宋体"/>
                <w:b/>
                <w:szCs w:val="21"/>
                <w:highlight w:val="none"/>
              </w:rPr>
              <w:t>项目竣工验收合格后10个工作日内支付，按中标价作为计算基数</w:t>
            </w:r>
          </w:p>
        </w:tc>
      </w:tr>
      <w:tr w14:paraId="05CD6FD0">
        <w:tblPrEx>
          <w:tblCellMar>
            <w:top w:w="0" w:type="dxa"/>
            <w:left w:w="108" w:type="dxa"/>
            <w:bottom w:w="0" w:type="dxa"/>
            <w:right w:w="108" w:type="dxa"/>
          </w:tblCellMar>
        </w:tblPrEx>
        <w:trPr>
          <w:trHeight w:val="552" w:hRule="atLeast"/>
        </w:trPr>
        <w:tc>
          <w:tcPr>
            <w:tcW w:w="1239" w:type="dxa"/>
            <w:tcBorders>
              <w:top w:val="single" w:color="auto" w:sz="4" w:space="0"/>
              <w:left w:val="single" w:color="auto" w:sz="4" w:space="0"/>
              <w:bottom w:val="single" w:color="auto" w:sz="4" w:space="0"/>
              <w:right w:val="single" w:color="auto" w:sz="4" w:space="0"/>
            </w:tcBorders>
            <w:noWrap w:val="0"/>
            <w:vAlign w:val="center"/>
          </w:tcPr>
          <w:p w14:paraId="4B992030">
            <w:pPr>
              <w:pStyle w:val="17"/>
              <w:ind w:right="-197" w:rightChars="-94" w:firstLine="422" w:firstLineChars="200"/>
              <w:rPr>
                <w:rStyle w:val="86"/>
                <w:rFonts w:hint="eastAsia" w:ascii="宋体" w:hAnsi="宋体" w:eastAsia="宋体"/>
                <w:b/>
                <w:szCs w:val="21"/>
                <w:highlight w:val="none"/>
              </w:rPr>
            </w:pPr>
            <w:r>
              <w:rPr>
                <w:rStyle w:val="86"/>
                <w:rFonts w:hint="eastAsia" w:ascii="宋体" w:hAnsi="宋体" w:eastAsia="宋体"/>
                <w:b/>
                <w:szCs w:val="21"/>
                <w:highlight w:val="none"/>
              </w:rPr>
              <w:t>3</w:t>
            </w:r>
          </w:p>
        </w:tc>
        <w:tc>
          <w:tcPr>
            <w:tcW w:w="1935" w:type="dxa"/>
            <w:tcBorders>
              <w:top w:val="single" w:color="auto" w:sz="4" w:space="0"/>
              <w:left w:val="nil"/>
              <w:bottom w:val="single" w:color="auto" w:sz="4" w:space="0"/>
              <w:right w:val="single" w:color="auto" w:sz="4" w:space="0"/>
            </w:tcBorders>
            <w:noWrap w:val="0"/>
            <w:vAlign w:val="center"/>
          </w:tcPr>
          <w:p w14:paraId="5544FCFF">
            <w:pPr>
              <w:pStyle w:val="17"/>
              <w:snapToGrid w:val="0"/>
              <w:jc w:val="center"/>
              <w:rPr>
                <w:rStyle w:val="86"/>
                <w:rFonts w:hint="eastAsia" w:ascii="宋体" w:hAnsi="宋体" w:eastAsia="宋体"/>
                <w:b/>
                <w:szCs w:val="21"/>
                <w:highlight w:val="none"/>
              </w:rPr>
            </w:pPr>
            <w:r>
              <w:rPr>
                <w:rStyle w:val="86"/>
                <w:rFonts w:hint="eastAsia" w:ascii="宋体" w:hAnsi="宋体"/>
                <w:b/>
                <w:szCs w:val="21"/>
                <w:highlight w:val="none"/>
                <w:lang w:val="en-US" w:eastAsia="zh-CN"/>
              </w:rPr>
              <w:t>1</w:t>
            </w:r>
            <w:r>
              <w:rPr>
                <w:rStyle w:val="86"/>
                <w:rFonts w:hint="eastAsia" w:ascii="宋体" w:hAnsi="宋体" w:eastAsia="宋体"/>
                <w:b/>
                <w:szCs w:val="21"/>
                <w:highlight w:val="none"/>
              </w:rPr>
              <w:t>0%</w:t>
            </w:r>
          </w:p>
        </w:tc>
        <w:tc>
          <w:tcPr>
            <w:tcW w:w="5825" w:type="dxa"/>
            <w:tcBorders>
              <w:top w:val="single" w:color="auto" w:sz="4" w:space="0"/>
              <w:left w:val="nil"/>
              <w:bottom w:val="single" w:color="auto" w:sz="4" w:space="0"/>
              <w:right w:val="single" w:color="auto" w:sz="4" w:space="0"/>
            </w:tcBorders>
            <w:noWrap w:val="0"/>
            <w:vAlign w:val="center"/>
          </w:tcPr>
          <w:p w14:paraId="41ECB1AA">
            <w:pPr>
              <w:pStyle w:val="90"/>
              <w:snapToGrid w:val="0"/>
              <w:rPr>
                <w:rStyle w:val="86"/>
                <w:rFonts w:hint="eastAsia" w:ascii="宋体" w:hAnsi="宋体"/>
                <w:b/>
                <w:szCs w:val="21"/>
                <w:highlight w:val="none"/>
              </w:rPr>
            </w:pPr>
            <w:r>
              <w:rPr>
                <w:rStyle w:val="86"/>
                <w:rFonts w:hint="eastAsia" w:ascii="宋体" w:hAnsi="宋体"/>
                <w:b/>
                <w:szCs w:val="21"/>
                <w:highlight w:val="none"/>
              </w:rPr>
              <w:t>项目审计完成后10个工作日内支付</w:t>
            </w:r>
          </w:p>
        </w:tc>
      </w:tr>
    </w:tbl>
    <w:p w14:paraId="425E16AF">
      <w:pPr>
        <w:pStyle w:val="19"/>
        <w:rPr>
          <w:highlight w:val="none"/>
        </w:rPr>
      </w:pPr>
    </w:p>
    <w:p w14:paraId="5990030B">
      <w:pPr>
        <w:pStyle w:val="88"/>
        <w:rPr>
          <w:rStyle w:val="86"/>
          <w:rFonts w:hint="eastAsia"/>
          <w:highlight w:val="none"/>
        </w:rPr>
      </w:pPr>
      <w:r>
        <w:rPr>
          <w:rStyle w:val="86"/>
          <w:rFonts w:hint="eastAsia"/>
          <w:highlight w:val="none"/>
        </w:rPr>
        <w:t xml:space="preserve"> </w:t>
      </w:r>
    </w:p>
    <w:p w14:paraId="57143C30">
      <w:pPr>
        <w:pStyle w:val="22"/>
        <w:rPr>
          <w:rStyle w:val="86"/>
          <w:rFonts w:hint="eastAsia" w:ascii="Calibri" w:hAnsi="Calibri"/>
          <w:highlight w:val="none"/>
        </w:rPr>
      </w:pPr>
      <w:r>
        <w:rPr>
          <w:rStyle w:val="86"/>
          <w:rFonts w:hint="eastAsia"/>
          <w:highlight w:val="none"/>
        </w:rPr>
        <w:t xml:space="preserve"> </w:t>
      </w:r>
    </w:p>
    <w:p w14:paraId="10D573A2">
      <w:pPr>
        <w:pStyle w:val="91"/>
        <w:rPr>
          <w:rStyle w:val="86"/>
          <w:rFonts w:hint="eastAsia"/>
          <w:highlight w:val="none"/>
        </w:rPr>
      </w:pPr>
      <w:r>
        <w:rPr>
          <w:rStyle w:val="86"/>
          <w:rFonts w:hint="eastAsia"/>
          <w:highlight w:val="none"/>
        </w:rPr>
        <w:t xml:space="preserve">     </w:t>
      </w:r>
      <w:r>
        <w:rPr>
          <w:rStyle w:val="86"/>
          <w:rFonts w:hint="eastAsia" w:ascii="宋体" w:hAnsi="宋体"/>
          <w:highlight w:val="none"/>
        </w:rPr>
        <w:t>注：合同价款支付时，承包人应按发包人要求提交相关请款报告、开具等额合规的发票。若承包人延迟提交报告或出具发票，则发包人付款期限顺延。</w:t>
      </w:r>
    </w:p>
    <w:p w14:paraId="7813F38E">
      <w:pPr>
        <w:pStyle w:val="22"/>
        <w:widowControl/>
        <w:adjustRightInd w:val="0"/>
        <w:snapToGrid w:val="0"/>
        <w:spacing w:after="156" w:afterLines="50" w:line="360" w:lineRule="auto"/>
        <w:ind w:firstLine="420" w:firstLineChars="200"/>
        <w:rPr>
          <w:rStyle w:val="86"/>
          <w:rFonts w:hint="eastAsia" w:ascii="宋体" w:hAnsi="宋体"/>
          <w:highlight w:val="none"/>
        </w:rPr>
      </w:pPr>
      <w:r>
        <w:rPr>
          <w:rStyle w:val="86"/>
          <w:rFonts w:hint="eastAsia" w:ascii="宋体" w:hAnsi="宋体"/>
          <w:highlight w:val="none"/>
        </w:rPr>
        <w:t>工程进度付款申请方式：</w:t>
      </w:r>
    </w:p>
    <w:p w14:paraId="5B52A606">
      <w:pPr>
        <w:pStyle w:val="17"/>
        <w:widowControl/>
        <w:adjustRightInd w:val="0"/>
        <w:snapToGrid w:val="0"/>
        <w:spacing w:after="156" w:afterLines="50" w:line="360" w:lineRule="auto"/>
        <w:ind w:firstLine="422" w:firstLineChars="200"/>
        <w:rPr>
          <w:rStyle w:val="86"/>
          <w:rFonts w:hint="eastAsia" w:ascii="宋体" w:hAnsi="宋体" w:eastAsia="宋体"/>
          <w:b/>
          <w:highlight w:val="none"/>
        </w:rPr>
      </w:pPr>
      <w:r>
        <w:rPr>
          <w:rStyle w:val="86"/>
          <w:rFonts w:hint="eastAsia" w:eastAsia="宋体"/>
          <w:b/>
          <w:highlight w:val="none"/>
        </w:rPr>
        <w:t xml:space="preserve"> </w:t>
      </w:r>
      <w:r>
        <w:rPr>
          <w:rStyle w:val="86"/>
          <w:rFonts w:ascii="宋体" w:hAnsi="宋体" w:eastAsia="宋体"/>
          <w:b/>
          <w:highlight w:val="none"/>
        </w:rPr>
        <w:t>建筑安装工程工程款支付比例：每月25日（节假日除外）由承包人申报、工程师、发包人代表审核后30日内支付当期计量工程款，支付比例为经工程师（监理）、发包人代表审核价款的</w:t>
      </w:r>
      <w:r>
        <w:rPr>
          <w:rStyle w:val="86"/>
          <w:rFonts w:hint="eastAsia" w:ascii="宋体" w:hAnsi="宋体"/>
          <w:b/>
          <w:highlight w:val="none"/>
          <w:lang w:eastAsia="zh-CN"/>
        </w:rPr>
        <w:t>8</w:t>
      </w:r>
      <w:r>
        <w:rPr>
          <w:rStyle w:val="86"/>
          <w:rFonts w:hint="eastAsia" w:ascii="宋体" w:hAnsi="宋体"/>
          <w:b/>
          <w:highlight w:val="none"/>
          <w:lang w:val="en-US" w:eastAsia="zh-CN"/>
        </w:rPr>
        <w:t>0</w:t>
      </w:r>
      <w:r>
        <w:rPr>
          <w:rStyle w:val="86"/>
          <w:rFonts w:ascii="宋体" w:hAnsi="宋体" w:eastAsia="宋体"/>
          <w:b/>
          <w:highlight w:val="none"/>
        </w:rPr>
        <w:t>%</w:t>
      </w:r>
      <w:r>
        <w:rPr>
          <w:rStyle w:val="86"/>
          <w:rFonts w:hint="eastAsia" w:ascii="宋体" w:hAnsi="宋体" w:eastAsia="宋体"/>
          <w:b/>
          <w:highlight w:val="none"/>
        </w:rPr>
        <w:t>，</w:t>
      </w:r>
      <w:r>
        <w:rPr>
          <w:rStyle w:val="86"/>
          <w:rFonts w:ascii="宋体" w:hAnsi="宋体" w:eastAsia="宋体"/>
          <w:b/>
          <w:highlight w:val="none"/>
        </w:rPr>
        <w:t>工程竣工验收合格1个月内,工程进度款付至</w:t>
      </w:r>
      <w:r>
        <w:rPr>
          <w:rStyle w:val="86"/>
          <w:rFonts w:hint="eastAsia" w:ascii="宋体" w:hAnsi="宋体" w:eastAsia="宋体"/>
          <w:b/>
          <w:highlight w:val="none"/>
        </w:rPr>
        <w:t>发包人代表审核价款</w:t>
      </w:r>
      <w:r>
        <w:rPr>
          <w:rStyle w:val="86"/>
          <w:rFonts w:ascii="宋体" w:hAnsi="宋体" w:eastAsia="宋体"/>
          <w:b/>
          <w:highlight w:val="none"/>
        </w:rPr>
        <w:t>的</w:t>
      </w:r>
      <w:r>
        <w:rPr>
          <w:rStyle w:val="86"/>
          <w:rFonts w:hint="eastAsia" w:ascii="宋体" w:hAnsi="宋体"/>
          <w:b/>
          <w:highlight w:val="none"/>
          <w:lang w:val="en-US" w:eastAsia="zh-CN"/>
        </w:rPr>
        <w:t>80</w:t>
      </w:r>
      <w:r>
        <w:rPr>
          <w:rStyle w:val="86"/>
          <w:rFonts w:ascii="宋体" w:hAnsi="宋体" w:eastAsia="宋体"/>
          <w:b/>
          <w:highlight w:val="none"/>
        </w:rPr>
        <w:t>%，结算经</w:t>
      </w:r>
      <w:r>
        <w:rPr>
          <w:rStyle w:val="86"/>
          <w:rFonts w:hint="eastAsia" w:ascii="宋体" w:hAnsi="宋体" w:eastAsia="宋体"/>
          <w:b/>
          <w:highlight w:val="none"/>
        </w:rPr>
        <w:t>发包人</w:t>
      </w:r>
      <w:r>
        <w:rPr>
          <w:rStyle w:val="86"/>
          <w:rFonts w:hint="eastAsia" w:ascii="宋体" w:hAnsi="宋体" w:eastAsia="宋体"/>
          <w:b/>
          <w:szCs w:val="21"/>
          <w:highlight w:val="none"/>
        </w:rPr>
        <w:t>委托的第三方审计单位审计结果</w:t>
      </w:r>
      <w:r>
        <w:rPr>
          <w:rStyle w:val="86"/>
          <w:rFonts w:ascii="宋体" w:hAnsi="宋体" w:eastAsia="宋体"/>
          <w:b/>
          <w:highlight w:val="none"/>
        </w:rPr>
        <w:t>后，支付至工程审计审核金额的97％；剩余3%质保金待</w:t>
      </w:r>
      <w:r>
        <w:rPr>
          <w:rStyle w:val="86"/>
          <w:rFonts w:hint="eastAsia" w:ascii="宋体" w:hAnsi="宋体" w:eastAsia="宋体"/>
          <w:b/>
          <w:highlight w:val="none"/>
        </w:rPr>
        <w:t>质保期满后</w:t>
      </w:r>
      <w:r>
        <w:rPr>
          <w:rStyle w:val="86"/>
          <w:rFonts w:ascii="宋体" w:hAnsi="宋体" w:eastAsia="宋体"/>
          <w:b/>
          <w:highlight w:val="none"/>
        </w:rPr>
        <w:t>30日内按国家相关规定支付。发包人向承包人支付上述款项前，均以收到的承包人出具的等额增值税专用发票为前提。</w:t>
      </w:r>
      <w:r>
        <w:rPr>
          <w:rStyle w:val="86"/>
          <w:rFonts w:hint="eastAsia" w:ascii="宋体" w:hAnsi="宋体" w:eastAsia="宋体"/>
          <w:b/>
          <w:highlight w:val="none"/>
        </w:rPr>
        <w:t>发包</w:t>
      </w:r>
      <w:r>
        <w:rPr>
          <w:rStyle w:val="86"/>
          <w:rFonts w:ascii="宋体" w:hAnsi="宋体" w:eastAsia="宋体"/>
          <w:b/>
          <w:highlight w:val="none"/>
        </w:rPr>
        <w:t>人</w:t>
      </w:r>
      <w:r>
        <w:rPr>
          <w:rStyle w:val="86"/>
          <w:rFonts w:hint="eastAsia" w:ascii="宋体" w:hAnsi="宋体" w:eastAsia="宋体"/>
          <w:b/>
          <w:highlight w:val="none"/>
        </w:rPr>
        <w:t>应在承包人提交竣工结算资料后3</w:t>
      </w:r>
      <w:r>
        <w:rPr>
          <w:rStyle w:val="86"/>
          <w:rFonts w:ascii="宋体" w:hAnsi="宋体" w:eastAsia="宋体"/>
          <w:b/>
          <w:highlight w:val="none"/>
        </w:rPr>
        <w:t>0</w:t>
      </w:r>
      <w:r>
        <w:rPr>
          <w:rStyle w:val="86"/>
          <w:rFonts w:hint="eastAsia" w:ascii="宋体" w:hAnsi="宋体" w:eastAsia="宋体"/>
          <w:b/>
          <w:highlight w:val="none"/>
        </w:rPr>
        <w:t>日内对资料的完整性予以确认，否则视为承包人的竣工结算资料完整；发包人应完成竣工结算审核。</w:t>
      </w:r>
    </w:p>
    <w:p w14:paraId="49D5ED7B">
      <w:pPr>
        <w:pStyle w:val="16"/>
        <w:widowControl/>
        <w:adjustRightInd w:val="0"/>
        <w:snapToGrid w:val="0"/>
        <w:spacing w:after="156" w:afterLines="50" w:afterAutospacing="0" w:line="360" w:lineRule="auto"/>
        <w:ind w:left="0" w:leftChars="0" w:firstLine="422" w:firstLineChars="200"/>
        <w:rPr>
          <w:rStyle w:val="86"/>
          <w:rFonts w:hint="eastAsia" w:ascii="宋体" w:hAnsi="宋体" w:eastAsia="宋体"/>
          <w:b/>
          <w:szCs w:val="21"/>
          <w:highlight w:val="none"/>
        </w:rPr>
      </w:pPr>
      <w:r>
        <w:rPr>
          <w:rStyle w:val="86"/>
          <w:rFonts w:hint="eastAsia" w:ascii="宋体" w:hAnsi="宋体" w:eastAsia="宋体"/>
          <w:b/>
          <w:szCs w:val="21"/>
          <w:highlight w:val="none"/>
        </w:rPr>
        <w:t>安全文明施工费支付：按照《关于调整四川省房屋建筑和市政基础设施施工程总承包项目安全文明施工费计取标准的通知》 川建标发〔2022〕226号计取（详见安全文明施工措施费支付协议）。进度款中安全文明施工费仅计取基本费。</w:t>
      </w:r>
    </w:p>
    <w:p w14:paraId="0743D2DA">
      <w:pPr>
        <w:pStyle w:val="16"/>
        <w:widowControl/>
        <w:adjustRightInd w:val="0"/>
        <w:snapToGrid w:val="0"/>
        <w:spacing w:after="156" w:afterLines="50" w:afterAutospacing="0" w:line="360" w:lineRule="auto"/>
        <w:ind w:left="0" w:leftChars="0" w:firstLine="422" w:firstLineChars="200"/>
        <w:rPr>
          <w:rStyle w:val="86"/>
          <w:rFonts w:hint="eastAsia" w:ascii="宋体" w:hAnsi="宋体" w:eastAsia="宋体"/>
          <w:b/>
          <w:szCs w:val="21"/>
          <w:highlight w:val="none"/>
        </w:rPr>
      </w:pPr>
      <w:r>
        <w:rPr>
          <w:rStyle w:val="86"/>
          <w:rFonts w:hint="eastAsia" w:ascii="宋体" w:hAnsi="宋体" w:eastAsia="宋体"/>
          <w:b/>
          <w:szCs w:val="21"/>
          <w:highlight w:val="none"/>
        </w:rPr>
        <w:t>缺陷责任期：竣工验收合格后 24 个月。</w:t>
      </w:r>
    </w:p>
    <w:p w14:paraId="335D38D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承包人提交进度付款申请单的格式、内容、份数和时间：</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按发包人要求执行</w:t>
      </w:r>
      <w:r>
        <w:rPr>
          <w:rStyle w:val="86"/>
          <w:rFonts w:hint="eastAsia" w:ascii="宋体" w:hAnsi="宋体"/>
          <w:highlight w:val="none"/>
          <w:u w:val="single"/>
        </w:rPr>
        <w:t xml:space="preserve"> </w:t>
      </w:r>
      <w:r>
        <w:rPr>
          <w:rStyle w:val="86"/>
          <w:rFonts w:hint="eastAsia" w:ascii="宋体" w:hAnsi="宋体"/>
          <w:highlight w:val="none"/>
        </w:rPr>
        <w:t>。</w:t>
      </w:r>
    </w:p>
    <w:p w14:paraId="132D9AE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进度付款申请单应包括的内容：</w:t>
      </w:r>
      <w:r>
        <w:rPr>
          <w:rStyle w:val="86"/>
          <w:rFonts w:hint="eastAsia" w:ascii="宋体" w:hAnsi="宋体"/>
          <w:highlight w:val="none"/>
          <w:u w:val="single"/>
        </w:rPr>
        <w:t xml:space="preserve">  </w:t>
      </w:r>
      <w:r>
        <w:rPr>
          <w:rStyle w:val="86"/>
          <w:rFonts w:hint="eastAsia" w:ascii="宋体" w:hAnsi="宋体"/>
          <w:b/>
          <w:bCs/>
          <w:highlight w:val="none"/>
          <w:u w:val="single"/>
        </w:rPr>
        <w:t>按发包人要求执行</w:t>
      </w:r>
      <w:r>
        <w:rPr>
          <w:rStyle w:val="86"/>
          <w:rFonts w:hint="eastAsia" w:ascii="宋体" w:hAnsi="宋体"/>
          <w:highlight w:val="none"/>
          <w:u w:val="single"/>
        </w:rPr>
        <w:t xml:space="preserve"> </w:t>
      </w:r>
      <w:r>
        <w:rPr>
          <w:rStyle w:val="86"/>
          <w:rFonts w:hint="eastAsia" w:ascii="宋体" w:hAnsi="宋体"/>
          <w:highlight w:val="none"/>
        </w:rPr>
        <w:t>。</w:t>
      </w:r>
    </w:p>
    <w:p w14:paraId="580B7E3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14.3.2 进度付款审核和支付</w:t>
      </w:r>
    </w:p>
    <w:p w14:paraId="7090586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进度付款的审核方式和支付的约定：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按发包人要求执行 </w:t>
      </w:r>
      <w:r>
        <w:rPr>
          <w:rStyle w:val="86"/>
          <w:rFonts w:hint="eastAsia" w:ascii="宋体" w:hAnsi="宋体"/>
          <w:highlight w:val="none"/>
          <w:u w:val="single"/>
        </w:rPr>
        <w:t xml:space="preserve"> </w:t>
      </w:r>
      <w:r>
        <w:rPr>
          <w:rStyle w:val="86"/>
          <w:rFonts w:hint="eastAsia" w:ascii="宋体" w:hAnsi="宋体"/>
          <w:highlight w:val="none"/>
        </w:rPr>
        <w:t>。</w:t>
      </w:r>
    </w:p>
    <w:p w14:paraId="55F1719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发包人应在进度款支付证书或临时进度款支付证书签发后的</w:t>
      </w:r>
      <w:r>
        <w:rPr>
          <w:rStyle w:val="86"/>
          <w:rFonts w:hint="eastAsia" w:ascii="宋体" w:hAnsi="宋体"/>
          <w:highlight w:val="none"/>
          <w:u w:val="single"/>
        </w:rPr>
        <w:t xml:space="preserve"> </w:t>
      </w:r>
      <w:r>
        <w:rPr>
          <w:rStyle w:val="86"/>
          <w:rFonts w:hint="eastAsia" w:ascii="宋体" w:hAnsi="宋体"/>
          <w:b/>
          <w:bCs/>
          <w:highlight w:val="none"/>
          <w:u w:val="single"/>
        </w:rPr>
        <w:t>28</w:t>
      </w:r>
      <w:r>
        <w:rPr>
          <w:rStyle w:val="86"/>
          <w:rFonts w:hint="eastAsia" w:ascii="宋体" w:hAnsi="宋体"/>
          <w:highlight w:val="none"/>
          <w:u w:val="single"/>
        </w:rPr>
        <w:t xml:space="preserve"> </w:t>
      </w:r>
      <w:r>
        <w:rPr>
          <w:rStyle w:val="86"/>
          <w:rFonts w:hint="eastAsia" w:ascii="宋体" w:hAnsi="宋体"/>
          <w:highlight w:val="none"/>
        </w:rPr>
        <w:t>天内完成支付，发包人逾期支付进度款的，应按照</w:t>
      </w:r>
      <w:r>
        <w:rPr>
          <w:rStyle w:val="86"/>
          <w:rFonts w:hint="eastAsia" w:ascii="宋体" w:hAnsi="宋体"/>
          <w:highlight w:val="none"/>
          <w:u w:val="single"/>
        </w:rPr>
        <w:t xml:space="preserve">  /  </w:t>
      </w:r>
      <w:r>
        <w:rPr>
          <w:rStyle w:val="86"/>
          <w:rFonts w:hint="eastAsia" w:ascii="宋体" w:hAnsi="宋体"/>
          <w:highlight w:val="none"/>
        </w:rPr>
        <w:t>支付违约金。</w:t>
      </w:r>
    </w:p>
    <w:p w14:paraId="6D16B6A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14.4 付款计划表</w:t>
      </w:r>
    </w:p>
    <w:p w14:paraId="0371BB0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14.4.1 付款计划表的编制要求：</w:t>
      </w:r>
      <w:r>
        <w:rPr>
          <w:rStyle w:val="86"/>
          <w:rFonts w:hint="eastAsia" w:ascii="宋体" w:hAnsi="宋体"/>
          <w:highlight w:val="none"/>
          <w:u w:val="single"/>
        </w:rPr>
        <w:t xml:space="preserve">      无           </w:t>
      </w:r>
      <w:r>
        <w:rPr>
          <w:rStyle w:val="86"/>
          <w:rFonts w:hint="eastAsia" w:ascii="宋体" w:hAnsi="宋体"/>
          <w:highlight w:val="none"/>
        </w:rPr>
        <w:t>。</w:t>
      </w:r>
    </w:p>
    <w:p w14:paraId="297B12E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14.4.2 付款计划表的编制与审批</w:t>
      </w:r>
    </w:p>
    <w:p w14:paraId="1E6478F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付款计划表的编制：</w:t>
      </w:r>
      <w:r>
        <w:rPr>
          <w:rStyle w:val="86"/>
          <w:rFonts w:hint="eastAsia" w:ascii="宋体" w:hAnsi="宋体"/>
          <w:highlight w:val="none"/>
          <w:u w:val="single"/>
        </w:rPr>
        <w:t xml:space="preserve">        无         </w:t>
      </w:r>
      <w:r>
        <w:rPr>
          <w:rStyle w:val="86"/>
          <w:rFonts w:hint="eastAsia" w:ascii="宋体" w:hAnsi="宋体"/>
          <w:highlight w:val="none"/>
        </w:rPr>
        <w:t>。</w:t>
      </w:r>
    </w:p>
    <w:p w14:paraId="05CB206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14.5 竣工结算</w:t>
      </w:r>
    </w:p>
    <w:p w14:paraId="2A7CB92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14.5.1 竣工结算申请</w:t>
      </w:r>
    </w:p>
    <w:p w14:paraId="0A7A334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承包人提交竣工结算申请的时间：</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6BC223C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竣工结算申请的资料清单和份数：</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4496950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竣工结算申请单的内容应包括：</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05DF79E6">
      <w:pPr>
        <w:pStyle w:val="84"/>
        <w:spacing w:line="360" w:lineRule="auto"/>
        <w:ind w:firstLine="422" w:firstLineChars="200"/>
        <w:rPr>
          <w:rFonts w:hint="eastAsia"/>
          <w:b/>
          <w:highlight w:val="none"/>
        </w:rPr>
      </w:pPr>
      <w:r>
        <w:rPr>
          <w:rStyle w:val="86"/>
          <w:rFonts w:hint="eastAsia" w:ascii="宋体" w:hAnsi="宋体"/>
          <w:b/>
          <w:highlight w:val="none"/>
        </w:rPr>
        <w:t xml:space="preserve">竣工结算建安工程费高于中标价的，以中标金额作为建安工程费竣工结算价，超出部分由承包人自行承担；竣工结算建安工程费不高于中标价的，以竣工结算建安工程费作为建安工程费竣工结算价。 </w:t>
      </w:r>
    </w:p>
    <w:p w14:paraId="285B421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14.5.2 竣工结算审核</w:t>
      </w:r>
    </w:p>
    <w:p w14:paraId="17C27A7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发包人审批竣工付款申请单的期限：</w:t>
      </w:r>
      <w:r>
        <w:rPr>
          <w:rStyle w:val="86"/>
          <w:rFonts w:hint="eastAsia" w:ascii="宋体" w:hAnsi="宋体"/>
          <w:highlight w:val="none"/>
          <w:u w:val="single"/>
        </w:rPr>
        <w:t xml:space="preserve"> </w:t>
      </w:r>
      <w:r>
        <w:rPr>
          <w:rStyle w:val="86"/>
          <w:rFonts w:hint="eastAsia" w:ascii="宋体" w:hAnsi="宋体"/>
          <w:b/>
          <w:bCs/>
          <w:highlight w:val="none"/>
          <w:u w:val="single"/>
        </w:rPr>
        <w:t>按发包人要求执行</w:t>
      </w:r>
      <w:r>
        <w:rPr>
          <w:rStyle w:val="86"/>
          <w:rFonts w:hint="eastAsia" w:ascii="宋体" w:hAnsi="宋体"/>
          <w:highlight w:val="none"/>
          <w:u w:val="single"/>
        </w:rPr>
        <w:t xml:space="preserve"> </w:t>
      </w:r>
      <w:r>
        <w:rPr>
          <w:rStyle w:val="86"/>
          <w:rFonts w:hint="eastAsia" w:ascii="宋体" w:hAnsi="宋体"/>
          <w:highlight w:val="none"/>
        </w:rPr>
        <w:t>。</w:t>
      </w:r>
    </w:p>
    <w:p w14:paraId="037CF9ED">
      <w:pPr>
        <w:pStyle w:val="84"/>
        <w:spacing w:line="520" w:lineRule="exact"/>
        <w:ind w:firstLine="420" w:firstLineChars="200"/>
        <w:rPr>
          <w:rStyle w:val="86"/>
          <w:rFonts w:hint="eastAsia" w:ascii="宋体" w:hAnsi="宋体"/>
          <w:highlight w:val="none"/>
        </w:rPr>
      </w:pPr>
      <w:r>
        <w:rPr>
          <w:rStyle w:val="86"/>
          <w:rFonts w:hint="eastAsia" w:ascii="宋体" w:hAnsi="宋体"/>
          <w:highlight w:val="none"/>
        </w:rPr>
        <w:t>发包人完成竣工付款的期限：</w:t>
      </w:r>
      <w:r>
        <w:rPr>
          <w:rStyle w:val="86"/>
          <w:rFonts w:hint="eastAsia" w:ascii="宋体" w:hAnsi="宋体"/>
          <w:highlight w:val="none"/>
          <w:u w:val="single"/>
        </w:rPr>
        <w:t xml:space="preserve"> </w:t>
      </w:r>
      <w:r>
        <w:rPr>
          <w:rStyle w:val="86"/>
          <w:rFonts w:hint="eastAsia" w:ascii="宋体" w:hAnsi="宋体"/>
          <w:spacing w:val="-12"/>
          <w:highlight w:val="none"/>
          <w:u w:val="single"/>
        </w:rPr>
        <w:t>资料归档、审计完成并经发包人审批后</w:t>
      </w:r>
      <w:r>
        <w:rPr>
          <w:rStyle w:val="86"/>
          <w:rFonts w:hint="eastAsia" w:ascii="宋体" w:hAnsi="宋体"/>
          <w:b/>
          <w:bCs/>
          <w:highlight w:val="none"/>
          <w:u w:val="single"/>
        </w:rPr>
        <w:t>90</w:t>
      </w:r>
      <w:r>
        <w:rPr>
          <w:rStyle w:val="86"/>
          <w:rFonts w:hint="eastAsia" w:ascii="宋体" w:hAnsi="宋体"/>
          <w:highlight w:val="none"/>
          <w:u w:val="single"/>
        </w:rPr>
        <w:t>天内支付</w:t>
      </w:r>
      <w:r>
        <w:rPr>
          <w:rStyle w:val="86"/>
          <w:rFonts w:hint="eastAsia" w:ascii="宋体" w:hAnsi="宋体"/>
          <w:highlight w:val="none"/>
        </w:rPr>
        <w:t>。</w:t>
      </w:r>
    </w:p>
    <w:p w14:paraId="3BE63BDA">
      <w:pPr>
        <w:pStyle w:val="84"/>
        <w:spacing w:line="520" w:lineRule="exact"/>
        <w:ind w:firstLine="420" w:firstLineChars="200"/>
        <w:rPr>
          <w:rStyle w:val="86"/>
          <w:rFonts w:hint="eastAsia" w:ascii="宋体" w:hAnsi="宋体"/>
          <w:highlight w:val="none"/>
        </w:rPr>
      </w:pPr>
      <w:r>
        <w:rPr>
          <w:rStyle w:val="86"/>
          <w:rFonts w:hint="eastAsia" w:ascii="宋体" w:hAnsi="宋体"/>
          <w:highlight w:val="none"/>
        </w:rPr>
        <w:t>关于竣工付款证书异议部分复核的方式和程序：</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1E11B53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14.6 质量保证金</w:t>
      </w:r>
    </w:p>
    <w:p w14:paraId="3C92121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14.6.1 承包人提供质量保证金的方式</w:t>
      </w:r>
    </w:p>
    <w:p w14:paraId="40992C8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质量保证金采用以下第</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2 </w:t>
      </w:r>
      <w:r>
        <w:rPr>
          <w:rStyle w:val="86"/>
          <w:rFonts w:hint="eastAsia" w:ascii="宋体" w:hAnsi="宋体"/>
          <w:highlight w:val="none"/>
          <w:u w:val="single"/>
        </w:rPr>
        <w:t xml:space="preserve">  </w:t>
      </w:r>
      <w:r>
        <w:rPr>
          <w:rStyle w:val="86"/>
          <w:rFonts w:hint="eastAsia" w:ascii="宋体" w:hAnsi="宋体"/>
          <w:highlight w:val="none"/>
        </w:rPr>
        <w:t>种方式：</w:t>
      </w:r>
    </w:p>
    <w:p w14:paraId="127068D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 工程质量保证担保，保证金额为：</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  </w:t>
      </w:r>
      <w:r>
        <w:rPr>
          <w:rStyle w:val="86"/>
          <w:rFonts w:hint="eastAsia" w:ascii="宋体" w:hAnsi="宋体"/>
          <w:highlight w:val="none"/>
          <w:u w:val="single"/>
        </w:rPr>
        <w:t xml:space="preserve">       </w:t>
      </w:r>
      <w:r>
        <w:rPr>
          <w:rStyle w:val="86"/>
          <w:rFonts w:hint="eastAsia" w:ascii="宋体" w:hAnsi="宋体"/>
          <w:highlight w:val="none"/>
        </w:rPr>
        <w:t>；</w:t>
      </w:r>
    </w:p>
    <w:p w14:paraId="46DA746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(2) </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预留质量保证金为经审计后的建筑安装工程费用结算总价款的 3  </w:t>
      </w:r>
      <w:r>
        <w:rPr>
          <w:rStyle w:val="86"/>
          <w:rFonts w:hint="eastAsia" w:ascii="宋体" w:hAnsi="宋体"/>
          <w:highlight w:val="none"/>
        </w:rPr>
        <w:t>%的工程款；</w:t>
      </w:r>
    </w:p>
    <w:p w14:paraId="71D2611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(3) 其他方式：</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5ADBA40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14.6.2 质量保证金的预留</w:t>
      </w:r>
    </w:p>
    <w:p w14:paraId="38BA754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质量保证金的预留采取以下第</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2 </w:t>
      </w:r>
      <w:r>
        <w:rPr>
          <w:rStyle w:val="86"/>
          <w:rFonts w:hint="eastAsia" w:ascii="宋体" w:hAnsi="宋体"/>
          <w:highlight w:val="none"/>
          <w:u w:val="single"/>
        </w:rPr>
        <w:t xml:space="preserve">  </w:t>
      </w:r>
      <w:r>
        <w:rPr>
          <w:rStyle w:val="86"/>
          <w:rFonts w:hint="eastAsia" w:ascii="宋体" w:hAnsi="宋体"/>
          <w:highlight w:val="none"/>
        </w:rPr>
        <w:t>种方式：</w:t>
      </w:r>
    </w:p>
    <w:p w14:paraId="3DEBD4F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 在支付工程进度款时逐次预留的质量保证金的比例：</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，在此情形下，质量保证金的计算基数不包括预付款的支付、扣回以及价格调整的金额；</w:t>
      </w:r>
    </w:p>
    <w:p w14:paraId="7E6E3FC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 工程竣工结算时一次性预留专用合同条件第14.6.1项第(2)目约定的工程款预留比例的质量保证金；</w:t>
      </w:r>
    </w:p>
    <w:p w14:paraId="2A249EF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(3) 其他预留方式: </w:t>
      </w:r>
      <w:r>
        <w:rPr>
          <w:rStyle w:val="86"/>
          <w:rFonts w:hint="eastAsia" w:ascii="宋体" w:hAnsi="宋体"/>
          <w:highlight w:val="none"/>
          <w:u w:val="single"/>
        </w:rPr>
        <w:t xml:space="preserve">           /               </w:t>
      </w:r>
      <w:r>
        <w:rPr>
          <w:rStyle w:val="86"/>
          <w:rFonts w:hint="eastAsia" w:ascii="宋体" w:hAnsi="宋体"/>
          <w:highlight w:val="none"/>
        </w:rPr>
        <w:t>。</w:t>
      </w:r>
    </w:p>
    <w:p w14:paraId="3997B03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关于质量保证金的补充约定：</w:t>
      </w:r>
      <w:r>
        <w:rPr>
          <w:rStyle w:val="86"/>
          <w:rFonts w:hint="eastAsia" w:ascii="宋体" w:hAnsi="宋体"/>
          <w:highlight w:val="none"/>
          <w:u w:val="single"/>
        </w:rPr>
        <w:t xml:space="preserve">        /                </w:t>
      </w:r>
      <w:r>
        <w:rPr>
          <w:rStyle w:val="86"/>
          <w:rFonts w:hint="eastAsia" w:ascii="宋体" w:hAnsi="宋体"/>
          <w:highlight w:val="none"/>
        </w:rPr>
        <w:t>。</w:t>
      </w:r>
    </w:p>
    <w:p w14:paraId="752CE94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14.7 最终结清</w:t>
      </w:r>
    </w:p>
    <w:p w14:paraId="260328B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14.7.1 最终结清申请单</w:t>
      </w:r>
    </w:p>
    <w:p w14:paraId="371D4A0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当事人双方关于最终结清申请的其他约定：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无 </w:t>
      </w:r>
      <w:r>
        <w:rPr>
          <w:rStyle w:val="86"/>
          <w:rFonts w:hint="eastAsia" w:ascii="宋体" w:hAnsi="宋体"/>
          <w:highlight w:val="none"/>
          <w:u w:val="single"/>
        </w:rPr>
        <w:t xml:space="preserve">     </w:t>
      </w:r>
      <w:r>
        <w:rPr>
          <w:rStyle w:val="86"/>
          <w:rFonts w:hint="eastAsia" w:ascii="宋体" w:hAnsi="宋体"/>
          <w:highlight w:val="none"/>
        </w:rPr>
        <w:t>。</w:t>
      </w:r>
    </w:p>
    <w:p w14:paraId="67B97C6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14.7.2 最终结清证书和支付</w:t>
      </w:r>
    </w:p>
    <w:p w14:paraId="63A1FB8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当事人双方关于最终结清支付的其他约定：</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无 </w:t>
      </w:r>
      <w:r>
        <w:rPr>
          <w:rStyle w:val="86"/>
          <w:rFonts w:hint="eastAsia" w:ascii="宋体" w:hAnsi="宋体"/>
          <w:highlight w:val="none"/>
          <w:u w:val="single"/>
        </w:rPr>
        <w:t xml:space="preserve">      </w:t>
      </w:r>
      <w:r>
        <w:rPr>
          <w:rStyle w:val="86"/>
          <w:rFonts w:hint="eastAsia" w:ascii="宋体" w:hAnsi="宋体"/>
          <w:highlight w:val="none"/>
        </w:rPr>
        <w:t>。</w:t>
      </w:r>
    </w:p>
    <w:p w14:paraId="2F5AA6B6">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第15条 违约</w:t>
      </w:r>
    </w:p>
    <w:p w14:paraId="66898BE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15.1 发包人违约</w:t>
      </w:r>
    </w:p>
    <w:p w14:paraId="1EEA422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15.1.1 发包人违约的情形</w:t>
      </w:r>
    </w:p>
    <w:p w14:paraId="2C05310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发包人违约的其他情形</w:t>
      </w:r>
      <w:r>
        <w:rPr>
          <w:rStyle w:val="86"/>
          <w:rFonts w:hint="eastAsia" w:ascii="宋体" w:hAnsi="宋体"/>
          <w:highlight w:val="none"/>
          <w:u w:val="single"/>
        </w:rPr>
        <w:t xml:space="preserve"> </w:t>
      </w:r>
      <w:r>
        <w:rPr>
          <w:rStyle w:val="86"/>
          <w:rFonts w:hint="eastAsia" w:ascii="宋体" w:hAnsi="宋体"/>
          <w:b/>
          <w:bCs/>
          <w:highlight w:val="none"/>
          <w:u w:val="single"/>
        </w:rPr>
        <w:t>/</w:t>
      </w:r>
      <w:r>
        <w:rPr>
          <w:rStyle w:val="86"/>
          <w:rFonts w:hint="eastAsia" w:ascii="宋体" w:hAnsi="宋体"/>
          <w:highlight w:val="none"/>
          <w:u w:val="single"/>
        </w:rPr>
        <w:t xml:space="preserve">    </w:t>
      </w:r>
      <w:r>
        <w:rPr>
          <w:rStyle w:val="86"/>
          <w:rFonts w:hint="eastAsia" w:ascii="宋体" w:hAnsi="宋体"/>
          <w:highlight w:val="none"/>
        </w:rPr>
        <w:t>。</w:t>
      </w:r>
    </w:p>
    <w:p w14:paraId="21C1F99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15.1.3 发包人违约的责任</w:t>
      </w:r>
    </w:p>
    <w:p w14:paraId="7BC2760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发包人违约责任的承担方式和计算方法：</w:t>
      </w:r>
      <w:r>
        <w:rPr>
          <w:rStyle w:val="86"/>
          <w:rFonts w:hint="eastAsia" w:ascii="宋体" w:hAnsi="宋体"/>
          <w:highlight w:val="none"/>
          <w:u w:val="single"/>
        </w:rPr>
        <w:t xml:space="preserve">   </w:t>
      </w:r>
      <w:r>
        <w:rPr>
          <w:rStyle w:val="86"/>
          <w:rFonts w:hint="eastAsia" w:ascii="宋体" w:hAnsi="宋体"/>
          <w:highlight w:val="none"/>
        </w:rPr>
        <w:t>。</w:t>
      </w:r>
    </w:p>
    <w:p w14:paraId="3C719A6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15.2 承包人违约</w:t>
      </w:r>
    </w:p>
    <w:p w14:paraId="295AADB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15.2.1 承包人违约的情形</w:t>
      </w:r>
    </w:p>
    <w:p w14:paraId="415B559C">
      <w:pPr>
        <w:pStyle w:val="84"/>
        <w:spacing w:line="360" w:lineRule="auto"/>
        <w:ind w:firstLine="420" w:firstLineChars="200"/>
        <w:rPr>
          <w:rStyle w:val="86"/>
          <w:rFonts w:hint="eastAsia" w:ascii="宋体" w:hAnsi="宋体"/>
          <w:b/>
          <w:bCs/>
          <w:highlight w:val="none"/>
          <w:u w:val="single"/>
        </w:rPr>
      </w:pPr>
      <w:r>
        <w:rPr>
          <w:rStyle w:val="86"/>
          <w:rFonts w:hint="eastAsia" w:ascii="宋体" w:hAnsi="宋体"/>
          <w:highlight w:val="none"/>
        </w:rPr>
        <w:t>承包人违约的其他情形：</w:t>
      </w:r>
      <w:r>
        <w:rPr>
          <w:rStyle w:val="86"/>
          <w:rFonts w:hint="eastAsia" w:ascii="宋体" w:hAnsi="宋体"/>
          <w:highlight w:val="none"/>
          <w:u w:val="single"/>
        </w:rPr>
        <w:t xml:space="preserve">  </w:t>
      </w:r>
      <w:r>
        <w:rPr>
          <w:rStyle w:val="86"/>
          <w:rFonts w:hint="eastAsia" w:ascii="宋体" w:hAnsi="宋体"/>
          <w:b/>
          <w:bCs/>
          <w:highlight w:val="none"/>
          <w:u w:val="single"/>
        </w:rPr>
        <w:t xml:space="preserve">按通用条款执行 </w:t>
      </w:r>
    </w:p>
    <w:p w14:paraId="2969413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15.2.2 通知改正</w:t>
      </w:r>
    </w:p>
    <w:p w14:paraId="553CBD9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工程师通知承包人改正的合理期限是：</w:t>
      </w:r>
      <w:r>
        <w:rPr>
          <w:rStyle w:val="86"/>
          <w:rFonts w:hint="eastAsia" w:ascii="宋体" w:hAnsi="宋体"/>
          <w:highlight w:val="none"/>
          <w:u w:val="single"/>
        </w:rPr>
        <w:t xml:space="preserve"> </w:t>
      </w:r>
      <w:r>
        <w:rPr>
          <w:rStyle w:val="86"/>
          <w:rFonts w:hint="eastAsia" w:ascii="宋体" w:hAnsi="宋体"/>
          <w:b/>
          <w:bCs/>
          <w:highlight w:val="none"/>
          <w:u w:val="single"/>
        </w:rPr>
        <w:t>工程师可在发包人同意的合理期限内向承包人发出整改通知， 要求其在指定的期限内改正， 但工程师的整改通知无法减轻或免除承包人相关责任</w:t>
      </w:r>
      <w:r>
        <w:rPr>
          <w:rStyle w:val="86"/>
          <w:rFonts w:hint="eastAsia" w:ascii="宋体" w:hAnsi="宋体"/>
          <w:highlight w:val="none"/>
          <w:u w:val="single"/>
        </w:rPr>
        <w:t>。</w:t>
      </w:r>
    </w:p>
    <w:p w14:paraId="17434F8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15.2.3 承包人违约的责任</w:t>
      </w:r>
    </w:p>
    <w:p w14:paraId="15E02F3F">
      <w:pPr>
        <w:pStyle w:val="84"/>
        <w:spacing w:line="360" w:lineRule="auto"/>
        <w:ind w:firstLine="420" w:firstLineChars="200"/>
        <w:rPr>
          <w:rStyle w:val="86"/>
          <w:rFonts w:hint="eastAsia" w:ascii="宋体" w:hAnsi="宋体"/>
          <w:b/>
          <w:bCs/>
          <w:highlight w:val="none"/>
          <w:u w:val="single"/>
        </w:rPr>
      </w:pPr>
      <w:r>
        <w:rPr>
          <w:rStyle w:val="86"/>
          <w:rFonts w:hint="eastAsia" w:ascii="宋体" w:hAnsi="宋体"/>
          <w:highlight w:val="none"/>
        </w:rPr>
        <w:t>承包人违约责任的承担方式和计算方法：</w:t>
      </w:r>
      <w:r>
        <w:rPr>
          <w:rStyle w:val="86"/>
          <w:rFonts w:hint="eastAsia" w:ascii="宋体" w:hAnsi="宋体"/>
          <w:b/>
          <w:bCs/>
          <w:highlight w:val="none"/>
          <w:u w:val="single"/>
        </w:rPr>
        <w:t>按本条第 15.2.1 款承包人违约的情形及合同专用条件的其他违约责任对应条款执行。</w:t>
      </w:r>
    </w:p>
    <w:p w14:paraId="6F74EA55">
      <w:pPr>
        <w:pStyle w:val="22"/>
        <w:spacing w:before="2" w:line="338" w:lineRule="auto"/>
        <w:ind w:left="7" w:right="25" w:firstLine="505"/>
        <w:rPr>
          <w:rStyle w:val="86"/>
          <w:rFonts w:hint="eastAsia" w:ascii="宋体" w:hAnsi="宋体"/>
          <w:b/>
          <w:bCs/>
          <w:highlight w:val="none"/>
          <w:u w:val="single"/>
        </w:rPr>
      </w:pPr>
      <w:r>
        <w:rPr>
          <w:rStyle w:val="86"/>
          <w:rFonts w:hint="eastAsia" w:ascii="宋体" w:hAnsi="宋体"/>
          <w:b/>
          <w:bCs/>
          <w:spacing w:val="8"/>
          <w:highlight w:val="none"/>
          <w:u w:val="single"/>
        </w:rPr>
        <w:t>以上所</w:t>
      </w:r>
      <w:r>
        <w:rPr>
          <w:rStyle w:val="86"/>
          <w:rFonts w:hint="eastAsia" w:ascii="宋体" w:hAnsi="宋体"/>
          <w:b/>
          <w:bCs/>
          <w:spacing w:val="4"/>
          <w:highlight w:val="none"/>
          <w:u w:val="single"/>
        </w:rPr>
        <w:t>述违约金和损失的赔偿在书面告知承包人后，无需承包人同意，可从发包人应付承包人的任何</w:t>
      </w:r>
      <w:r>
        <w:rPr>
          <w:rStyle w:val="86"/>
          <w:rFonts w:hint="eastAsia" w:ascii="宋体" w:hAnsi="宋体"/>
          <w:b/>
          <w:bCs/>
          <w:spacing w:val="-4"/>
          <w:highlight w:val="none"/>
          <w:u w:val="single"/>
        </w:rPr>
        <w:t>款</w:t>
      </w:r>
      <w:r>
        <w:rPr>
          <w:rStyle w:val="86"/>
          <w:rFonts w:hint="eastAsia" w:ascii="宋体" w:hAnsi="宋体"/>
          <w:b/>
          <w:bCs/>
          <w:spacing w:val="-2"/>
          <w:highlight w:val="none"/>
          <w:u w:val="single"/>
        </w:rPr>
        <w:t>项中扣除</w:t>
      </w:r>
      <w:r>
        <w:rPr>
          <w:rStyle w:val="86"/>
          <w:rFonts w:hint="eastAsia" w:ascii="宋体" w:hAnsi="宋体"/>
          <w:b/>
          <w:bCs/>
          <w:spacing w:val="-2"/>
          <w:highlight w:val="none"/>
        </w:rPr>
        <w:t>。</w:t>
      </w:r>
    </w:p>
    <w:p w14:paraId="07827316">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第16条 合同解除</w:t>
      </w:r>
    </w:p>
    <w:p w14:paraId="0381BCA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16.1 由发包人解除合同</w:t>
      </w:r>
    </w:p>
    <w:p w14:paraId="164883C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16.1.1 因承包人违约解除合同</w:t>
      </w:r>
    </w:p>
    <w:p w14:paraId="06A5048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双方约定可由发包人解除合同的其他事由：</w:t>
      </w:r>
      <w:r>
        <w:rPr>
          <w:rStyle w:val="86"/>
          <w:rFonts w:hint="eastAsia" w:ascii="宋体" w:hAnsi="宋体"/>
          <w:b/>
          <w:bCs/>
          <w:highlight w:val="none"/>
          <w:u w:val="single"/>
        </w:rPr>
        <w:t xml:space="preserve"> 执行合同专用和通用条款  </w:t>
      </w:r>
      <w:r>
        <w:rPr>
          <w:rStyle w:val="86"/>
          <w:rFonts w:hint="eastAsia" w:ascii="宋体" w:hAnsi="宋体"/>
          <w:b/>
          <w:bCs/>
          <w:highlight w:val="none"/>
        </w:rPr>
        <w:t>。</w:t>
      </w:r>
    </w:p>
    <w:p w14:paraId="62E9404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16.2 由承包人解除合同</w:t>
      </w:r>
    </w:p>
    <w:p w14:paraId="4C6A606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16.2.1 因发包人违约解除合同</w:t>
      </w:r>
    </w:p>
    <w:p w14:paraId="7B0BDA7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双方约定可由承包人解除合同的其他事由：</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644E78BD">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第17条 不可抗力</w:t>
      </w:r>
    </w:p>
    <w:p w14:paraId="06A9B5F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17.1 不可抗力的定义</w:t>
      </w:r>
    </w:p>
    <w:p w14:paraId="6D9C1B0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除通用合同条件约定的不可抗力事件之外，视为不可抗力的其他情形：</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u w:val="single"/>
        </w:rPr>
        <w:t xml:space="preserve">  </w:t>
      </w:r>
      <w:r>
        <w:rPr>
          <w:rStyle w:val="86"/>
          <w:rFonts w:hint="eastAsia" w:ascii="宋体" w:hAnsi="宋体"/>
          <w:highlight w:val="none"/>
        </w:rPr>
        <w:t>。</w:t>
      </w:r>
    </w:p>
    <w:p w14:paraId="2DFE564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17.6 因不可抗力解除合同</w:t>
      </w:r>
    </w:p>
    <w:p w14:paraId="58BA25E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合同解除后，发包人应当在商定或确定发包人应支付款项后的</w:t>
      </w:r>
      <w:r>
        <w:rPr>
          <w:rStyle w:val="86"/>
          <w:rFonts w:hint="eastAsia" w:ascii="宋体" w:hAnsi="宋体"/>
          <w:highlight w:val="none"/>
          <w:u w:val="single"/>
        </w:rPr>
        <w:t xml:space="preserve"> </w:t>
      </w:r>
      <w:r>
        <w:rPr>
          <w:rStyle w:val="86"/>
          <w:rFonts w:hint="eastAsia" w:ascii="宋体" w:hAnsi="宋体"/>
          <w:b/>
          <w:bCs/>
          <w:highlight w:val="none"/>
          <w:u w:val="single"/>
        </w:rPr>
        <w:t xml:space="preserve">  </w:t>
      </w:r>
      <w:r>
        <w:rPr>
          <w:rStyle w:val="86"/>
          <w:rFonts w:hint="eastAsia" w:ascii="宋体" w:hAnsi="宋体"/>
          <w:highlight w:val="none"/>
        </w:rPr>
        <w:t>天内完成款项的支付。</w:t>
      </w:r>
    </w:p>
    <w:p w14:paraId="3957FC72">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第18条 保险</w:t>
      </w:r>
    </w:p>
    <w:p w14:paraId="050DBFD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18.1 设计和工程保险</w:t>
      </w:r>
    </w:p>
    <w:p w14:paraId="24EF0EC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18.1.1 双方当事人关于设计和工程保险的特别约定：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559ECD9F">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18.1.2 双方当事人关于第三方责任险的特别约定：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561CDF8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18.2 工伤和意外伤害保险</w:t>
      </w:r>
    </w:p>
    <w:p w14:paraId="17C2A764">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18.2.3 关于工伤保险和意外伤害保险的特别约定：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3340F3E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18.3 货物保险</w:t>
      </w:r>
    </w:p>
    <w:p w14:paraId="4BB1AEB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关于承包人应为其施工设备、材料、工程设备和临时工程等办理财产保险的特别约定：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3E5FA4CA">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18.4 其他保险</w:t>
      </w:r>
    </w:p>
    <w:p w14:paraId="48BAEBC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关于其他保险的约定：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501F234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18.5 对各项保险的一般要求</w:t>
      </w:r>
    </w:p>
    <w:p w14:paraId="2602899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18.5.2 保险凭证</w:t>
      </w:r>
    </w:p>
    <w:p w14:paraId="1F224F9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保险单的条件：</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347D983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18.5.4 通知义务</w:t>
      </w:r>
    </w:p>
    <w:p w14:paraId="7A3BDA32">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关于变更保险合同时的通知义务的约定：</w:t>
      </w:r>
      <w:r>
        <w:rPr>
          <w:rStyle w:val="86"/>
          <w:rFonts w:hint="eastAsia" w:ascii="宋体" w:hAnsi="宋体"/>
          <w:highlight w:val="none"/>
          <w:u w:val="single"/>
        </w:rPr>
        <w:t xml:space="preserve">  </w:t>
      </w:r>
      <w:r>
        <w:rPr>
          <w:rStyle w:val="86"/>
          <w:rFonts w:hint="eastAsia" w:ascii="宋体" w:hAnsi="宋体"/>
          <w:b/>
          <w:bCs/>
          <w:highlight w:val="none"/>
          <w:u w:val="single"/>
        </w:rPr>
        <w:t>执行合同通用条款</w:t>
      </w:r>
      <w:r>
        <w:rPr>
          <w:rStyle w:val="86"/>
          <w:rFonts w:hint="eastAsia" w:ascii="宋体" w:hAnsi="宋体"/>
          <w:highlight w:val="none"/>
          <w:u w:val="single"/>
        </w:rPr>
        <w:t xml:space="preserve"> </w:t>
      </w:r>
      <w:r>
        <w:rPr>
          <w:rStyle w:val="86"/>
          <w:rFonts w:hint="eastAsia" w:ascii="宋体" w:hAnsi="宋体"/>
          <w:highlight w:val="none"/>
        </w:rPr>
        <w:t>。</w:t>
      </w:r>
    </w:p>
    <w:p w14:paraId="7C50A3AD">
      <w:pPr>
        <w:pStyle w:val="84"/>
        <w:spacing w:before="260" w:after="260" w:line="360" w:lineRule="auto"/>
        <w:ind w:firstLine="420" w:firstLineChars="200"/>
        <w:outlineLvl w:val="1"/>
        <w:rPr>
          <w:rStyle w:val="86"/>
          <w:rFonts w:hint="eastAsia" w:ascii="宋体" w:hAnsi="宋体"/>
          <w:bCs/>
          <w:highlight w:val="none"/>
        </w:rPr>
      </w:pPr>
      <w:r>
        <w:rPr>
          <w:rStyle w:val="86"/>
          <w:rFonts w:hint="eastAsia" w:ascii="宋体" w:hAnsi="宋体"/>
          <w:bCs/>
          <w:highlight w:val="none"/>
        </w:rPr>
        <w:t>第20条 争议解决</w:t>
      </w:r>
    </w:p>
    <w:p w14:paraId="4959982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20.3 争议评审</w:t>
      </w:r>
    </w:p>
    <w:p w14:paraId="360FF249">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 xml:space="preserve">合同当事人是否同意将工程争议提交争议评审小组决定： </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058B6B1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20.3.1 争议评审小组的确定</w:t>
      </w:r>
    </w:p>
    <w:p w14:paraId="09AAB8A6">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争议评审小组成员的人数：</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6D94C76D">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争议评审小组成员的确定：</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5AA5F6AB">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选定争议避免/评审组的期限：</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17327CC7">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评审机构：</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50DF70B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其他事项的约定：</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263835A1">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争议评审员报酬的承担人：</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598CF35C">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20.3.2 争议的避免</w:t>
      </w:r>
    </w:p>
    <w:p w14:paraId="00CB7438">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发包人和承包人是否均出席争议避免的非正式讨论：</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76FB97F0">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20.3.3 争议评审小组的决定</w:t>
      </w:r>
    </w:p>
    <w:p w14:paraId="62E04FBE">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关于争议评审小组的决定的特别约定：</w:t>
      </w:r>
      <w:r>
        <w:rPr>
          <w:rStyle w:val="86"/>
          <w:rFonts w:hint="eastAsia" w:ascii="宋体" w:hAnsi="宋体"/>
          <w:highlight w:val="none"/>
          <w:u w:val="single"/>
        </w:rPr>
        <w:t xml:space="preserve">    </w:t>
      </w:r>
      <w:r>
        <w:rPr>
          <w:rStyle w:val="86"/>
          <w:rFonts w:hint="eastAsia" w:ascii="宋体" w:hAnsi="宋体"/>
          <w:b/>
          <w:bCs/>
          <w:highlight w:val="none"/>
          <w:u w:val="single"/>
        </w:rPr>
        <w:t>无</w:t>
      </w:r>
      <w:r>
        <w:rPr>
          <w:rStyle w:val="86"/>
          <w:rFonts w:hint="eastAsia" w:ascii="宋体" w:hAnsi="宋体"/>
          <w:highlight w:val="none"/>
          <w:u w:val="single"/>
        </w:rPr>
        <w:t xml:space="preserve">       </w:t>
      </w:r>
      <w:r>
        <w:rPr>
          <w:rStyle w:val="86"/>
          <w:rFonts w:hint="eastAsia" w:ascii="宋体" w:hAnsi="宋体"/>
          <w:highlight w:val="none"/>
        </w:rPr>
        <w:t>。</w:t>
      </w:r>
    </w:p>
    <w:p w14:paraId="368B247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20.4 仲裁或诉讼</w:t>
      </w:r>
    </w:p>
    <w:p w14:paraId="6B5A8FA3">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因合同及合同有关事项发生的争议，按下列第</w:t>
      </w:r>
      <w:r>
        <w:rPr>
          <w:rStyle w:val="86"/>
          <w:rFonts w:hint="eastAsia" w:ascii="宋体" w:hAnsi="宋体"/>
          <w:highlight w:val="none"/>
          <w:u w:val="single"/>
        </w:rPr>
        <w:t xml:space="preserve">  </w:t>
      </w:r>
      <w:r>
        <w:rPr>
          <w:rStyle w:val="86"/>
          <w:rFonts w:hint="eastAsia" w:ascii="宋体" w:hAnsi="宋体"/>
          <w:b/>
          <w:bCs/>
          <w:highlight w:val="none"/>
          <w:u w:val="single"/>
        </w:rPr>
        <w:t>2</w:t>
      </w:r>
      <w:r>
        <w:rPr>
          <w:rStyle w:val="86"/>
          <w:rFonts w:hint="eastAsia" w:ascii="宋体" w:hAnsi="宋体"/>
          <w:highlight w:val="none"/>
          <w:u w:val="single"/>
        </w:rPr>
        <w:t xml:space="preserve">  </w:t>
      </w:r>
      <w:r>
        <w:rPr>
          <w:rStyle w:val="86"/>
          <w:rFonts w:hint="eastAsia" w:ascii="宋体" w:hAnsi="宋体"/>
          <w:highlight w:val="none"/>
        </w:rPr>
        <w:t>种方式解决：</w:t>
      </w:r>
    </w:p>
    <w:p w14:paraId="1191FE4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（1）向</w:t>
      </w:r>
      <w:r>
        <w:rPr>
          <w:rStyle w:val="86"/>
          <w:rFonts w:hint="eastAsia" w:ascii="宋体" w:hAnsi="宋体"/>
          <w:highlight w:val="none"/>
          <w:u w:val="single"/>
        </w:rPr>
        <w:t xml:space="preserve">      /     </w:t>
      </w:r>
      <w:r>
        <w:rPr>
          <w:rStyle w:val="86"/>
          <w:rFonts w:hint="eastAsia" w:ascii="宋体" w:hAnsi="宋体"/>
          <w:highlight w:val="none"/>
        </w:rPr>
        <w:t>仲裁委员会申请仲裁；</w:t>
      </w:r>
    </w:p>
    <w:p w14:paraId="672362D5">
      <w:pPr>
        <w:pStyle w:val="84"/>
        <w:spacing w:line="360" w:lineRule="auto"/>
        <w:ind w:firstLine="420" w:firstLineChars="200"/>
        <w:rPr>
          <w:rStyle w:val="86"/>
          <w:rFonts w:hint="eastAsia" w:ascii="宋体" w:hAnsi="宋体"/>
          <w:highlight w:val="none"/>
        </w:rPr>
      </w:pPr>
      <w:r>
        <w:rPr>
          <w:rStyle w:val="86"/>
          <w:rFonts w:hint="eastAsia" w:ascii="宋体" w:hAnsi="宋体"/>
          <w:highlight w:val="none"/>
        </w:rPr>
        <w:t>（2）向</w:t>
      </w:r>
      <w:r>
        <w:rPr>
          <w:rStyle w:val="86"/>
          <w:rFonts w:hint="eastAsia" w:ascii="宋体" w:hAnsi="宋体"/>
          <w:highlight w:val="none"/>
          <w:u w:val="single"/>
        </w:rPr>
        <w:t xml:space="preserve">  项目所在地      </w:t>
      </w:r>
      <w:r>
        <w:rPr>
          <w:rStyle w:val="86"/>
          <w:rFonts w:hint="eastAsia" w:ascii="宋体" w:hAnsi="宋体"/>
          <w:highlight w:val="none"/>
        </w:rPr>
        <w:t>人民法院起诉。</w:t>
      </w:r>
    </w:p>
    <w:p w14:paraId="17DAC53F">
      <w:pPr>
        <w:pStyle w:val="84"/>
        <w:widowControl/>
        <w:adjustRightInd w:val="0"/>
        <w:snapToGrid w:val="0"/>
        <w:spacing w:after="50" w:line="360" w:lineRule="auto"/>
        <w:outlineLvl w:val="0"/>
        <w:rPr>
          <w:rStyle w:val="86"/>
          <w:rFonts w:hint="eastAsia" w:ascii="宋体" w:hAnsi="宋体"/>
          <w:b/>
          <w:bCs/>
          <w:kern w:val="44"/>
          <w:sz w:val="28"/>
          <w:szCs w:val="28"/>
          <w:highlight w:val="none"/>
        </w:rPr>
      </w:pPr>
      <w:r>
        <w:rPr>
          <w:rStyle w:val="86"/>
          <w:rFonts w:hint="eastAsia" w:ascii="宋体" w:hAnsi="宋体"/>
          <w:b/>
          <w:bCs/>
          <w:kern w:val="44"/>
          <w:sz w:val="28"/>
          <w:szCs w:val="28"/>
          <w:highlight w:val="none"/>
        </w:rPr>
        <w:t xml:space="preserve"> </w:t>
      </w:r>
    </w:p>
    <w:p w14:paraId="147C4B71">
      <w:pPr>
        <w:pStyle w:val="84"/>
        <w:widowControl/>
        <w:adjustRightInd w:val="0"/>
        <w:snapToGrid w:val="0"/>
        <w:spacing w:after="50" w:line="360" w:lineRule="auto"/>
        <w:outlineLvl w:val="0"/>
        <w:rPr>
          <w:rStyle w:val="86"/>
          <w:rFonts w:hint="eastAsia" w:ascii="宋体" w:hAnsi="宋体"/>
          <w:b/>
          <w:bCs/>
          <w:kern w:val="44"/>
          <w:sz w:val="28"/>
          <w:szCs w:val="28"/>
          <w:highlight w:val="none"/>
        </w:rPr>
      </w:pPr>
      <w:r>
        <w:rPr>
          <w:rStyle w:val="86"/>
          <w:rFonts w:hint="eastAsia" w:ascii="宋体" w:hAnsi="宋体"/>
          <w:b/>
          <w:bCs/>
          <w:kern w:val="44"/>
          <w:sz w:val="28"/>
          <w:szCs w:val="28"/>
          <w:highlight w:val="none"/>
        </w:rPr>
        <w:t xml:space="preserve"> </w:t>
      </w:r>
    </w:p>
    <w:p w14:paraId="0D01BC17">
      <w:pPr>
        <w:pStyle w:val="84"/>
        <w:widowControl/>
        <w:adjustRightInd w:val="0"/>
        <w:snapToGrid w:val="0"/>
        <w:spacing w:after="50" w:line="360" w:lineRule="auto"/>
        <w:outlineLvl w:val="0"/>
        <w:rPr>
          <w:rStyle w:val="86"/>
          <w:rFonts w:hint="eastAsia" w:ascii="宋体" w:hAnsi="宋体"/>
          <w:b/>
          <w:bCs/>
          <w:kern w:val="44"/>
          <w:sz w:val="28"/>
          <w:szCs w:val="28"/>
          <w:highlight w:val="none"/>
        </w:rPr>
      </w:pPr>
      <w:r>
        <w:rPr>
          <w:rStyle w:val="86"/>
          <w:rFonts w:hint="eastAsia" w:ascii="宋体" w:hAnsi="宋体"/>
          <w:b/>
          <w:bCs/>
          <w:kern w:val="44"/>
          <w:sz w:val="28"/>
          <w:szCs w:val="28"/>
          <w:highlight w:val="none"/>
        </w:rPr>
        <w:t xml:space="preserve">  </w:t>
      </w:r>
    </w:p>
    <w:p w14:paraId="4D37ED41">
      <w:pPr>
        <w:pStyle w:val="84"/>
        <w:widowControl/>
        <w:adjustRightInd w:val="0"/>
        <w:snapToGrid w:val="0"/>
        <w:spacing w:after="50" w:line="360" w:lineRule="auto"/>
        <w:outlineLvl w:val="0"/>
        <w:rPr>
          <w:rStyle w:val="86"/>
          <w:rFonts w:hint="eastAsia"/>
          <w:highlight w:val="none"/>
        </w:rPr>
      </w:pPr>
      <w:r>
        <w:rPr>
          <w:rStyle w:val="86"/>
          <w:rFonts w:hint="eastAsia" w:ascii="宋体" w:hAnsi="宋体"/>
          <w:b/>
          <w:bCs/>
          <w:kern w:val="44"/>
          <w:sz w:val="28"/>
          <w:szCs w:val="28"/>
          <w:highlight w:val="none"/>
        </w:rPr>
        <w:br w:type="page"/>
      </w:r>
      <w:r>
        <w:rPr>
          <w:rStyle w:val="86"/>
          <w:rFonts w:hint="eastAsia" w:ascii="宋体" w:hAnsi="宋体"/>
          <w:b/>
          <w:bCs/>
          <w:kern w:val="44"/>
          <w:sz w:val="28"/>
          <w:szCs w:val="28"/>
          <w:highlight w:val="none"/>
          <w:lang w:val="en-US" w:eastAsia="zh-CN"/>
        </w:rPr>
        <w:t xml:space="preserve">  </w:t>
      </w:r>
      <w:r>
        <w:rPr>
          <w:rStyle w:val="86"/>
          <w:rFonts w:hint="eastAsia" w:ascii="宋体" w:hAnsi="宋体"/>
          <w:b/>
          <w:bCs/>
          <w:kern w:val="44"/>
          <w:sz w:val="28"/>
          <w:szCs w:val="28"/>
          <w:highlight w:val="none"/>
        </w:rPr>
        <w:t>专用合同条件附件</w:t>
      </w:r>
    </w:p>
    <w:p w14:paraId="3DB0B5AA">
      <w:pPr>
        <w:pStyle w:val="84"/>
        <w:spacing w:line="360" w:lineRule="auto"/>
        <w:ind w:firstLine="600"/>
        <w:rPr>
          <w:rStyle w:val="86"/>
          <w:rFonts w:ascii="宋体" w:hAnsi="宋体"/>
          <w:highlight w:val="none"/>
        </w:rPr>
      </w:pPr>
      <w:r>
        <w:rPr>
          <w:rStyle w:val="86"/>
          <w:rFonts w:hint="eastAsia" w:ascii="宋体" w:hAnsi="宋体"/>
          <w:highlight w:val="none"/>
        </w:rPr>
        <w:t>附件1：发包人要求</w:t>
      </w:r>
    </w:p>
    <w:p w14:paraId="323A60CA">
      <w:pPr>
        <w:pStyle w:val="84"/>
        <w:spacing w:line="360" w:lineRule="auto"/>
        <w:ind w:firstLine="600"/>
        <w:rPr>
          <w:rStyle w:val="86"/>
          <w:rFonts w:hint="eastAsia" w:ascii="宋体" w:hAnsi="宋体"/>
          <w:highlight w:val="none"/>
        </w:rPr>
      </w:pPr>
      <w:r>
        <w:rPr>
          <w:rStyle w:val="86"/>
          <w:rFonts w:hint="eastAsia" w:ascii="宋体" w:hAnsi="宋体"/>
          <w:highlight w:val="none"/>
        </w:rPr>
        <w:t>附件2：发包人供应材料设备一览表</w:t>
      </w:r>
    </w:p>
    <w:p w14:paraId="643ED3EB">
      <w:pPr>
        <w:pStyle w:val="84"/>
        <w:spacing w:line="360" w:lineRule="auto"/>
        <w:ind w:firstLine="600"/>
        <w:rPr>
          <w:rStyle w:val="86"/>
          <w:rFonts w:hint="eastAsia" w:ascii="宋体" w:hAnsi="宋体"/>
          <w:highlight w:val="none"/>
        </w:rPr>
      </w:pPr>
      <w:r>
        <w:rPr>
          <w:rStyle w:val="86"/>
          <w:rFonts w:hint="eastAsia" w:ascii="宋体" w:hAnsi="宋体"/>
          <w:highlight w:val="none"/>
        </w:rPr>
        <w:t>附件3：工程质量保修书</w:t>
      </w:r>
    </w:p>
    <w:p w14:paraId="4F207C44">
      <w:pPr>
        <w:pStyle w:val="84"/>
        <w:spacing w:line="360" w:lineRule="auto"/>
        <w:ind w:firstLine="600"/>
        <w:rPr>
          <w:rStyle w:val="86"/>
          <w:rFonts w:hint="eastAsia" w:ascii="宋体" w:hAnsi="宋体"/>
          <w:highlight w:val="none"/>
        </w:rPr>
      </w:pPr>
      <w:r>
        <w:rPr>
          <w:rStyle w:val="86"/>
          <w:rFonts w:hint="eastAsia" w:ascii="宋体" w:hAnsi="宋体"/>
          <w:highlight w:val="none"/>
        </w:rPr>
        <w:t>附件4：主要建设工程文件目录</w:t>
      </w:r>
    </w:p>
    <w:p w14:paraId="00D43BC1">
      <w:pPr>
        <w:pStyle w:val="84"/>
        <w:spacing w:line="360" w:lineRule="auto"/>
        <w:ind w:firstLine="600"/>
        <w:rPr>
          <w:rStyle w:val="86"/>
          <w:rFonts w:hint="eastAsia" w:ascii="宋体" w:hAnsi="宋体"/>
          <w:highlight w:val="none"/>
        </w:rPr>
      </w:pPr>
      <w:r>
        <w:rPr>
          <w:rStyle w:val="86"/>
          <w:rFonts w:hint="eastAsia" w:ascii="宋体" w:hAnsi="宋体"/>
          <w:highlight w:val="none"/>
        </w:rPr>
        <w:t>附件5：承包人主要管理人员表</w:t>
      </w:r>
    </w:p>
    <w:p w14:paraId="153BAE7A">
      <w:pPr>
        <w:pStyle w:val="84"/>
        <w:spacing w:line="360" w:lineRule="auto"/>
        <w:ind w:firstLine="600"/>
        <w:rPr>
          <w:rStyle w:val="86"/>
          <w:rFonts w:hint="eastAsia" w:ascii="宋体" w:hAnsi="宋体"/>
          <w:highlight w:val="none"/>
        </w:rPr>
      </w:pPr>
      <w:r>
        <w:rPr>
          <w:rStyle w:val="86"/>
          <w:rFonts w:hint="eastAsia" w:ascii="宋体" w:hAnsi="宋体"/>
          <w:highlight w:val="none"/>
        </w:rPr>
        <w:t>附件6：价格指数权重表</w:t>
      </w:r>
    </w:p>
    <w:p w14:paraId="3D8FEC89">
      <w:pPr>
        <w:pStyle w:val="84"/>
        <w:spacing w:line="360" w:lineRule="auto"/>
        <w:ind w:firstLine="600"/>
        <w:rPr>
          <w:rStyle w:val="86"/>
          <w:rFonts w:hint="eastAsia" w:ascii="宋体" w:hAnsi="宋体"/>
          <w:highlight w:val="none"/>
        </w:rPr>
      </w:pPr>
      <w:r>
        <w:rPr>
          <w:rStyle w:val="86"/>
          <w:rFonts w:hint="eastAsia" w:ascii="宋体" w:hAnsi="宋体"/>
          <w:highlight w:val="none"/>
        </w:rPr>
        <w:t>附件7：安全生产合同</w:t>
      </w:r>
    </w:p>
    <w:p w14:paraId="2A535C2F">
      <w:pPr>
        <w:pStyle w:val="84"/>
        <w:spacing w:line="360" w:lineRule="auto"/>
        <w:ind w:firstLine="600"/>
        <w:rPr>
          <w:rStyle w:val="86"/>
          <w:rFonts w:hint="eastAsia" w:ascii="宋体" w:hAnsi="宋体"/>
          <w:highlight w:val="none"/>
        </w:rPr>
      </w:pPr>
      <w:r>
        <w:rPr>
          <w:rStyle w:val="86"/>
          <w:rFonts w:hint="eastAsia" w:ascii="宋体" w:hAnsi="宋体"/>
          <w:highlight w:val="none"/>
        </w:rPr>
        <w:t>附件8：廉政协议书</w:t>
      </w:r>
    </w:p>
    <w:p w14:paraId="29A47EA5">
      <w:pPr>
        <w:pStyle w:val="84"/>
        <w:spacing w:line="360" w:lineRule="auto"/>
        <w:ind w:firstLine="600"/>
        <w:rPr>
          <w:rStyle w:val="86"/>
          <w:rFonts w:hint="eastAsia" w:ascii="宋体" w:hAnsi="宋体"/>
          <w:highlight w:val="none"/>
        </w:rPr>
      </w:pPr>
      <w:r>
        <w:rPr>
          <w:rStyle w:val="86"/>
          <w:rFonts w:hint="eastAsia" w:ascii="宋体" w:hAnsi="宋体"/>
          <w:highlight w:val="none"/>
        </w:rPr>
        <w:t>附件 9：安全文明施工措施费支付协议</w:t>
      </w:r>
    </w:p>
    <w:p w14:paraId="41E0BE65">
      <w:pPr>
        <w:pStyle w:val="84"/>
        <w:spacing w:line="360" w:lineRule="auto"/>
        <w:ind w:firstLine="600"/>
        <w:rPr>
          <w:rStyle w:val="86"/>
          <w:rFonts w:hint="eastAsia" w:ascii="宋体" w:hAnsi="宋体"/>
          <w:highlight w:val="none"/>
        </w:rPr>
      </w:pPr>
      <w:r>
        <w:rPr>
          <w:rStyle w:val="86"/>
          <w:rFonts w:hint="eastAsia" w:ascii="宋体" w:hAnsi="宋体"/>
          <w:highlight w:val="none"/>
        </w:rPr>
        <w:t>附件 10：民工工资支付协议</w:t>
      </w:r>
    </w:p>
    <w:p w14:paraId="1E8347D1">
      <w:pPr>
        <w:pStyle w:val="84"/>
        <w:spacing w:line="360" w:lineRule="auto"/>
        <w:ind w:firstLine="600"/>
        <w:rPr>
          <w:rStyle w:val="86"/>
          <w:rFonts w:hint="eastAsia" w:ascii="宋体" w:hAnsi="宋体"/>
          <w:highlight w:val="none"/>
        </w:rPr>
      </w:pPr>
      <w:r>
        <w:rPr>
          <w:rStyle w:val="86"/>
          <w:rFonts w:hint="eastAsia" w:ascii="宋体" w:hAnsi="宋体"/>
          <w:highlight w:val="none"/>
        </w:rPr>
        <w:t>附件 11：保证支付民工工资承诺书</w:t>
      </w:r>
    </w:p>
    <w:p w14:paraId="559059C4">
      <w:pPr>
        <w:pStyle w:val="84"/>
        <w:spacing w:line="360" w:lineRule="auto"/>
        <w:rPr>
          <w:rStyle w:val="86"/>
          <w:rFonts w:hint="eastAsia"/>
          <w:highlight w:val="none"/>
        </w:rPr>
      </w:pPr>
      <w:r>
        <w:rPr>
          <w:rStyle w:val="86"/>
          <w:highlight w:val="none"/>
        </w:rPr>
        <w:t xml:space="preserve"> </w:t>
      </w:r>
    </w:p>
    <w:p w14:paraId="1B6A6D18">
      <w:pPr>
        <w:pStyle w:val="84"/>
        <w:spacing w:line="360" w:lineRule="auto"/>
        <w:rPr>
          <w:rStyle w:val="86"/>
          <w:highlight w:val="none"/>
        </w:rPr>
      </w:pPr>
      <w:r>
        <w:rPr>
          <w:rStyle w:val="86"/>
          <w:highlight w:val="none"/>
        </w:rPr>
        <w:t xml:space="preserve"> </w:t>
      </w:r>
    </w:p>
    <w:p w14:paraId="42A75523">
      <w:pPr>
        <w:pStyle w:val="84"/>
        <w:spacing w:line="360" w:lineRule="auto"/>
        <w:rPr>
          <w:rStyle w:val="86"/>
          <w:highlight w:val="none"/>
        </w:rPr>
      </w:pPr>
      <w:r>
        <w:rPr>
          <w:rStyle w:val="86"/>
          <w:highlight w:val="none"/>
        </w:rPr>
        <w:t xml:space="preserve"> </w:t>
      </w:r>
    </w:p>
    <w:p w14:paraId="61293513">
      <w:pPr>
        <w:pStyle w:val="84"/>
        <w:spacing w:line="360" w:lineRule="auto"/>
        <w:jc w:val="center"/>
        <w:rPr>
          <w:rStyle w:val="86"/>
          <w:rFonts w:ascii="黑体" w:hAnsi="黑体" w:eastAsia="黑体"/>
          <w:b/>
          <w:bCs/>
          <w:sz w:val="28"/>
          <w:szCs w:val="28"/>
          <w:highlight w:val="none"/>
        </w:rPr>
      </w:pPr>
      <w:r>
        <w:rPr>
          <w:rStyle w:val="86"/>
          <w:rFonts w:hint="eastAsia" w:ascii="黑体" w:hAnsi="黑体" w:eastAsia="黑体"/>
          <w:b/>
          <w:bCs/>
          <w:sz w:val="28"/>
          <w:szCs w:val="28"/>
          <w:highlight w:val="none"/>
        </w:rPr>
        <w:br w:type="page"/>
      </w:r>
      <w:r>
        <w:rPr>
          <w:rStyle w:val="86"/>
          <w:rFonts w:hint="eastAsia" w:ascii="黑体" w:hAnsi="黑体" w:eastAsia="黑体"/>
          <w:b/>
          <w:bCs/>
          <w:sz w:val="28"/>
          <w:szCs w:val="28"/>
          <w:highlight w:val="none"/>
        </w:rPr>
        <w:t>附件1 《发包人要求》</w:t>
      </w:r>
    </w:p>
    <w:p w14:paraId="78532922">
      <w:pPr>
        <w:pStyle w:val="84"/>
        <w:spacing w:line="360" w:lineRule="auto"/>
        <w:ind w:firstLine="600"/>
        <w:rPr>
          <w:rStyle w:val="86"/>
          <w:rFonts w:hint="eastAsia" w:ascii="宋体" w:hAnsi="宋体"/>
          <w:highlight w:val="none"/>
        </w:rPr>
      </w:pPr>
      <w:r>
        <w:rPr>
          <w:rStyle w:val="86"/>
          <w:rFonts w:hint="eastAsia" w:ascii="宋体" w:hAnsi="宋体"/>
          <w:highlight w:val="none"/>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31B4E4B3">
      <w:pPr>
        <w:pStyle w:val="84"/>
        <w:spacing w:line="360" w:lineRule="auto"/>
        <w:ind w:firstLine="600"/>
        <w:rPr>
          <w:rStyle w:val="86"/>
          <w:rFonts w:hint="eastAsia" w:ascii="宋体" w:hAnsi="宋体"/>
          <w:highlight w:val="none"/>
        </w:rPr>
      </w:pPr>
      <w:r>
        <w:rPr>
          <w:rStyle w:val="86"/>
          <w:rFonts w:hint="eastAsia" w:ascii="宋体" w:hAnsi="宋体"/>
          <w:highlight w:val="none"/>
        </w:rPr>
        <w:t>《发包人要求》通常包括但不限于以下内容：</w:t>
      </w:r>
    </w:p>
    <w:p w14:paraId="01A4FF25">
      <w:pPr>
        <w:pStyle w:val="84"/>
        <w:spacing w:line="360" w:lineRule="auto"/>
        <w:ind w:firstLine="600"/>
        <w:rPr>
          <w:rStyle w:val="86"/>
          <w:rFonts w:hint="eastAsia" w:ascii="宋体" w:hAnsi="宋体"/>
          <w:highlight w:val="none"/>
        </w:rPr>
      </w:pPr>
      <w:r>
        <w:rPr>
          <w:rStyle w:val="86"/>
          <w:rFonts w:hint="eastAsia" w:ascii="宋体" w:hAnsi="宋体"/>
          <w:highlight w:val="none"/>
        </w:rPr>
        <w:t>一、功能要求</w:t>
      </w:r>
    </w:p>
    <w:p w14:paraId="79E258B6">
      <w:pPr>
        <w:pStyle w:val="84"/>
        <w:spacing w:line="360" w:lineRule="auto"/>
        <w:ind w:firstLine="600"/>
        <w:rPr>
          <w:rStyle w:val="86"/>
          <w:rFonts w:hint="eastAsia" w:ascii="宋体" w:hAnsi="宋体"/>
          <w:highlight w:val="none"/>
        </w:rPr>
      </w:pPr>
      <w:r>
        <w:rPr>
          <w:rStyle w:val="86"/>
          <w:rFonts w:hint="eastAsia" w:ascii="宋体" w:hAnsi="宋体"/>
          <w:highlight w:val="none"/>
        </w:rPr>
        <w:t>（一）工程目的。</w:t>
      </w:r>
    </w:p>
    <w:p w14:paraId="6F3D64AF">
      <w:pPr>
        <w:pStyle w:val="84"/>
        <w:spacing w:line="360" w:lineRule="auto"/>
        <w:ind w:firstLine="600"/>
        <w:rPr>
          <w:rStyle w:val="86"/>
          <w:rFonts w:hint="eastAsia" w:ascii="宋体" w:hAnsi="宋体"/>
          <w:highlight w:val="none"/>
        </w:rPr>
      </w:pPr>
      <w:r>
        <w:rPr>
          <w:rStyle w:val="86"/>
          <w:rFonts w:hint="eastAsia" w:ascii="宋体" w:hAnsi="宋体"/>
          <w:highlight w:val="none"/>
        </w:rPr>
        <w:t>（二）工程规模。</w:t>
      </w:r>
    </w:p>
    <w:p w14:paraId="43A4857E">
      <w:pPr>
        <w:pStyle w:val="84"/>
        <w:spacing w:line="360" w:lineRule="auto"/>
        <w:ind w:firstLine="600"/>
        <w:rPr>
          <w:rStyle w:val="86"/>
          <w:rFonts w:hint="eastAsia" w:ascii="宋体" w:hAnsi="宋体"/>
          <w:highlight w:val="none"/>
        </w:rPr>
      </w:pPr>
      <w:r>
        <w:rPr>
          <w:rStyle w:val="86"/>
          <w:rFonts w:hint="eastAsia" w:ascii="宋体" w:hAnsi="宋体"/>
          <w:highlight w:val="none"/>
        </w:rPr>
        <w:t>（三）性能保证指标（性能保证表）。</w:t>
      </w:r>
    </w:p>
    <w:p w14:paraId="7F985262">
      <w:pPr>
        <w:pStyle w:val="84"/>
        <w:spacing w:line="360" w:lineRule="auto"/>
        <w:ind w:firstLine="600"/>
        <w:rPr>
          <w:rStyle w:val="86"/>
          <w:rFonts w:hint="eastAsia" w:ascii="宋体" w:hAnsi="宋体"/>
          <w:highlight w:val="none"/>
        </w:rPr>
      </w:pPr>
      <w:r>
        <w:rPr>
          <w:rStyle w:val="86"/>
          <w:rFonts w:hint="eastAsia" w:ascii="宋体" w:hAnsi="宋体"/>
          <w:highlight w:val="none"/>
        </w:rPr>
        <w:t>（四）产能保证指标。</w:t>
      </w:r>
    </w:p>
    <w:p w14:paraId="74C23876">
      <w:pPr>
        <w:pStyle w:val="84"/>
        <w:spacing w:line="360" w:lineRule="auto"/>
        <w:ind w:firstLine="600"/>
        <w:rPr>
          <w:rStyle w:val="86"/>
          <w:rFonts w:hint="eastAsia" w:ascii="宋体" w:hAnsi="宋体"/>
          <w:highlight w:val="none"/>
        </w:rPr>
      </w:pPr>
      <w:r>
        <w:rPr>
          <w:rStyle w:val="86"/>
          <w:rFonts w:hint="eastAsia" w:ascii="宋体" w:hAnsi="宋体"/>
          <w:highlight w:val="none"/>
        </w:rPr>
        <w:t>二、工程范围</w:t>
      </w:r>
    </w:p>
    <w:p w14:paraId="0E5CE28E">
      <w:pPr>
        <w:pStyle w:val="84"/>
        <w:spacing w:line="360" w:lineRule="auto"/>
        <w:ind w:firstLine="600"/>
        <w:rPr>
          <w:rStyle w:val="86"/>
          <w:rFonts w:hint="eastAsia" w:ascii="宋体" w:hAnsi="宋体"/>
          <w:highlight w:val="none"/>
        </w:rPr>
      </w:pPr>
      <w:r>
        <w:rPr>
          <w:rStyle w:val="86"/>
          <w:rFonts w:hint="eastAsia" w:ascii="宋体" w:hAnsi="宋体"/>
          <w:highlight w:val="none"/>
        </w:rPr>
        <w:t>（一）概述</w:t>
      </w:r>
    </w:p>
    <w:p w14:paraId="659B7F16">
      <w:pPr>
        <w:pStyle w:val="84"/>
        <w:spacing w:line="360" w:lineRule="auto"/>
        <w:ind w:firstLine="600"/>
        <w:rPr>
          <w:rStyle w:val="86"/>
          <w:rFonts w:hint="eastAsia" w:ascii="宋体" w:hAnsi="宋体"/>
          <w:highlight w:val="none"/>
        </w:rPr>
      </w:pPr>
      <w:r>
        <w:rPr>
          <w:rStyle w:val="86"/>
          <w:rFonts w:hint="eastAsia" w:ascii="宋体" w:hAnsi="宋体"/>
          <w:highlight w:val="none"/>
        </w:rPr>
        <w:t>（二）包括的工作</w:t>
      </w:r>
    </w:p>
    <w:p w14:paraId="34031F81">
      <w:pPr>
        <w:pStyle w:val="84"/>
        <w:spacing w:line="360" w:lineRule="auto"/>
        <w:ind w:firstLine="600"/>
        <w:rPr>
          <w:rStyle w:val="86"/>
          <w:rFonts w:hint="eastAsia" w:ascii="宋体" w:hAnsi="宋体"/>
          <w:highlight w:val="none"/>
        </w:rPr>
      </w:pPr>
      <w:r>
        <w:rPr>
          <w:rStyle w:val="86"/>
          <w:rFonts w:hint="eastAsia" w:ascii="宋体" w:hAnsi="宋体"/>
          <w:highlight w:val="none"/>
        </w:rPr>
        <w:t>1. 永久工程的设计、采购、施工范围。</w:t>
      </w:r>
    </w:p>
    <w:p w14:paraId="012DAD1D">
      <w:pPr>
        <w:pStyle w:val="84"/>
        <w:spacing w:line="360" w:lineRule="auto"/>
        <w:ind w:firstLine="600"/>
        <w:rPr>
          <w:rStyle w:val="86"/>
          <w:rFonts w:hint="eastAsia" w:ascii="宋体" w:hAnsi="宋体"/>
          <w:highlight w:val="none"/>
        </w:rPr>
      </w:pPr>
      <w:r>
        <w:rPr>
          <w:rStyle w:val="86"/>
          <w:rFonts w:hint="eastAsia" w:ascii="宋体" w:hAnsi="宋体"/>
          <w:highlight w:val="none"/>
        </w:rPr>
        <w:t>2. 临时工程的设计与施工范围。</w:t>
      </w:r>
    </w:p>
    <w:p w14:paraId="66C912A9">
      <w:pPr>
        <w:pStyle w:val="84"/>
        <w:spacing w:line="360" w:lineRule="auto"/>
        <w:ind w:firstLine="600"/>
        <w:rPr>
          <w:rStyle w:val="86"/>
          <w:rFonts w:hint="eastAsia" w:ascii="宋体" w:hAnsi="宋体"/>
          <w:highlight w:val="none"/>
        </w:rPr>
      </w:pPr>
      <w:r>
        <w:rPr>
          <w:rStyle w:val="86"/>
          <w:rFonts w:hint="eastAsia" w:ascii="宋体" w:hAnsi="宋体"/>
          <w:highlight w:val="none"/>
        </w:rPr>
        <w:t>3. 竣工验收工作范围。</w:t>
      </w:r>
    </w:p>
    <w:p w14:paraId="68798272">
      <w:pPr>
        <w:pStyle w:val="84"/>
        <w:spacing w:line="360" w:lineRule="auto"/>
        <w:ind w:firstLine="600"/>
        <w:rPr>
          <w:rStyle w:val="86"/>
          <w:rFonts w:hint="eastAsia" w:ascii="宋体" w:hAnsi="宋体"/>
          <w:highlight w:val="none"/>
        </w:rPr>
      </w:pPr>
      <w:r>
        <w:rPr>
          <w:rStyle w:val="86"/>
          <w:rFonts w:hint="eastAsia" w:ascii="宋体" w:hAnsi="宋体"/>
          <w:highlight w:val="none"/>
        </w:rPr>
        <w:t>4. 技术服务工作范围。</w:t>
      </w:r>
    </w:p>
    <w:p w14:paraId="5DF7315F">
      <w:pPr>
        <w:pStyle w:val="84"/>
        <w:spacing w:line="360" w:lineRule="auto"/>
        <w:ind w:firstLine="600"/>
        <w:rPr>
          <w:rStyle w:val="86"/>
          <w:rFonts w:hint="eastAsia" w:ascii="宋体" w:hAnsi="宋体"/>
          <w:highlight w:val="none"/>
        </w:rPr>
      </w:pPr>
      <w:r>
        <w:rPr>
          <w:rStyle w:val="86"/>
          <w:rFonts w:hint="eastAsia" w:ascii="宋体" w:hAnsi="宋体"/>
          <w:highlight w:val="none"/>
        </w:rPr>
        <w:t>5. 培训工作范围。</w:t>
      </w:r>
    </w:p>
    <w:p w14:paraId="626F6555">
      <w:pPr>
        <w:pStyle w:val="84"/>
        <w:spacing w:line="360" w:lineRule="auto"/>
        <w:ind w:firstLine="600"/>
        <w:rPr>
          <w:rStyle w:val="86"/>
          <w:rFonts w:hint="eastAsia" w:ascii="宋体" w:hAnsi="宋体"/>
          <w:highlight w:val="none"/>
        </w:rPr>
      </w:pPr>
      <w:r>
        <w:rPr>
          <w:rStyle w:val="86"/>
          <w:rFonts w:hint="eastAsia" w:ascii="宋体" w:hAnsi="宋体"/>
          <w:highlight w:val="none"/>
        </w:rPr>
        <w:t>6. 保修工作范围。</w:t>
      </w:r>
    </w:p>
    <w:p w14:paraId="0A8284A4">
      <w:pPr>
        <w:pStyle w:val="84"/>
        <w:spacing w:line="360" w:lineRule="auto"/>
        <w:ind w:firstLine="600"/>
        <w:rPr>
          <w:rStyle w:val="86"/>
          <w:rFonts w:hint="eastAsia" w:ascii="宋体" w:hAnsi="宋体"/>
          <w:highlight w:val="none"/>
        </w:rPr>
      </w:pPr>
      <w:r>
        <w:rPr>
          <w:rStyle w:val="86"/>
          <w:rFonts w:hint="eastAsia" w:ascii="宋体" w:hAnsi="宋体"/>
          <w:highlight w:val="none"/>
        </w:rPr>
        <w:t>（三）工作界区</w:t>
      </w:r>
    </w:p>
    <w:p w14:paraId="61713C0A">
      <w:pPr>
        <w:pStyle w:val="84"/>
        <w:spacing w:line="360" w:lineRule="auto"/>
        <w:ind w:firstLine="600"/>
        <w:rPr>
          <w:rStyle w:val="86"/>
          <w:rFonts w:hint="eastAsia" w:ascii="宋体" w:hAnsi="宋体"/>
          <w:highlight w:val="none"/>
        </w:rPr>
      </w:pPr>
      <w:r>
        <w:rPr>
          <w:rStyle w:val="86"/>
          <w:rFonts w:hint="eastAsia" w:ascii="宋体" w:hAnsi="宋体"/>
          <w:highlight w:val="none"/>
        </w:rPr>
        <w:t>（四）发包人提供的现场条件</w:t>
      </w:r>
    </w:p>
    <w:p w14:paraId="001CBCD8">
      <w:pPr>
        <w:pStyle w:val="84"/>
        <w:spacing w:line="360" w:lineRule="auto"/>
        <w:ind w:firstLine="600"/>
        <w:rPr>
          <w:rStyle w:val="86"/>
          <w:rFonts w:hint="eastAsia" w:ascii="宋体" w:hAnsi="宋体"/>
          <w:highlight w:val="none"/>
        </w:rPr>
      </w:pPr>
      <w:r>
        <w:rPr>
          <w:rStyle w:val="86"/>
          <w:rFonts w:hint="eastAsia" w:ascii="宋体" w:hAnsi="宋体"/>
          <w:highlight w:val="none"/>
        </w:rPr>
        <w:t>1. 施工用电。</w:t>
      </w:r>
    </w:p>
    <w:p w14:paraId="3F02C45B">
      <w:pPr>
        <w:pStyle w:val="84"/>
        <w:spacing w:line="360" w:lineRule="auto"/>
        <w:ind w:firstLine="600"/>
        <w:rPr>
          <w:rStyle w:val="86"/>
          <w:rFonts w:hint="eastAsia" w:ascii="宋体" w:hAnsi="宋体"/>
          <w:highlight w:val="none"/>
        </w:rPr>
      </w:pPr>
      <w:r>
        <w:rPr>
          <w:rStyle w:val="86"/>
          <w:rFonts w:hint="eastAsia" w:ascii="宋体" w:hAnsi="宋体"/>
          <w:highlight w:val="none"/>
        </w:rPr>
        <w:t>2. 施工用水。</w:t>
      </w:r>
    </w:p>
    <w:p w14:paraId="7C9A4ADE">
      <w:pPr>
        <w:pStyle w:val="84"/>
        <w:spacing w:line="360" w:lineRule="auto"/>
        <w:ind w:firstLine="600"/>
        <w:rPr>
          <w:rStyle w:val="86"/>
          <w:rFonts w:hint="eastAsia" w:ascii="宋体" w:hAnsi="宋体"/>
          <w:highlight w:val="none"/>
        </w:rPr>
      </w:pPr>
      <w:r>
        <w:rPr>
          <w:rStyle w:val="86"/>
          <w:rFonts w:hint="eastAsia" w:ascii="宋体" w:hAnsi="宋体"/>
          <w:highlight w:val="none"/>
        </w:rPr>
        <w:t>3. 施工排水。</w:t>
      </w:r>
    </w:p>
    <w:p w14:paraId="7A9A816B">
      <w:pPr>
        <w:pStyle w:val="84"/>
        <w:spacing w:line="360" w:lineRule="auto"/>
        <w:ind w:firstLine="600"/>
        <w:rPr>
          <w:rStyle w:val="86"/>
          <w:rFonts w:hint="eastAsia" w:ascii="宋体" w:hAnsi="宋体"/>
          <w:highlight w:val="none"/>
        </w:rPr>
      </w:pPr>
      <w:r>
        <w:rPr>
          <w:rStyle w:val="86"/>
          <w:rFonts w:hint="eastAsia" w:ascii="宋体" w:hAnsi="宋体"/>
          <w:highlight w:val="none"/>
        </w:rPr>
        <w:t>4. 施工道路。</w:t>
      </w:r>
    </w:p>
    <w:p w14:paraId="55E421F5">
      <w:pPr>
        <w:pStyle w:val="84"/>
        <w:spacing w:line="360" w:lineRule="auto"/>
        <w:ind w:firstLine="600"/>
        <w:rPr>
          <w:rStyle w:val="86"/>
          <w:rFonts w:hint="eastAsia" w:ascii="宋体" w:hAnsi="宋体"/>
          <w:highlight w:val="none"/>
        </w:rPr>
      </w:pPr>
      <w:r>
        <w:rPr>
          <w:rStyle w:val="86"/>
          <w:rFonts w:hint="eastAsia" w:ascii="宋体" w:hAnsi="宋体"/>
          <w:highlight w:val="none"/>
        </w:rPr>
        <w:t>（五）发包人提供的技术文件</w:t>
      </w:r>
    </w:p>
    <w:p w14:paraId="627E9E19">
      <w:pPr>
        <w:pStyle w:val="84"/>
        <w:spacing w:line="360" w:lineRule="auto"/>
        <w:ind w:firstLine="600"/>
        <w:rPr>
          <w:rStyle w:val="86"/>
          <w:rFonts w:hint="eastAsia" w:ascii="宋体" w:hAnsi="宋体"/>
          <w:highlight w:val="none"/>
        </w:rPr>
      </w:pPr>
      <w:r>
        <w:rPr>
          <w:rStyle w:val="86"/>
          <w:rFonts w:hint="eastAsia" w:ascii="宋体" w:hAnsi="宋体"/>
          <w:highlight w:val="none"/>
        </w:rPr>
        <w:t>除另有批准外，承包人的工作需要遵照发包人的下列技术文件:</w:t>
      </w:r>
    </w:p>
    <w:p w14:paraId="66A486A9">
      <w:pPr>
        <w:pStyle w:val="84"/>
        <w:spacing w:line="360" w:lineRule="auto"/>
        <w:ind w:firstLine="600"/>
        <w:rPr>
          <w:rStyle w:val="86"/>
          <w:rFonts w:hint="eastAsia" w:ascii="宋体" w:hAnsi="宋体"/>
          <w:highlight w:val="none"/>
        </w:rPr>
      </w:pPr>
      <w:r>
        <w:rPr>
          <w:rStyle w:val="86"/>
          <w:rFonts w:hint="eastAsia" w:ascii="宋体" w:hAnsi="宋体"/>
          <w:highlight w:val="none"/>
        </w:rPr>
        <w:t>1. 发包人需求任务书。</w:t>
      </w:r>
    </w:p>
    <w:p w14:paraId="10EB0401">
      <w:pPr>
        <w:pStyle w:val="84"/>
        <w:spacing w:line="360" w:lineRule="auto"/>
        <w:ind w:firstLine="600"/>
        <w:rPr>
          <w:rStyle w:val="86"/>
          <w:rFonts w:hint="eastAsia" w:ascii="宋体" w:hAnsi="宋体"/>
          <w:highlight w:val="none"/>
        </w:rPr>
      </w:pPr>
      <w:r>
        <w:rPr>
          <w:rStyle w:val="86"/>
          <w:rFonts w:hint="eastAsia" w:ascii="宋体" w:hAnsi="宋体"/>
          <w:highlight w:val="none"/>
        </w:rPr>
        <w:t>2. 发包人已完成的设计文件。</w:t>
      </w:r>
    </w:p>
    <w:p w14:paraId="7D7EFF34">
      <w:pPr>
        <w:pStyle w:val="84"/>
        <w:spacing w:line="360" w:lineRule="auto"/>
        <w:ind w:firstLine="600"/>
        <w:rPr>
          <w:rStyle w:val="86"/>
          <w:rFonts w:hint="eastAsia" w:ascii="宋体" w:hAnsi="宋体"/>
          <w:highlight w:val="none"/>
        </w:rPr>
      </w:pPr>
      <w:r>
        <w:rPr>
          <w:rStyle w:val="86"/>
          <w:rFonts w:hint="eastAsia" w:ascii="宋体" w:hAnsi="宋体"/>
          <w:highlight w:val="none"/>
        </w:rPr>
        <w:t>三、工艺安排或要求（如有）</w:t>
      </w:r>
    </w:p>
    <w:p w14:paraId="7C9477FF">
      <w:pPr>
        <w:pStyle w:val="84"/>
        <w:spacing w:line="360" w:lineRule="auto"/>
        <w:ind w:firstLine="600"/>
        <w:rPr>
          <w:rStyle w:val="86"/>
          <w:rFonts w:hint="eastAsia" w:ascii="宋体" w:hAnsi="宋体"/>
          <w:highlight w:val="none"/>
        </w:rPr>
      </w:pPr>
      <w:r>
        <w:rPr>
          <w:rStyle w:val="86"/>
          <w:rFonts w:hint="eastAsia" w:ascii="宋体" w:hAnsi="宋体"/>
          <w:highlight w:val="none"/>
        </w:rPr>
        <w:t>四、时间要求</w:t>
      </w:r>
    </w:p>
    <w:p w14:paraId="3A5ADA8D">
      <w:pPr>
        <w:pStyle w:val="84"/>
        <w:spacing w:line="360" w:lineRule="auto"/>
        <w:ind w:firstLine="600"/>
        <w:rPr>
          <w:rStyle w:val="86"/>
          <w:rFonts w:hint="eastAsia" w:ascii="宋体" w:hAnsi="宋体"/>
          <w:highlight w:val="none"/>
        </w:rPr>
      </w:pPr>
      <w:r>
        <w:rPr>
          <w:rStyle w:val="86"/>
          <w:rFonts w:hint="eastAsia" w:ascii="宋体" w:hAnsi="宋体"/>
          <w:highlight w:val="none"/>
        </w:rPr>
        <w:t>（一）开始工作时间。</w:t>
      </w:r>
    </w:p>
    <w:p w14:paraId="3D09C5B0">
      <w:pPr>
        <w:pStyle w:val="84"/>
        <w:spacing w:line="360" w:lineRule="auto"/>
        <w:ind w:firstLine="600"/>
        <w:rPr>
          <w:rStyle w:val="86"/>
          <w:rFonts w:hint="eastAsia" w:ascii="宋体" w:hAnsi="宋体"/>
          <w:highlight w:val="none"/>
        </w:rPr>
      </w:pPr>
      <w:r>
        <w:rPr>
          <w:rStyle w:val="86"/>
          <w:rFonts w:hint="eastAsia" w:ascii="宋体" w:hAnsi="宋体"/>
          <w:highlight w:val="none"/>
        </w:rPr>
        <w:t>（二）设计完成时间。</w:t>
      </w:r>
    </w:p>
    <w:p w14:paraId="4F3AA8D9">
      <w:pPr>
        <w:pStyle w:val="84"/>
        <w:spacing w:line="360" w:lineRule="auto"/>
        <w:ind w:firstLine="600"/>
        <w:rPr>
          <w:rStyle w:val="86"/>
          <w:rFonts w:hint="eastAsia" w:ascii="宋体" w:hAnsi="宋体"/>
          <w:highlight w:val="none"/>
        </w:rPr>
      </w:pPr>
      <w:r>
        <w:rPr>
          <w:rStyle w:val="86"/>
          <w:rFonts w:hint="eastAsia" w:ascii="宋体" w:hAnsi="宋体"/>
          <w:highlight w:val="none"/>
        </w:rPr>
        <w:t>（三）进度计划。</w:t>
      </w:r>
    </w:p>
    <w:p w14:paraId="7C6A4098">
      <w:pPr>
        <w:pStyle w:val="84"/>
        <w:spacing w:line="360" w:lineRule="auto"/>
        <w:ind w:firstLine="600"/>
        <w:rPr>
          <w:rStyle w:val="86"/>
          <w:rFonts w:hint="eastAsia" w:ascii="宋体" w:hAnsi="宋体"/>
          <w:highlight w:val="none"/>
        </w:rPr>
      </w:pPr>
      <w:r>
        <w:rPr>
          <w:rStyle w:val="86"/>
          <w:rFonts w:hint="eastAsia" w:ascii="宋体" w:hAnsi="宋体"/>
          <w:highlight w:val="none"/>
        </w:rPr>
        <w:t>（四）竣工时间。</w:t>
      </w:r>
    </w:p>
    <w:p w14:paraId="38443754">
      <w:pPr>
        <w:pStyle w:val="84"/>
        <w:spacing w:line="360" w:lineRule="auto"/>
        <w:ind w:firstLine="600"/>
        <w:rPr>
          <w:rStyle w:val="86"/>
          <w:rFonts w:hint="eastAsia" w:ascii="宋体" w:hAnsi="宋体"/>
          <w:highlight w:val="none"/>
        </w:rPr>
      </w:pPr>
      <w:r>
        <w:rPr>
          <w:rStyle w:val="86"/>
          <w:rFonts w:hint="eastAsia" w:ascii="宋体" w:hAnsi="宋体"/>
          <w:highlight w:val="none"/>
        </w:rPr>
        <w:t>（五）缺陷责任期。</w:t>
      </w:r>
    </w:p>
    <w:p w14:paraId="1E6C1AB9">
      <w:pPr>
        <w:pStyle w:val="84"/>
        <w:spacing w:line="360" w:lineRule="auto"/>
        <w:ind w:firstLine="600"/>
        <w:rPr>
          <w:rStyle w:val="86"/>
          <w:rFonts w:hint="eastAsia" w:ascii="宋体" w:hAnsi="宋体"/>
          <w:highlight w:val="none"/>
        </w:rPr>
      </w:pPr>
      <w:r>
        <w:rPr>
          <w:rStyle w:val="86"/>
          <w:rFonts w:hint="eastAsia" w:ascii="宋体" w:hAnsi="宋体"/>
          <w:highlight w:val="none"/>
        </w:rPr>
        <w:t>（六）其他时间要求。</w:t>
      </w:r>
    </w:p>
    <w:p w14:paraId="7637FEBE">
      <w:pPr>
        <w:pStyle w:val="84"/>
        <w:spacing w:line="360" w:lineRule="auto"/>
        <w:ind w:firstLine="600"/>
        <w:rPr>
          <w:rStyle w:val="86"/>
          <w:rFonts w:hint="eastAsia" w:ascii="宋体" w:hAnsi="宋体"/>
          <w:highlight w:val="none"/>
        </w:rPr>
      </w:pPr>
      <w:r>
        <w:rPr>
          <w:rStyle w:val="86"/>
          <w:rFonts w:hint="eastAsia" w:ascii="宋体" w:hAnsi="宋体"/>
          <w:highlight w:val="none"/>
        </w:rPr>
        <w:t>五、技术要求</w:t>
      </w:r>
    </w:p>
    <w:p w14:paraId="0968357A">
      <w:pPr>
        <w:pStyle w:val="84"/>
        <w:spacing w:line="360" w:lineRule="auto"/>
        <w:ind w:firstLine="600"/>
        <w:rPr>
          <w:rStyle w:val="86"/>
          <w:rFonts w:hint="eastAsia" w:ascii="宋体" w:hAnsi="宋体"/>
          <w:highlight w:val="none"/>
        </w:rPr>
      </w:pPr>
      <w:r>
        <w:rPr>
          <w:rStyle w:val="86"/>
          <w:rFonts w:hint="eastAsia" w:ascii="宋体" w:hAnsi="宋体"/>
          <w:highlight w:val="none"/>
        </w:rPr>
        <w:t>（一）设计阶段和设计任务。</w:t>
      </w:r>
    </w:p>
    <w:p w14:paraId="07E75892">
      <w:pPr>
        <w:pStyle w:val="84"/>
        <w:spacing w:line="360" w:lineRule="auto"/>
        <w:ind w:firstLine="600"/>
        <w:rPr>
          <w:rStyle w:val="86"/>
          <w:rFonts w:hint="eastAsia" w:ascii="宋体" w:hAnsi="宋体"/>
          <w:highlight w:val="none"/>
        </w:rPr>
      </w:pPr>
      <w:r>
        <w:rPr>
          <w:rStyle w:val="86"/>
          <w:rFonts w:hint="eastAsia" w:ascii="宋体" w:hAnsi="宋体"/>
          <w:highlight w:val="none"/>
        </w:rPr>
        <w:t>（二）设计标准和规范。</w:t>
      </w:r>
    </w:p>
    <w:p w14:paraId="7E50B632">
      <w:pPr>
        <w:pStyle w:val="84"/>
        <w:spacing w:line="360" w:lineRule="auto"/>
        <w:ind w:firstLine="600"/>
        <w:rPr>
          <w:rStyle w:val="86"/>
          <w:rFonts w:hint="eastAsia" w:ascii="宋体" w:hAnsi="宋体"/>
          <w:highlight w:val="none"/>
        </w:rPr>
      </w:pPr>
      <w:r>
        <w:rPr>
          <w:rStyle w:val="86"/>
          <w:rFonts w:hint="eastAsia" w:ascii="宋体" w:hAnsi="宋体"/>
          <w:highlight w:val="none"/>
        </w:rPr>
        <w:t>（三）技术标准和要求。</w:t>
      </w:r>
    </w:p>
    <w:p w14:paraId="1BA180CD">
      <w:pPr>
        <w:pStyle w:val="84"/>
        <w:spacing w:line="360" w:lineRule="auto"/>
        <w:ind w:firstLine="600"/>
        <w:rPr>
          <w:rStyle w:val="86"/>
          <w:rFonts w:hint="eastAsia" w:ascii="宋体" w:hAnsi="宋体"/>
          <w:highlight w:val="none"/>
        </w:rPr>
      </w:pPr>
      <w:r>
        <w:rPr>
          <w:rStyle w:val="86"/>
          <w:rFonts w:hint="eastAsia" w:ascii="宋体" w:hAnsi="宋体"/>
          <w:highlight w:val="none"/>
        </w:rPr>
        <w:t>（四）质量标准。</w:t>
      </w:r>
    </w:p>
    <w:p w14:paraId="2A60A76B">
      <w:pPr>
        <w:pStyle w:val="84"/>
        <w:spacing w:line="360" w:lineRule="auto"/>
        <w:ind w:firstLine="600"/>
        <w:rPr>
          <w:rStyle w:val="86"/>
          <w:rFonts w:hint="eastAsia" w:ascii="宋体" w:hAnsi="宋体"/>
          <w:highlight w:val="none"/>
        </w:rPr>
      </w:pPr>
      <w:r>
        <w:rPr>
          <w:rStyle w:val="86"/>
          <w:rFonts w:hint="eastAsia" w:ascii="宋体" w:hAnsi="宋体"/>
          <w:highlight w:val="none"/>
        </w:rPr>
        <w:t>（五）设计、施工和设备监造、试验（如有）。</w:t>
      </w:r>
    </w:p>
    <w:p w14:paraId="4207CA65">
      <w:pPr>
        <w:pStyle w:val="84"/>
        <w:spacing w:line="360" w:lineRule="auto"/>
        <w:ind w:firstLine="600"/>
        <w:rPr>
          <w:rStyle w:val="86"/>
          <w:rFonts w:hint="eastAsia" w:ascii="宋体" w:hAnsi="宋体"/>
          <w:highlight w:val="none"/>
        </w:rPr>
      </w:pPr>
      <w:r>
        <w:rPr>
          <w:rStyle w:val="86"/>
          <w:rFonts w:hint="eastAsia" w:ascii="宋体" w:hAnsi="宋体"/>
          <w:highlight w:val="none"/>
        </w:rPr>
        <w:t>（六）样品。</w:t>
      </w:r>
    </w:p>
    <w:p w14:paraId="28C4A902">
      <w:pPr>
        <w:pStyle w:val="84"/>
        <w:spacing w:line="360" w:lineRule="auto"/>
        <w:ind w:firstLine="600"/>
        <w:rPr>
          <w:rStyle w:val="86"/>
          <w:rFonts w:hint="eastAsia" w:ascii="宋体" w:hAnsi="宋体"/>
          <w:highlight w:val="none"/>
        </w:rPr>
      </w:pPr>
      <w:r>
        <w:rPr>
          <w:rStyle w:val="86"/>
          <w:rFonts w:hint="eastAsia" w:ascii="宋体" w:hAnsi="宋体"/>
          <w:highlight w:val="none"/>
        </w:rPr>
        <w:t>（七）发包人提供的其他条件，如发包人或其委托的第三人提供的设计、工艺包、用于试验检验的工器具等，以及据此对承包人提出的予以配套的要求。</w:t>
      </w:r>
    </w:p>
    <w:p w14:paraId="35374B78">
      <w:pPr>
        <w:pStyle w:val="84"/>
        <w:spacing w:line="360" w:lineRule="auto"/>
        <w:ind w:firstLine="600"/>
        <w:rPr>
          <w:rStyle w:val="86"/>
          <w:rFonts w:hint="eastAsia" w:ascii="宋体" w:hAnsi="宋体"/>
          <w:highlight w:val="none"/>
        </w:rPr>
      </w:pPr>
      <w:r>
        <w:rPr>
          <w:rStyle w:val="86"/>
          <w:rFonts w:hint="eastAsia" w:ascii="宋体" w:hAnsi="宋体"/>
          <w:highlight w:val="none"/>
        </w:rPr>
        <w:t>六、竣工试验</w:t>
      </w:r>
    </w:p>
    <w:p w14:paraId="6ED4FC86">
      <w:pPr>
        <w:pStyle w:val="84"/>
        <w:spacing w:line="360" w:lineRule="auto"/>
        <w:ind w:firstLine="600"/>
        <w:rPr>
          <w:rStyle w:val="86"/>
          <w:rFonts w:hint="eastAsia" w:ascii="宋体" w:hAnsi="宋体"/>
          <w:highlight w:val="none"/>
        </w:rPr>
      </w:pPr>
      <w:r>
        <w:rPr>
          <w:rStyle w:val="86"/>
          <w:rFonts w:hint="eastAsia" w:ascii="宋体" w:hAnsi="宋体"/>
          <w:highlight w:val="none"/>
        </w:rPr>
        <w:t>（一）第一阶段，如对单车试验等的要求，包括试验前准备。</w:t>
      </w:r>
    </w:p>
    <w:p w14:paraId="1B8BBC79">
      <w:pPr>
        <w:pStyle w:val="84"/>
        <w:spacing w:line="360" w:lineRule="auto"/>
        <w:ind w:firstLine="600"/>
        <w:rPr>
          <w:rStyle w:val="86"/>
          <w:rFonts w:hint="eastAsia" w:ascii="宋体" w:hAnsi="宋体"/>
          <w:highlight w:val="none"/>
        </w:rPr>
      </w:pPr>
      <w:r>
        <w:rPr>
          <w:rStyle w:val="86"/>
          <w:rFonts w:hint="eastAsia" w:ascii="宋体" w:hAnsi="宋体"/>
          <w:highlight w:val="none"/>
        </w:rPr>
        <w:t>（二）第二阶段，如对联动试车、投料试车等的要求，包括人员、设备、材料、燃料、电力、消耗品、工具等必要条件。</w:t>
      </w:r>
    </w:p>
    <w:p w14:paraId="3FFAA1F5">
      <w:pPr>
        <w:pStyle w:val="84"/>
        <w:spacing w:line="360" w:lineRule="auto"/>
        <w:ind w:firstLine="600"/>
        <w:rPr>
          <w:rStyle w:val="86"/>
          <w:rFonts w:hint="eastAsia" w:ascii="宋体" w:hAnsi="宋体"/>
          <w:highlight w:val="none"/>
        </w:rPr>
      </w:pPr>
      <w:r>
        <w:rPr>
          <w:rStyle w:val="86"/>
          <w:rFonts w:hint="eastAsia" w:ascii="宋体" w:hAnsi="宋体"/>
          <w:highlight w:val="none"/>
        </w:rPr>
        <w:t>（三）第三阶段，如对性能测试及其他竣工试验的要求，包括产能指标、产品质量标准、运营指标、环保指标等。</w:t>
      </w:r>
    </w:p>
    <w:p w14:paraId="215A6083">
      <w:pPr>
        <w:pStyle w:val="84"/>
        <w:spacing w:line="360" w:lineRule="auto"/>
        <w:ind w:firstLine="600"/>
        <w:rPr>
          <w:rStyle w:val="86"/>
          <w:rFonts w:hint="eastAsia" w:ascii="宋体" w:hAnsi="宋体"/>
          <w:highlight w:val="none"/>
        </w:rPr>
      </w:pPr>
      <w:r>
        <w:rPr>
          <w:rStyle w:val="86"/>
          <w:rFonts w:hint="eastAsia" w:ascii="宋体" w:hAnsi="宋体"/>
          <w:highlight w:val="none"/>
        </w:rPr>
        <w:t>七、竣工验收</w:t>
      </w:r>
    </w:p>
    <w:p w14:paraId="5E05B760">
      <w:pPr>
        <w:pStyle w:val="84"/>
        <w:spacing w:line="360" w:lineRule="auto"/>
        <w:ind w:firstLine="600"/>
        <w:rPr>
          <w:rStyle w:val="86"/>
          <w:rFonts w:hint="eastAsia" w:ascii="宋体" w:hAnsi="宋体"/>
          <w:highlight w:val="none"/>
        </w:rPr>
      </w:pPr>
      <w:r>
        <w:rPr>
          <w:rStyle w:val="86"/>
          <w:rFonts w:hint="eastAsia" w:ascii="宋体" w:hAnsi="宋体"/>
          <w:highlight w:val="none"/>
        </w:rPr>
        <w:t>八、竣工后试验（如有）</w:t>
      </w:r>
    </w:p>
    <w:p w14:paraId="7440BAA6">
      <w:pPr>
        <w:pStyle w:val="84"/>
        <w:spacing w:line="360" w:lineRule="auto"/>
        <w:ind w:firstLine="600"/>
        <w:rPr>
          <w:rStyle w:val="86"/>
          <w:rFonts w:hint="eastAsia" w:ascii="宋体" w:hAnsi="宋体"/>
          <w:highlight w:val="none"/>
        </w:rPr>
      </w:pPr>
      <w:r>
        <w:rPr>
          <w:rStyle w:val="86"/>
          <w:rFonts w:hint="eastAsia" w:ascii="宋体" w:hAnsi="宋体"/>
          <w:highlight w:val="none"/>
        </w:rPr>
        <w:t>九、文件要求</w:t>
      </w:r>
    </w:p>
    <w:p w14:paraId="03E643B6">
      <w:pPr>
        <w:pStyle w:val="84"/>
        <w:spacing w:line="360" w:lineRule="auto"/>
        <w:ind w:firstLine="600"/>
        <w:rPr>
          <w:rStyle w:val="86"/>
          <w:rFonts w:hint="eastAsia" w:ascii="宋体" w:hAnsi="宋体"/>
          <w:highlight w:val="none"/>
        </w:rPr>
      </w:pPr>
      <w:r>
        <w:rPr>
          <w:rStyle w:val="86"/>
          <w:rFonts w:hint="eastAsia" w:ascii="宋体" w:hAnsi="宋体"/>
          <w:highlight w:val="none"/>
        </w:rPr>
        <w:t>（一）设计文件，及其相关审批、核准、备案要求。</w:t>
      </w:r>
    </w:p>
    <w:p w14:paraId="04CCF6CF">
      <w:pPr>
        <w:pStyle w:val="84"/>
        <w:spacing w:line="360" w:lineRule="auto"/>
        <w:ind w:firstLine="600"/>
        <w:rPr>
          <w:rStyle w:val="86"/>
          <w:rFonts w:hint="eastAsia" w:ascii="宋体" w:hAnsi="宋体"/>
          <w:highlight w:val="none"/>
        </w:rPr>
      </w:pPr>
      <w:r>
        <w:rPr>
          <w:rStyle w:val="86"/>
          <w:rFonts w:hint="eastAsia" w:ascii="宋体" w:hAnsi="宋体"/>
          <w:highlight w:val="none"/>
        </w:rPr>
        <w:t>（二）沟通计划。</w:t>
      </w:r>
    </w:p>
    <w:p w14:paraId="63B9ECC3">
      <w:pPr>
        <w:pStyle w:val="84"/>
        <w:spacing w:line="360" w:lineRule="auto"/>
        <w:ind w:firstLine="600"/>
        <w:rPr>
          <w:rStyle w:val="86"/>
          <w:rFonts w:hint="eastAsia" w:ascii="宋体" w:hAnsi="宋体"/>
          <w:highlight w:val="none"/>
        </w:rPr>
      </w:pPr>
      <w:r>
        <w:rPr>
          <w:rStyle w:val="86"/>
          <w:rFonts w:hint="eastAsia" w:ascii="宋体" w:hAnsi="宋体"/>
          <w:highlight w:val="none"/>
        </w:rPr>
        <w:t>（三）风险管理计划。</w:t>
      </w:r>
    </w:p>
    <w:p w14:paraId="126AE426">
      <w:pPr>
        <w:pStyle w:val="84"/>
        <w:spacing w:line="360" w:lineRule="auto"/>
        <w:ind w:firstLine="600"/>
        <w:rPr>
          <w:rStyle w:val="86"/>
          <w:rFonts w:hint="eastAsia" w:ascii="宋体" w:hAnsi="宋体"/>
          <w:highlight w:val="none"/>
        </w:rPr>
      </w:pPr>
      <w:r>
        <w:rPr>
          <w:rStyle w:val="86"/>
          <w:rFonts w:hint="eastAsia" w:ascii="宋体" w:hAnsi="宋体"/>
          <w:highlight w:val="none"/>
        </w:rPr>
        <w:t>（四）竣工文件和工程的其他记录。</w:t>
      </w:r>
    </w:p>
    <w:p w14:paraId="618F28E9">
      <w:pPr>
        <w:pStyle w:val="84"/>
        <w:spacing w:line="360" w:lineRule="auto"/>
        <w:ind w:firstLine="600"/>
        <w:rPr>
          <w:rStyle w:val="86"/>
          <w:rFonts w:hint="eastAsia" w:ascii="宋体" w:hAnsi="宋体"/>
          <w:highlight w:val="none"/>
        </w:rPr>
      </w:pPr>
      <w:r>
        <w:rPr>
          <w:rStyle w:val="86"/>
          <w:rFonts w:hint="eastAsia" w:ascii="宋体" w:hAnsi="宋体"/>
          <w:highlight w:val="none"/>
        </w:rPr>
        <w:t>（五）操作和维修手册。</w:t>
      </w:r>
    </w:p>
    <w:p w14:paraId="7B66E893">
      <w:pPr>
        <w:pStyle w:val="84"/>
        <w:spacing w:line="360" w:lineRule="auto"/>
        <w:ind w:firstLine="600"/>
        <w:rPr>
          <w:rStyle w:val="86"/>
          <w:rFonts w:hint="eastAsia" w:ascii="宋体" w:hAnsi="宋体"/>
          <w:highlight w:val="none"/>
        </w:rPr>
      </w:pPr>
      <w:r>
        <w:rPr>
          <w:rStyle w:val="86"/>
          <w:rFonts w:hint="eastAsia" w:ascii="宋体" w:hAnsi="宋体"/>
          <w:highlight w:val="none"/>
        </w:rPr>
        <w:t>（六）其他承包人文件。</w:t>
      </w:r>
    </w:p>
    <w:p w14:paraId="51A3749D">
      <w:pPr>
        <w:pStyle w:val="84"/>
        <w:spacing w:line="360" w:lineRule="auto"/>
        <w:ind w:firstLine="600"/>
        <w:rPr>
          <w:rStyle w:val="86"/>
          <w:rFonts w:hint="eastAsia" w:ascii="宋体" w:hAnsi="宋体"/>
          <w:highlight w:val="none"/>
        </w:rPr>
      </w:pPr>
      <w:r>
        <w:rPr>
          <w:rStyle w:val="86"/>
          <w:rFonts w:hint="eastAsia" w:ascii="宋体" w:hAnsi="宋体"/>
          <w:highlight w:val="none"/>
        </w:rPr>
        <w:t>十、工程项目管理规定</w:t>
      </w:r>
    </w:p>
    <w:p w14:paraId="545E83CE">
      <w:pPr>
        <w:pStyle w:val="84"/>
        <w:spacing w:line="360" w:lineRule="auto"/>
        <w:ind w:firstLine="600"/>
        <w:rPr>
          <w:rStyle w:val="86"/>
          <w:rFonts w:hint="eastAsia" w:ascii="宋体" w:hAnsi="宋体"/>
          <w:highlight w:val="none"/>
        </w:rPr>
      </w:pPr>
      <w:r>
        <w:rPr>
          <w:rStyle w:val="86"/>
          <w:rFonts w:hint="eastAsia" w:ascii="宋体" w:hAnsi="宋体"/>
          <w:highlight w:val="none"/>
        </w:rPr>
        <w:t>（一）质量。</w:t>
      </w:r>
    </w:p>
    <w:p w14:paraId="2E89FF3A">
      <w:pPr>
        <w:pStyle w:val="84"/>
        <w:spacing w:line="360" w:lineRule="auto"/>
        <w:ind w:firstLine="600"/>
        <w:rPr>
          <w:rStyle w:val="86"/>
          <w:rFonts w:hint="eastAsia" w:ascii="宋体" w:hAnsi="宋体"/>
          <w:highlight w:val="none"/>
        </w:rPr>
      </w:pPr>
      <w:r>
        <w:rPr>
          <w:rStyle w:val="86"/>
          <w:rFonts w:hint="eastAsia" w:ascii="宋体" w:hAnsi="宋体"/>
          <w:highlight w:val="none"/>
        </w:rPr>
        <w:t>（二）进度，包括里程碑进度计划（如果有）。</w:t>
      </w:r>
    </w:p>
    <w:p w14:paraId="1A1550FA">
      <w:pPr>
        <w:pStyle w:val="84"/>
        <w:spacing w:line="360" w:lineRule="auto"/>
        <w:ind w:firstLine="600"/>
        <w:rPr>
          <w:rStyle w:val="86"/>
          <w:rFonts w:hint="eastAsia" w:ascii="宋体" w:hAnsi="宋体"/>
          <w:highlight w:val="none"/>
        </w:rPr>
      </w:pPr>
      <w:r>
        <w:rPr>
          <w:rStyle w:val="86"/>
          <w:rFonts w:hint="eastAsia" w:ascii="宋体" w:hAnsi="宋体"/>
          <w:highlight w:val="none"/>
        </w:rPr>
        <w:t>（三）支付。</w:t>
      </w:r>
    </w:p>
    <w:p w14:paraId="4D3F2A8C">
      <w:pPr>
        <w:pStyle w:val="84"/>
        <w:spacing w:line="360" w:lineRule="auto"/>
        <w:ind w:firstLine="600"/>
        <w:rPr>
          <w:rStyle w:val="86"/>
          <w:rFonts w:hint="eastAsia" w:ascii="宋体" w:hAnsi="宋体"/>
          <w:highlight w:val="none"/>
        </w:rPr>
      </w:pPr>
      <w:r>
        <w:rPr>
          <w:rStyle w:val="86"/>
          <w:rFonts w:hint="eastAsia" w:ascii="宋体" w:hAnsi="宋体"/>
          <w:highlight w:val="none"/>
        </w:rPr>
        <w:t>（四）HSE（健康、安全与环境管理体系）。</w:t>
      </w:r>
    </w:p>
    <w:p w14:paraId="4AF8D0BF">
      <w:pPr>
        <w:pStyle w:val="84"/>
        <w:spacing w:line="360" w:lineRule="auto"/>
        <w:ind w:firstLine="600"/>
        <w:rPr>
          <w:rStyle w:val="86"/>
          <w:rFonts w:hint="eastAsia" w:ascii="宋体" w:hAnsi="宋体"/>
          <w:highlight w:val="none"/>
        </w:rPr>
      </w:pPr>
      <w:r>
        <w:rPr>
          <w:rStyle w:val="86"/>
          <w:rFonts w:hint="eastAsia" w:ascii="宋体" w:hAnsi="宋体"/>
          <w:highlight w:val="none"/>
        </w:rPr>
        <w:t>（五）沟通。</w:t>
      </w:r>
    </w:p>
    <w:p w14:paraId="5A5AE74A">
      <w:pPr>
        <w:pStyle w:val="84"/>
        <w:spacing w:line="360" w:lineRule="auto"/>
        <w:ind w:firstLine="600"/>
        <w:rPr>
          <w:rStyle w:val="86"/>
          <w:rFonts w:hint="eastAsia" w:ascii="宋体" w:hAnsi="宋体"/>
          <w:highlight w:val="none"/>
        </w:rPr>
      </w:pPr>
      <w:r>
        <w:rPr>
          <w:rStyle w:val="86"/>
          <w:rFonts w:hint="eastAsia" w:ascii="宋体" w:hAnsi="宋体"/>
          <w:highlight w:val="none"/>
        </w:rPr>
        <w:t>（六）变更。</w:t>
      </w:r>
    </w:p>
    <w:p w14:paraId="3AB85F56">
      <w:pPr>
        <w:pStyle w:val="84"/>
        <w:spacing w:line="360" w:lineRule="auto"/>
        <w:ind w:firstLine="600"/>
        <w:rPr>
          <w:rStyle w:val="86"/>
          <w:rFonts w:hint="eastAsia" w:ascii="宋体" w:hAnsi="宋体"/>
          <w:highlight w:val="none"/>
        </w:rPr>
      </w:pPr>
      <w:r>
        <w:rPr>
          <w:rStyle w:val="86"/>
          <w:rFonts w:hint="eastAsia" w:ascii="宋体" w:hAnsi="宋体"/>
          <w:highlight w:val="none"/>
        </w:rPr>
        <w:t>十一、其他要求</w:t>
      </w:r>
    </w:p>
    <w:p w14:paraId="13125B81">
      <w:pPr>
        <w:pStyle w:val="84"/>
        <w:spacing w:line="360" w:lineRule="auto"/>
        <w:ind w:firstLine="600"/>
        <w:rPr>
          <w:rStyle w:val="86"/>
          <w:rFonts w:hint="eastAsia" w:ascii="宋体" w:hAnsi="宋体"/>
          <w:highlight w:val="none"/>
        </w:rPr>
      </w:pPr>
      <w:r>
        <w:rPr>
          <w:rStyle w:val="86"/>
          <w:rFonts w:hint="eastAsia" w:ascii="宋体" w:hAnsi="宋体"/>
          <w:highlight w:val="none"/>
        </w:rPr>
        <w:t>（一）对承包人的主要人员资格要求。</w:t>
      </w:r>
    </w:p>
    <w:p w14:paraId="7532F7F7">
      <w:pPr>
        <w:pStyle w:val="84"/>
        <w:spacing w:line="360" w:lineRule="auto"/>
        <w:ind w:firstLine="600"/>
        <w:rPr>
          <w:rStyle w:val="86"/>
          <w:rFonts w:hint="eastAsia" w:ascii="宋体" w:hAnsi="宋体"/>
          <w:highlight w:val="none"/>
        </w:rPr>
      </w:pPr>
      <w:r>
        <w:rPr>
          <w:rStyle w:val="86"/>
          <w:rFonts w:hint="eastAsia" w:ascii="宋体" w:hAnsi="宋体"/>
          <w:highlight w:val="none"/>
        </w:rPr>
        <w:t>（二）相关审批、核准和备案手续的办理。</w:t>
      </w:r>
    </w:p>
    <w:p w14:paraId="49E33B97">
      <w:pPr>
        <w:pStyle w:val="84"/>
        <w:spacing w:line="360" w:lineRule="auto"/>
        <w:ind w:firstLine="600"/>
        <w:rPr>
          <w:rStyle w:val="86"/>
          <w:rFonts w:hint="eastAsia" w:ascii="宋体" w:hAnsi="宋体"/>
          <w:highlight w:val="none"/>
        </w:rPr>
      </w:pPr>
      <w:r>
        <w:rPr>
          <w:rStyle w:val="86"/>
          <w:rFonts w:hint="eastAsia" w:ascii="宋体" w:hAnsi="宋体"/>
          <w:highlight w:val="none"/>
        </w:rPr>
        <w:t>（三）对项目业主人员的操作培训。</w:t>
      </w:r>
    </w:p>
    <w:p w14:paraId="139AB60E">
      <w:pPr>
        <w:pStyle w:val="84"/>
        <w:spacing w:line="360" w:lineRule="auto"/>
        <w:ind w:firstLine="600"/>
        <w:rPr>
          <w:rStyle w:val="86"/>
          <w:rFonts w:hint="eastAsia" w:ascii="宋体" w:hAnsi="宋体"/>
          <w:highlight w:val="none"/>
        </w:rPr>
      </w:pPr>
      <w:r>
        <w:rPr>
          <w:rStyle w:val="86"/>
          <w:rFonts w:hint="eastAsia" w:ascii="宋体" w:hAnsi="宋体"/>
          <w:highlight w:val="none"/>
        </w:rPr>
        <w:t>（四）分包。</w:t>
      </w:r>
    </w:p>
    <w:p w14:paraId="23017173">
      <w:pPr>
        <w:pStyle w:val="84"/>
        <w:spacing w:line="360" w:lineRule="auto"/>
        <w:ind w:firstLine="600"/>
        <w:rPr>
          <w:rStyle w:val="86"/>
          <w:rFonts w:hint="eastAsia" w:ascii="宋体" w:hAnsi="宋体"/>
          <w:highlight w:val="none"/>
        </w:rPr>
      </w:pPr>
      <w:r>
        <w:rPr>
          <w:rStyle w:val="86"/>
          <w:rFonts w:hint="eastAsia" w:ascii="宋体" w:hAnsi="宋体"/>
          <w:highlight w:val="none"/>
        </w:rPr>
        <w:t>（五）设备供应商。</w:t>
      </w:r>
    </w:p>
    <w:p w14:paraId="5E0F965A">
      <w:pPr>
        <w:pStyle w:val="84"/>
        <w:spacing w:line="360" w:lineRule="auto"/>
        <w:ind w:left="600"/>
        <w:rPr>
          <w:rStyle w:val="86"/>
          <w:rFonts w:hint="eastAsia" w:ascii="宋体" w:hAnsi="宋体"/>
          <w:highlight w:val="none"/>
        </w:rPr>
      </w:pPr>
      <w:r>
        <w:rPr>
          <w:rStyle w:val="86"/>
          <w:rFonts w:hint="eastAsia" w:ascii="宋体" w:hAnsi="宋体"/>
          <w:highlight w:val="none"/>
        </w:rPr>
        <w:t>（六）缺陷责任期的服务要求。</w:t>
      </w:r>
    </w:p>
    <w:p w14:paraId="081E9D77">
      <w:pPr>
        <w:pStyle w:val="84"/>
        <w:spacing w:line="360" w:lineRule="auto"/>
        <w:jc w:val="left"/>
        <w:rPr>
          <w:rStyle w:val="86"/>
          <w:rFonts w:hint="eastAsia"/>
          <w:highlight w:val="none"/>
        </w:rPr>
      </w:pPr>
      <w:r>
        <w:rPr>
          <w:rStyle w:val="86"/>
          <w:highlight w:val="none"/>
        </w:rPr>
        <w:t xml:space="preserve"> </w:t>
      </w:r>
    </w:p>
    <w:p w14:paraId="04869CC6">
      <w:pPr>
        <w:pStyle w:val="84"/>
        <w:spacing w:line="360" w:lineRule="auto"/>
        <w:jc w:val="left"/>
        <w:rPr>
          <w:rStyle w:val="86"/>
          <w:highlight w:val="none"/>
        </w:rPr>
      </w:pPr>
      <w:r>
        <w:rPr>
          <w:rStyle w:val="86"/>
          <w:highlight w:val="none"/>
        </w:rPr>
        <w:t xml:space="preserve"> </w:t>
      </w:r>
    </w:p>
    <w:p w14:paraId="4E16BAD4">
      <w:pPr>
        <w:pStyle w:val="84"/>
        <w:spacing w:line="360" w:lineRule="auto"/>
        <w:jc w:val="left"/>
        <w:rPr>
          <w:rStyle w:val="86"/>
          <w:highlight w:val="none"/>
        </w:rPr>
      </w:pPr>
      <w:r>
        <w:rPr>
          <w:rStyle w:val="86"/>
          <w:highlight w:val="none"/>
        </w:rPr>
        <w:t xml:space="preserve"> </w:t>
      </w:r>
    </w:p>
    <w:p w14:paraId="5F8CB2B2">
      <w:pPr>
        <w:pStyle w:val="84"/>
        <w:keepNext/>
        <w:keepLines/>
        <w:spacing w:before="260" w:after="260" w:line="360" w:lineRule="auto"/>
        <w:jc w:val="center"/>
        <w:outlineLvl w:val="1"/>
        <w:rPr>
          <w:rStyle w:val="86"/>
          <w:rFonts w:ascii="宋体" w:hAnsi="宋体"/>
          <w:b/>
          <w:bCs/>
          <w:sz w:val="28"/>
          <w:szCs w:val="28"/>
          <w:highlight w:val="none"/>
        </w:rPr>
      </w:pPr>
      <w:r>
        <w:rPr>
          <w:rStyle w:val="86"/>
          <w:rFonts w:hint="eastAsia" w:ascii="宋体" w:hAnsi="宋体"/>
          <w:b/>
          <w:bCs/>
          <w:sz w:val="28"/>
          <w:szCs w:val="28"/>
          <w:highlight w:val="none"/>
        </w:rPr>
        <w:br w:type="page"/>
      </w:r>
      <w:r>
        <w:rPr>
          <w:rStyle w:val="86"/>
          <w:rFonts w:hint="eastAsia" w:ascii="宋体" w:hAnsi="宋体"/>
          <w:b/>
          <w:bCs/>
          <w:sz w:val="28"/>
          <w:szCs w:val="28"/>
          <w:highlight w:val="none"/>
        </w:rPr>
        <w:t>附件2 发包人供应材料设备一览表</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2F1548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52" w:type="dxa"/>
            <w:tcBorders>
              <w:top w:val="single" w:color="auto" w:sz="12" w:space="0"/>
              <w:left w:val="single" w:color="auto" w:sz="12" w:space="0"/>
              <w:bottom w:val="double" w:color="auto" w:sz="2" w:space="0"/>
              <w:right w:val="single" w:color="auto" w:sz="6" w:space="0"/>
            </w:tcBorders>
            <w:noWrap w:val="0"/>
            <w:vAlign w:val="center"/>
          </w:tcPr>
          <w:p w14:paraId="1006F05B">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序号</w:t>
            </w:r>
          </w:p>
        </w:tc>
        <w:tc>
          <w:tcPr>
            <w:tcW w:w="1165" w:type="dxa"/>
            <w:tcBorders>
              <w:top w:val="single" w:color="auto" w:sz="12" w:space="0"/>
              <w:left w:val="single" w:color="auto" w:sz="6" w:space="0"/>
              <w:bottom w:val="double" w:color="auto" w:sz="2" w:space="0"/>
              <w:right w:val="single" w:color="auto" w:sz="6" w:space="0"/>
            </w:tcBorders>
            <w:noWrap w:val="0"/>
            <w:vAlign w:val="center"/>
          </w:tcPr>
          <w:p w14:paraId="5D64EB46">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材料、设备品种</w:t>
            </w:r>
          </w:p>
        </w:tc>
        <w:tc>
          <w:tcPr>
            <w:tcW w:w="1126" w:type="dxa"/>
            <w:tcBorders>
              <w:top w:val="single" w:color="auto" w:sz="12" w:space="0"/>
              <w:left w:val="single" w:color="auto" w:sz="6" w:space="0"/>
              <w:bottom w:val="double" w:color="auto" w:sz="2" w:space="0"/>
              <w:right w:val="single" w:color="auto" w:sz="6" w:space="0"/>
            </w:tcBorders>
            <w:noWrap w:val="0"/>
            <w:vAlign w:val="center"/>
          </w:tcPr>
          <w:p w14:paraId="02FE73E8">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规格型号</w:t>
            </w:r>
          </w:p>
        </w:tc>
        <w:tc>
          <w:tcPr>
            <w:tcW w:w="567" w:type="dxa"/>
            <w:tcBorders>
              <w:top w:val="single" w:color="auto" w:sz="12" w:space="0"/>
              <w:left w:val="single" w:color="auto" w:sz="6" w:space="0"/>
              <w:bottom w:val="double" w:color="auto" w:sz="2" w:space="0"/>
              <w:right w:val="single" w:color="auto" w:sz="6" w:space="0"/>
            </w:tcBorders>
            <w:noWrap w:val="0"/>
            <w:vAlign w:val="center"/>
          </w:tcPr>
          <w:p w14:paraId="2C932BB3">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单位</w:t>
            </w:r>
          </w:p>
        </w:tc>
        <w:tc>
          <w:tcPr>
            <w:tcW w:w="686" w:type="dxa"/>
            <w:tcBorders>
              <w:top w:val="single" w:color="auto" w:sz="12" w:space="0"/>
              <w:left w:val="single" w:color="auto" w:sz="6" w:space="0"/>
              <w:bottom w:val="double" w:color="auto" w:sz="2" w:space="0"/>
              <w:right w:val="single" w:color="auto" w:sz="6" w:space="0"/>
            </w:tcBorders>
            <w:noWrap w:val="0"/>
            <w:vAlign w:val="center"/>
          </w:tcPr>
          <w:p w14:paraId="2A4D5BA1">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数量</w:t>
            </w:r>
          </w:p>
        </w:tc>
        <w:tc>
          <w:tcPr>
            <w:tcW w:w="992" w:type="dxa"/>
            <w:tcBorders>
              <w:top w:val="single" w:color="auto" w:sz="12" w:space="0"/>
              <w:left w:val="single" w:color="auto" w:sz="6" w:space="0"/>
              <w:bottom w:val="double" w:color="auto" w:sz="2" w:space="0"/>
              <w:right w:val="single" w:color="auto" w:sz="6" w:space="0"/>
            </w:tcBorders>
            <w:noWrap w:val="0"/>
            <w:vAlign w:val="center"/>
          </w:tcPr>
          <w:p w14:paraId="6CAC658E">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单价（元）</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56FD4E7E">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质量等级</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296C04E1">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供应时间</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45D6934C">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送达地点</w:t>
            </w:r>
          </w:p>
        </w:tc>
        <w:tc>
          <w:tcPr>
            <w:tcW w:w="709" w:type="dxa"/>
            <w:tcBorders>
              <w:top w:val="single" w:color="auto" w:sz="12" w:space="0"/>
              <w:left w:val="single" w:color="auto" w:sz="6" w:space="0"/>
              <w:bottom w:val="double" w:color="auto" w:sz="2" w:space="0"/>
              <w:right w:val="single" w:color="auto" w:sz="12" w:space="0"/>
            </w:tcBorders>
            <w:noWrap w:val="0"/>
            <w:vAlign w:val="center"/>
          </w:tcPr>
          <w:p w14:paraId="6E6F0063">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备注</w:t>
            </w:r>
          </w:p>
        </w:tc>
      </w:tr>
      <w:tr w14:paraId="488F58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double" w:color="auto" w:sz="2" w:space="0"/>
              <w:left w:val="single" w:color="auto" w:sz="12" w:space="0"/>
              <w:bottom w:val="single" w:color="auto" w:sz="6" w:space="0"/>
              <w:right w:val="single" w:color="auto" w:sz="6" w:space="0"/>
            </w:tcBorders>
            <w:noWrap w:val="0"/>
            <w:vAlign w:val="center"/>
          </w:tcPr>
          <w:p w14:paraId="0B891609">
            <w:pPr>
              <w:pStyle w:val="84"/>
              <w:spacing w:after="120" w:line="360" w:lineRule="auto"/>
              <w:rPr>
                <w:rStyle w:val="86"/>
                <w:rFonts w:ascii="仿宋_GB2312" w:eastAsia="仿宋_GB2312"/>
                <w:highlight w:val="none"/>
              </w:rPr>
            </w:pPr>
          </w:p>
        </w:tc>
        <w:tc>
          <w:tcPr>
            <w:tcW w:w="1165" w:type="dxa"/>
            <w:tcBorders>
              <w:top w:val="double" w:color="auto" w:sz="2" w:space="0"/>
              <w:left w:val="single" w:color="auto" w:sz="6" w:space="0"/>
              <w:bottom w:val="single" w:color="auto" w:sz="6" w:space="0"/>
              <w:right w:val="single" w:color="auto" w:sz="6" w:space="0"/>
            </w:tcBorders>
            <w:noWrap w:val="0"/>
            <w:vAlign w:val="center"/>
          </w:tcPr>
          <w:p w14:paraId="738D4770">
            <w:pPr>
              <w:pStyle w:val="84"/>
              <w:spacing w:after="120" w:line="360" w:lineRule="auto"/>
              <w:rPr>
                <w:rStyle w:val="86"/>
                <w:rFonts w:ascii="仿宋_GB2312" w:eastAsia="仿宋_GB2312"/>
                <w:highlight w:val="none"/>
              </w:rPr>
            </w:pPr>
          </w:p>
        </w:tc>
        <w:tc>
          <w:tcPr>
            <w:tcW w:w="1126" w:type="dxa"/>
            <w:tcBorders>
              <w:top w:val="double" w:color="auto" w:sz="2" w:space="0"/>
              <w:left w:val="single" w:color="auto" w:sz="6" w:space="0"/>
              <w:bottom w:val="single" w:color="auto" w:sz="6" w:space="0"/>
              <w:right w:val="single" w:color="auto" w:sz="6" w:space="0"/>
            </w:tcBorders>
            <w:noWrap w:val="0"/>
            <w:vAlign w:val="center"/>
          </w:tcPr>
          <w:p w14:paraId="1D888FB2">
            <w:pPr>
              <w:pStyle w:val="84"/>
              <w:spacing w:after="120" w:line="360" w:lineRule="auto"/>
              <w:rPr>
                <w:rStyle w:val="86"/>
                <w:rFonts w:ascii="仿宋_GB2312" w:eastAsia="仿宋_GB2312"/>
                <w:highlight w:val="none"/>
              </w:rPr>
            </w:pPr>
          </w:p>
        </w:tc>
        <w:tc>
          <w:tcPr>
            <w:tcW w:w="567" w:type="dxa"/>
            <w:tcBorders>
              <w:top w:val="double" w:color="auto" w:sz="2" w:space="0"/>
              <w:left w:val="single" w:color="auto" w:sz="6" w:space="0"/>
              <w:bottom w:val="single" w:color="auto" w:sz="6" w:space="0"/>
              <w:right w:val="single" w:color="auto" w:sz="6" w:space="0"/>
            </w:tcBorders>
            <w:noWrap w:val="0"/>
            <w:vAlign w:val="center"/>
          </w:tcPr>
          <w:p w14:paraId="7E6EF7A0">
            <w:pPr>
              <w:pStyle w:val="84"/>
              <w:spacing w:after="120" w:line="360" w:lineRule="auto"/>
              <w:rPr>
                <w:rStyle w:val="86"/>
                <w:rFonts w:ascii="仿宋_GB2312" w:eastAsia="仿宋_GB2312"/>
                <w:highlight w:val="none"/>
              </w:rPr>
            </w:pPr>
          </w:p>
        </w:tc>
        <w:tc>
          <w:tcPr>
            <w:tcW w:w="686" w:type="dxa"/>
            <w:tcBorders>
              <w:top w:val="double" w:color="auto" w:sz="2" w:space="0"/>
              <w:left w:val="single" w:color="auto" w:sz="6" w:space="0"/>
              <w:bottom w:val="single" w:color="auto" w:sz="6" w:space="0"/>
              <w:right w:val="single" w:color="auto" w:sz="6" w:space="0"/>
            </w:tcBorders>
            <w:noWrap w:val="0"/>
            <w:vAlign w:val="center"/>
          </w:tcPr>
          <w:p w14:paraId="7782B6CB">
            <w:pPr>
              <w:pStyle w:val="84"/>
              <w:spacing w:after="120" w:line="360" w:lineRule="auto"/>
              <w:rPr>
                <w:rStyle w:val="86"/>
                <w:rFonts w:ascii="仿宋_GB2312" w:eastAsia="仿宋_GB2312"/>
                <w:highlight w:val="none"/>
              </w:rPr>
            </w:pPr>
          </w:p>
        </w:tc>
        <w:tc>
          <w:tcPr>
            <w:tcW w:w="992" w:type="dxa"/>
            <w:tcBorders>
              <w:top w:val="double" w:color="auto" w:sz="2" w:space="0"/>
              <w:left w:val="single" w:color="auto" w:sz="6" w:space="0"/>
              <w:bottom w:val="single" w:color="auto" w:sz="6" w:space="0"/>
              <w:right w:val="single" w:color="auto" w:sz="6" w:space="0"/>
            </w:tcBorders>
            <w:noWrap w:val="0"/>
            <w:vAlign w:val="top"/>
          </w:tcPr>
          <w:p w14:paraId="65751493">
            <w:pPr>
              <w:pStyle w:val="84"/>
              <w:spacing w:after="120" w:line="360" w:lineRule="auto"/>
              <w:rPr>
                <w:rStyle w:val="86"/>
                <w:rFonts w:ascii="仿宋_GB2312" w:eastAsia="仿宋_GB2312"/>
                <w:highlight w:val="none"/>
              </w:rPr>
            </w:pPr>
          </w:p>
        </w:tc>
        <w:tc>
          <w:tcPr>
            <w:tcW w:w="1134" w:type="dxa"/>
            <w:tcBorders>
              <w:top w:val="double" w:color="auto" w:sz="2" w:space="0"/>
              <w:left w:val="single" w:color="auto" w:sz="6" w:space="0"/>
              <w:bottom w:val="single" w:color="auto" w:sz="6" w:space="0"/>
              <w:right w:val="single" w:color="auto" w:sz="6" w:space="0"/>
            </w:tcBorders>
            <w:noWrap w:val="0"/>
            <w:vAlign w:val="center"/>
          </w:tcPr>
          <w:p w14:paraId="264EB55F">
            <w:pPr>
              <w:pStyle w:val="84"/>
              <w:spacing w:after="120" w:line="360" w:lineRule="auto"/>
              <w:rPr>
                <w:rStyle w:val="86"/>
                <w:rFonts w:ascii="仿宋_GB2312" w:eastAsia="仿宋_GB2312"/>
                <w:highlight w:val="none"/>
              </w:rPr>
            </w:pPr>
          </w:p>
        </w:tc>
        <w:tc>
          <w:tcPr>
            <w:tcW w:w="1134" w:type="dxa"/>
            <w:tcBorders>
              <w:top w:val="double" w:color="auto" w:sz="2" w:space="0"/>
              <w:left w:val="single" w:color="auto" w:sz="6" w:space="0"/>
              <w:bottom w:val="single" w:color="auto" w:sz="6" w:space="0"/>
              <w:right w:val="single" w:color="auto" w:sz="6" w:space="0"/>
            </w:tcBorders>
            <w:noWrap w:val="0"/>
            <w:vAlign w:val="center"/>
          </w:tcPr>
          <w:p w14:paraId="5B888A39">
            <w:pPr>
              <w:pStyle w:val="84"/>
              <w:spacing w:after="120" w:line="360" w:lineRule="auto"/>
              <w:rPr>
                <w:rStyle w:val="86"/>
                <w:rFonts w:ascii="仿宋_GB2312" w:eastAsia="仿宋_GB2312"/>
                <w:highlight w:val="none"/>
              </w:rPr>
            </w:pPr>
          </w:p>
        </w:tc>
        <w:tc>
          <w:tcPr>
            <w:tcW w:w="1134" w:type="dxa"/>
            <w:tcBorders>
              <w:top w:val="double" w:color="auto" w:sz="2" w:space="0"/>
              <w:left w:val="single" w:color="auto" w:sz="6" w:space="0"/>
              <w:bottom w:val="single" w:color="auto" w:sz="6" w:space="0"/>
              <w:right w:val="single" w:color="auto" w:sz="6" w:space="0"/>
            </w:tcBorders>
            <w:noWrap w:val="0"/>
            <w:vAlign w:val="center"/>
          </w:tcPr>
          <w:p w14:paraId="2DB9EE3D">
            <w:pPr>
              <w:pStyle w:val="84"/>
              <w:spacing w:after="120" w:line="360" w:lineRule="auto"/>
              <w:rPr>
                <w:rStyle w:val="86"/>
                <w:rFonts w:ascii="仿宋_GB2312" w:eastAsia="仿宋_GB2312"/>
                <w:highlight w:val="none"/>
              </w:rPr>
            </w:pPr>
          </w:p>
        </w:tc>
        <w:tc>
          <w:tcPr>
            <w:tcW w:w="709" w:type="dxa"/>
            <w:tcBorders>
              <w:top w:val="double" w:color="auto" w:sz="2" w:space="0"/>
              <w:left w:val="single" w:color="auto" w:sz="6" w:space="0"/>
              <w:bottom w:val="single" w:color="auto" w:sz="6" w:space="0"/>
              <w:right w:val="single" w:color="auto" w:sz="12" w:space="0"/>
            </w:tcBorders>
            <w:noWrap w:val="0"/>
            <w:vAlign w:val="center"/>
          </w:tcPr>
          <w:p w14:paraId="5CA6C217">
            <w:pPr>
              <w:pStyle w:val="84"/>
              <w:spacing w:after="120" w:line="360" w:lineRule="auto"/>
              <w:rPr>
                <w:rStyle w:val="86"/>
                <w:rFonts w:ascii="仿宋_GB2312" w:eastAsia="仿宋_GB2312"/>
                <w:highlight w:val="none"/>
              </w:rPr>
            </w:pPr>
          </w:p>
        </w:tc>
      </w:tr>
      <w:tr w14:paraId="7B8A91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nil"/>
              <w:left w:val="single" w:color="auto" w:sz="12" w:space="0"/>
              <w:bottom w:val="single" w:color="auto" w:sz="6" w:space="0"/>
              <w:right w:val="single" w:color="auto" w:sz="6" w:space="0"/>
            </w:tcBorders>
            <w:noWrap w:val="0"/>
            <w:vAlign w:val="center"/>
          </w:tcPr>
          <w:p w14:paraId="533991AD">
            <w:pPr>
              <w:pStyle w:val="84"/>
              <w:spacing w:after="120" w:line="360" w:lineRule="auto"/>
              <w:rPr>
                <w:rStyle w:val="86"/>
                <w:rFonts w:ascii="仿宋_GB2312" w:eastAsia="仿宋_GB2312"/>
                <w:highlight w:val="none"/>
              </w:rPr>
            </w:pPr>
          </w:p>
        </w:tc>
        <w:tc>
          <w:tcPr>
            <w:tcW w:w="1165" w:type="dxa"/>
            <w:tcBorders>
              <w:top w:val="nil"/>
              <w:left w:val="single" w:color="auto" w:sz="6" w:space="0"/>
              <w:bottom w:val="single" w:color="auto" w:sz="6" w:space="0"/>
              <w:right w:val="single" w:color="auto" w:sz="6" w:space="0"/>
            </w:tcBorders>
            <w:noWrap w:val="0"/>
            <w:vAlign w:val="center"/>
          </w:tcPr>
          <w:p w14:paraId="1D19A88A">
            <w:pPr>
              <w:pStyle w:val="84"/>
              <w:spacing w:after="120" w:line="360" w:lineRule="auto"/>
              <w:rPr>
                <w:rStyle w:val="86"/>
                <w:rFonts w:ascii="仿宋_GB2312" w:eastAsia="仿宋_GB2312"/>
                <w:highlight w:val="none"/>
              </w:rPr>
            </w:pPr>
          </w:p>
        </w:tc>
        <w:tc>
          <w:tcPr>
            <w:tcW w:w="1126" w:type="dxa"/>
            <w:tcBorders>
              <w:top w:val="nil"/>
              <w:left w:val="single" w:color="auto" w:sz="6" w:space="0"/>
              <w:bottom w:val="single" w:color="auto" w:sz="6" w:space="0"/>
              <w:right w:val="single" w:color="auto" w:sz="6" w:space="0"/>
            </w:tcBorders>
            <w:noWrap w:val="0"/>
            <w:vAlign w:val="center"/>
          </w:tcPr>
          <w:p w14:paraId="465D349D">
            <w:pPr>
              <w:pStyle w:val="84"/>
              <w:spacing w:after="120" w:line="360" w:lineRule="auto"/>
              <w:rPr>
                <w:rStyle w:val="86"/>
                <w:rFonts w:ascii="仿宋_GB2312" w:eastAsia="仿宋_GB2312"/>
                <w:highlight w:val="none"/>
              </w:rPr>
            </w:pPr>
          </w:p>
        </w:tc>
        <w:tc>
          <w:tcPr>
            <w:tcW w:w="567" w:type="dxa"/>
            <w:tcBorders>
              <w:top w:val="nil"/>
              <w:left w:val="single" w:color="auto" w:sz="6" w:space="0"/>
              <w:bottom w:val="single" w:color="auto" w:sz="6" w:space="0"/>
              <w:right w:val="single" w:color="auto" w:sz="6" w:space="0"/>
            </w:tcBorders>
            <w:noWrap w:val="0"/>
            <w:vAlign w:val="center"/>
          </w:tcPr>
          <w:p w14:paraId="191DFA39">
            <w:pPr>
              <w:pStyle w:val="84"/>
              <w:spacing w:after="120" w:line="360" w:lineRule="auto"/>
              <w:rPr>
                <w:rStyle w:val="86"/>
                <w:rFonts w:ascii="仿宋_GB2312" w:eastAsia="仿宋_GB2312"/>
                <w:highlight w:val="none"/>
              </w:rPr>
            </w:pPr>
          </w:p>
        </w:tc>
        <w:tc>
          <w:tcPr>
            <w:tcW w:w="686" w:type="dxa"/>
            <w:tcBorders>
              <w:top w:val="nil"/>
              <w:left w:val="single" w:color="auto" w:sz="6" w:space="0"/>
              <w:bottom w:val="single" w:color="auto" w:sz="6" w:space="0"/>
              <w:right w:val="single" w:color="auto" w:sz="6" w:space="0"/>
            </w:tcBorders>
            <w:noWrap w:val="0"/>
            <w:vAlign w:val="center"/>
          </w:tcPr>
          <w:p w14:paraId="3EE22511">
            <w:pPr>
              <w:pStyle w:val="84"/>
              <w:spacing w:after="120" w:line="360" w:lineRule="auto"/>
              <w:rPr>
                <w:rStyle w:val="86"/>
                <w:rFonts w:ascii="仿宋_GB2312" w:eastAsia="仿宋_GB2312"/>
                <w:highlight w:val="none"/>
              </w:rPr>
            </w:pPr>
          </w:p>
        </w:tc>
        <w:tc>
          <w:tcPr>
            <w:tcW w:w="992" w:type="dxa"/>
            <w:tcBorders>
              <w:top w:val="nil"/>
              <w:left w:val="single" w:color="auto" w:sz="6" w:space="0"/>
              <w:bottom w:val="single" w:color="auto" w:sz="6" w:space="0"/>
              <w:right w:val="single" w:color="auto" w:sz="6" w:space="0"/>
            </w:tcBorders>
            <w:noWrap w:val="0"/>
            <w:vAlign w:val="top"/>
          </w:tcPr>
          <w:p w14:paraId="07683C28">
            <w:pPr>
              <w:pStyle w:val="84"/>
              <w:spacing w:after="120" w:line="360" w:lineRule="auto"/>
              <w:rPr>
                <w:rStyle w:val="86"/>
                <w:rFonts w:ascii="仿宋_GB2312" w:eastAsia="仿宋_GB2312"/>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425ADA5B">
            <w:pPr>
              <w:pStyle w:val="84"/>
              <w:spacing w:after="120" w:line="360" w:lineRule="auto"/>
              <w:rPr>
                <w:rStyle w:val="86"/>
                <w:rFonts w:ascii="仿宋_GB2312" w:eastAsia="仿宋_GB2312"/>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61F43A11">
            <w:pPr>
              <w:pStyle w:val="84"/>
              <w:spacing w:after="120" w:line="360" w:lineRule="auto"/>
              <w:rPr>
                <w:rStyle w:val="86"/>
                <w:rFonts w:ascii="仿宋_GB2312" w:eastAsia="仿宋_GB2312"/>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3A1F4C33">
            <w:pPr>
              <w:pStyle w:val="84"/>
              <w:spacing w:after="120" w:line="360" w:lineRule="auto"/>
              <w:rPr>
                <w:rStyle w:val="86"/>
                <w:rFonts w:ascii="仿宋_GB2312" w:eastAsia="仿宋_GB2312"/>
                <w:highlight w:val="none"/>
              </w:rPr>
            </w:pPr>
          </w:p>
        </w:tc>
        <w:tc>
          <w:tcPr>
            <w:tcW w:w="709" w:type="dxa"/>
            <w:tcBorders>
              <w:top w:val="nil"/>
              <w:left w:val="single" w:color="auto" w:sz="6" w:space="0"/>
              <w:bottom w:val="single" w:color="auto" w:sz="6" w:space="0"/>
              <w:right w:val="single" w:color="auto" w:sz="12" w:space="0"/>
            </w:tcBorders>
            <w:noWrap w:val="0"/>
            <w:vAlign w:val="center"/>
          </w:tcPr>
          <w:p w14:paraId="6E3F1EC7">
            <w:pPr>
              <w:pStyle w:val="84"/>
              <w:spacing w:after="120" w:line="360" w:lineRule="auto"/>
              <w:rPr>
                <w:rStyle w:val="86"/>
                <w:rFonts w:ascii="仿宋_GB2312" w:eastAsia="仿宋_GB2312"/>
                <w:highlight w:val="none"/>
              </w:rPr>
            </w:pPr>
          </w:p>
        </w:tc>
      </w:tr>
      <w:tr w14:paraId="50346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766590E9">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64294EFB">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7B1741CA">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581BABA9">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4F917BB6">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71962145">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921AF6A">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1BF421B">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D8616AF">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164FE64A">
            <w:pPr>
              <w:pStyle w:val="84"/>
              <w:spacing w:after="120" w:line="360" w:lineRule="auto"/>
              <w:rPr>
                <w:rStyle w:val="86"/>
                <w:rFonts w:ascii="仿宋_GB2312" w:eastAsia="仿宋_GB2312"/>
                <w:highlight w:val="none"/>
              </w:rPr>
            </w:pPr>
          </w:p>
        </w:tc>
      </w:tr>
      <w:tr w14:paraId="736555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69C2432B">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5C559FC8">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6BB840A9">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A06EBDB">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0A664523">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43611424">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17A388E">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EE54C65">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186FE33">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2C8F1B30">
            <w:pPr>
              <w:pStyle w:val="84"/>
              <w:spacing w:after="120" w:line="360" w:lineRule="auto"/>
              <w:rPr>
                <w:rStyle w:val="86"/>
                <w:rFonts w:ascii="仿宋_GB2312" w:eastAsia="仿宋_GB2312"/>
                <w:highlight w:val="none"/>
              </w:rPr>
            </w:pPr>
          </w:p>
        </w:tc>
      </w:tr>
      <w:tr w14:paraId="552DD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1174EE5D">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422E61A6">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6E79B023">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9E9051D">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659449D5">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4C5708FB">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D57F0C3">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C18DD71">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6354F4E">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5F482182">
            <w:pPr>
              <w:pStyle w:val="84"/>
              <w:spacing w:after="120" w:line="360" w:lineRule="auto"/>
              <w:rPr>
                <w:rStyle w:val="86"/>
                <w:rFonts w:ascii="仿宋_GB2312" w:eastAsia="仿宋_GB2312"/>
                <w:highlight w:val="none"/>
              </w:rPr>
            </w:pPr>
          </w:p>
        </w:tc>
      </w:tr>
      <w:tr w14:paraId="3403B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33D8514E">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2B755958">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775EEF15">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EDE98AF">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583F4329">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29033DAE">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CDDF64F">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175512F">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A09B5C8">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159CFC41">
            <w:pPr>
              <w:pStyle w:val="84"/>
              <w:spacing w:after="120" w:line="360" w:lineRule="auto"/>
              <w:rPr>
                <w:rStyle w:val="86"/>
                <w:rFonts w:ascii="仿宋_GB2312" w:eastAsia="仿宋_GB2312"/>
                <w:highlight w:val="none"/>
              </w:rPr>
            </w:pPr>
          </w:p>
        </w:tc>
      </w:tr>
      <w:tr w14:paraId="13906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1F8D7C7C">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101AFEE1">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56C4A31A">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8DCFC62">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6D3D0CBC">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0A3517E1">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D51D0F5">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2985E46">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D99DED4">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7E8BD1C7">
            <w:pPr>
              <w:pStyle w:val="84"/>
              <w:spacing w:after="120" w:line="360" w:lineRule="auto"/>
              <w:rPr>
                <w:rStyle w:val="86"/>
                <w:rFonts w:ascii="仿宋_GB2312" w:eastAsia="仿宋_GB2312"/>
                <w:highlight w:val="none"/>
              </w:rPr>
            </w:pPr>
          </w:p>
        </w:tc>
      </w:tr>
      <w:tr w14:paraId="241E3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334629E2">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274B40E7">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1A7DD1F2">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9CE7CF3">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07395F44">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4B0766E6">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6119C18">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CF713C2">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F5077DF">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6603A9B3">
            <w:pPr>
              <w:pStyle w:val="84"/>
              <w:spacing w:after="120" w:line="360" w:lineRule="auto"/>
              <w:rPr>
                <w:rStyle w:val="86"/>
                <w:rFonts w:ascii="仿宋_GB2312" w:eastAsia="仿宋_GB2312"/>
                <w:highlight w:val="none"/>
              </w:rPr>
            </w:pPr>
          </w:p>
        </w:tc>
      </w:tr>
      <w:tr w14:paraId="6E4D7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2372C6B5">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72BFAADD">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7A1F7164">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48B5F13">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6ED0E3FE">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3A2B893A">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E889CFB">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B321009">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0405626">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435F6C83">
            <w:pPr>
              <w:pStyle w:val="84"/>
              <w:spacing w:line="360" w:lineRule="auto"/>
              <w:rPr>
                <w:rStyle w:val="86"/>
                <w:rFonts w:ascii="仿宋_GB2312" w:eastAsia="仿宋_GB2312"/>
                <w:highlight w:val="none"/>
              </w:rPr>
            </w:pPr>
          </w:p>
        </w:tc>
      </w:tr>
      <w:tr w14:paraId="1076E8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3BD4BD40">
            <w:pPr>
              <w:pStyle w:val="84"/>
              <w:spacing w:after="120"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18DC8D85">
            <w:pPr>
              <w:pStyle w:val="84"/>
              <w:spacing w:after="120"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25C9FB83">
            <w:pPr>
              <w:pStyle w:val="84"/>
              <w:spacing w:after="120"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65FB57CA">
            <w:pPr>
              <w:pStyle w:val="84"/>
              <w:spacing w:after="120"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2E1B5B51">
            <w:pPr>
              <w:pStyle w:val="84"/>
              <w:spacing w:after="120"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5D3D2390">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5C0FA58">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A3483BB">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8657739">
            <w:pPr>
              <w:pStyle w:val="84"/>
              <w:spacing w:after="120"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47359060">
            <w:pPr>
              <w:pStyle w:val="84"/>
              <w:spacing w:after="120" w:line="360" w:lineRule="auto"/>
              <w:rPr>
                <w:rStyle w:val="86"/>
                <w:rFonts w:ascii="仿宋_GB2312" w:eastAsia="仿宋_GB2312"/>
                <w:highlight w:val="none"/>
              </w:rPr>
            </w:pPr>
          </w:p>
        </w:tc>
      </w:tr>
      <w:tr w14:paraId="4AA04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23528C35">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111870F1">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688CFE62">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1BEDD47D">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3C1FDF38">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34B065E0">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ABBF961">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6795039">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EC57B34">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00266E8C">
            <w:pPr>
              <w:pStyle w:val="84"/>
              <w:spacing w:line="360" w:lineRule="auto"/>
              <w:rPr>
                <w:rStyle w:val="86"/>
                <w:rFonts w:ascii="仿宋_GB2312" w:eastAsia="仿宋_GB2312"/>
                <w:highlight w:val="none"/>
              </w:rPr>
            </w:pPr>
          </w:p>
        </w:tc>
      </w:tr>
      <w:tr w14:paraId="60E11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12252171">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03ADD008">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0929F40A">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01719720">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3F9CE4E5">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5E07221C">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726F17E">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FD4736E">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0855097">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4B56C10C">
            <w:pPr>
              <w:pStyle w:val="84"/>
              <w:spacing w:line="360" w:lineRule="auto"/>
              <w:rPr>
                <w:rStyle w:val="86"/>
                <w:rFonts w:ascii="仿宋_GB2312" w:eastAsia="仿宋_GB2312"/>
                <w:highlight w:val="none"/>
              </w:rPr>
            </w:pPr>
          </w:p>
        </w:tc>
      </w:tr>
      <w:tr w14:paraId="08BFC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26A98AC2">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1EDAA1BA">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03D25A06">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0BBCA903">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5AA2AC93">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38E04E5E">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CCE496B">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147BDBC">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09E5C1D">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610D1C11">
            <w:pPr>
              <w:pStyle w:val="84"/>
              <w:spacing w:line="360" w:lineRule="auto"/>
              <w:rPr>
                <w:rStyle w:val="86"/>
                <w:rFonts w:ascii="仿宋_GB2312" w:eastAsia="仿宋_GB2312"/>
                <w:highlight w:val="none"/>
              </w:rPr>
            </w:pPr>
          </w:p>
        </w:tc>
      </w:tr>
      <w:tr w14:paraId="53295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1891529B">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387F0318">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7DB8B7AD">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6DD0CC8B">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40600E1C">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787A02F2">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873A165">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6B592B8">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E87C4A8">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5A8F6DCA">
            <w:pPr>
              <w:pStyle w:val="84"/>
              <w:spacing w:line="360" w:lineRule="auto"/>
              <w:rPr>
                <w:rStyle w:val="86"/>
                <w:rFonts w:ascii="仿宋_GB2312" w:eastAsia="仿宋_GB2312"/>
                <w:highlight w:val="none"/>
              </w:rPr>
            </w:pPr>
          </w:p>
        </w:tc>
      </w:tr>
      <w:tr w14:paraId="16733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155FA995">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0F4E6F7B">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2FC94253">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5870A826">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499C8615">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0ECEAE59">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62135C6">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47B7265">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D2E73EF">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62E41127">
            <w:pPr>
              <w:pStyle w:val="84"/>
              <w:spacing w:line="360" w:lineRule="auto"/>
              <w:rPr>
                <w:rStyle w:val="86"/>
                <w:rFonts w:ascii="仿宋_GB2312" w:eastAsia="仿宋_GB2312"/>
                <w:highlight w:val="none"/>
              </w:rPr>
            </w:pPr>
          </w:p>
        </w:tc>
      </w:tr>
      <w:tr w14:paraId="01575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32E56F1E">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16F5CC71">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2A2658A2">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6C65C968">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54E2CB61">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31C25F43">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C5DC423">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D1F23A4">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535B870">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0904DE15">
            <w:pPr>
              <w:pStyle w:val="84"/>
              <w:spacing w:line="360" w:lineRule="auto"/>
              <w:rPr>
                <w:rStyle w:val="86"/>
                <w:rFonts w:ascii="仿宋_GB2312" w:eastAsia="仿宋_GB2312"/>
                <w:highlight w:val="none"/>
              </w:rPr>
            </w:pPr>
          </w:p>
        </w:tc>
      </w:tr>
      <w:tr w14:paraId="281D2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6" w:space="0"/>
              <w:right w:val="single" w:color="auto" w:sz="6" w:space="0"/>
            </w:tcBorders>
            <w:noWrap w:val="0"/>
            <w:vAlign w:val="center"/>
          </w:tcPr>
          <w:p w14:paraId="2E167B79">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6" w:space="0"/>
              <w:right w:val="single" w:color="auto" w:sz="6" w:space="0"/>
            </w:tcBorders>
            <w:noWrap w:val="0"/>
            <w:vAlign w:val="center"/>
          </w:tcPr>
          <w:p w14:paraId="4AD3422C">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6" w:space="0"/>
              <w:right w:val="single" w:color="auto" w:sz="6" w:space="0"/>
            </w:tcBorders>
            <w:noWrap w:val="0"/>
            <w:vAlign w:val="center"/>
          </w:tcPr>
          <w:p w14:paraId="7CEC6712">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3D1320F7">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6" w:space="0"/>
              <w:right w:val="single" w:color="auto" w:sz="6" w:space="0"/>
            </w:tcBorders>
            <w:noWrap w:val="0"/>
            <w:vAlign w:val="center"/>
          </w:tcPr>
          <w:p w14:paraId="3319B4A2">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top"/>
          </w:tcPr>
          <w:p w14:paraId="62AA8683">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647E7F5">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C427C91">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AE4F65B">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6" w:space="0"/>
              <w:right w:val="single" w:color="auto" w:sz="12" w:space="0"/>
            </w:tcBorders>
            <w:noWrap w:val="0"/>
            <w:vAlign w:val="center"/>
          </w:tcPr>
          <w:p w14:paraId="70F315C4">
            <w:pPr>
              <w:pStyle w:val="84"/>
              <w:spacing w:line="360" w:lineRule="auto"/>
              <w:rPr>
                <w:rStyle w:val="86"/>
                <w:rFonts w:ascii="仿宋_GB2312" w:eastAsia="仿宋_GB2312"/>
                <w:highlight w:val="none"/>
              </w:rPr>
            </w:pPr>
          </w:p>
        </w:tc>
      </w:tr>
      <w:tr w14:paraId="7DC99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52" w:type="dxa"/>
            <w:tcBorders>
              <w:top w:val="single" w:color="auto" w:sz="6" w:space="0"/>
              <w:left w:val="single" w:color="auto" w:sz="12" w:space="0"/>
              <w:bottom w:val="single" w:color="auto" w:sz="12" w:space="0"/>
              <w:right w:val="single" w:color="auto" w:sz="6" w:space="0"/>
            </w:tcBorders>
            <w:noWrap w:val="0"/>
            <w:vAlign w:val="center"/>
          </w:tcPr>
          <w:p w14:paraId="40FA6A9D">
            <w:pPr>
              <w:pStyle w:val="84"/>
              <w:spacing w:line="360" w:lineRule="auto"/>
              <w:rPr>
                <w:rStyle w:val="86"/>
                <w:rFonts w:ascii="仿宋_GB2312" w:eastAsia="仿宋_GB2312"/>
                <w:highlight w:val="none"/>
              </w:rPr>
            </w:pPr>
          </w:p>
        </w:tc>
        <w:tc>
          <w:tcPr>
            <w:tcW w:w="1165" w:type="dxa"/>
            <w:tcBorders>
              <w:top w:val="single" w:color="auto" w:sz="6" w:space="0"/>
              <w:left w:val="single" w:color="auto" w:sz="6" w:space="0"/>
              <w:bottom w:val="single" w:color="auto" w:sz="12" w:space="0"/>
              <w:right w:val="single" w:color="auto" w:sz="6" w:space="0"/>
            </w:tcBorders>
            <w:noWrap w:val="0"/>
            <w:vAlign w:val="center"/>
          </w:tcPr>
          <w:p w14:paraId="6332EB8E">
            <w:pPr>
              <w:pStyle w:val="84"/>
              <w:spacing w:line="360" w:lineRule="auto"/>
              <w:rPr>
                <w:rStyle w:val="86"/>
                <w:rFonts w:ascii="仿宋_GB2312" w:eastAsia="仿宋_GB2312"/>
                <w:highlight w:val="none"/>
              </w:rPr>
            </w:pPr>
          </w:p>
        </w:tc>
        <w:tc>
          <w:tcPr>
            <w:tcW w:w="1126" w:type="dxa"/>
            <w:tcBorders>
              <w:top w:val="single" w:color="auto" w:sz="6" w:space="0"/>
              <w:left w:val="single" w:color="auto" w:sz="6" w:space="0"/>
              <w:bottom w:val="single" w:color="auto" w:sz="12" w:space="0"/>
              <w:right w:val="single" w:color="auto" w:sz="6" w:space="0"/>
            </w:tcBorders>
            <w:noWrap w:val="0"/>
            <w:vAlign w:val="center"/>
          </w:tcPr>
          <w:p w14:paraId="09A5F82A">
            <w:pPr>
              <w:pStyle w:val="84"/>
              <w:spacing w:line="360" w:lineRule="auto"/>
              <w:rPr>
                <w:rStyle w:val="86"/>
                <w:rFonts w:ascii="仿宋_GB2312" w:eastAsia="仿宋_GB2312"/>
                <w:highlight w:val="none"/>
              </w:rPr>
            </w:pPr>
          </w:p>
        </w:tc>
        <w:tc>
          <w:tcPr>
            <w:tcW w:w="567" w:type="dxa"/>
            <w:tcBorders>
              <w:top w:val="single" w:color="auto" w:sz="6" w:space="0"/>
              <w:left w:val="single" w:color="auto" w:sz="6" w:space="0"/>
              <w:bottom w:val="single" w:color="auto" w:sz="12" w:space="0"/>
              <w:right w:val="single" w:color="auto" w:sz="6" w:space="0"/>
            </w:tcBorders>
            <w:noWrap w:val="0"/>
            <w:vAlign w:val="center"/>
          </w:tcPr>
          <w:p w14:paraId="77431EE5">
            <w:pPr>
              <w:pStyle w:val="84"/>
              <w:spacing w:line="360" w:lineRule="auto"/>
              <w:rPr>
                <w:rStyle w:val="86"/>
                <w:rFonts w:ascii="仿宋_GB2312" w:eastAsia="仿宋_GB2312"/>
                <w:highlight w:val="none"/>
              </w:rPr>
            </w:pPr>
          </w:p>
        </w:tc>
        <w:tc>
          <w:tcPr>
            <w:tcW w:w="686" w:type="dxa"/>
            <w:tcBorders>
              <w:top w:val="single" w:color="auto" w:sz="6" w:space="0"/>
              <w:left w:val="single" w:color="auto" w:sz="6" w:space="0"/>
              <w:bottom w:val="single" w:color="auto" w:sz="12" w:space="0"/>
              <w:right w:val="single" w:color="auto" w:sz="6" w:space="0"/>
            </w:tcBorders>
            <w:noWrap w:val="0"/>
            <w:vAlign w:val="center"/>
          </w:tcPr>
          <w:p w14:paraId="6A794A91">
            <w:pPr>
              <w:pStyle w:val="84"/>
              <w:spacing w:line="360" w:lineRule="auto"/>
              <w:rPr>
                <w:rStyle w:val="86"/>
                <w:rFonts w:ascii="仿宋_GB2312" w:eastAsia="仿宋_GB2312"/>
                <w:highlight w:val="none"/>
              </w:rPr>
            </w:pPr>
          </w:p>
        </w:tc>
        <w:tc>
          <w:tcPr>
            <w:tcW w:w="992" w:type="dxa"/>
            <w:tcBorders>
              <w:top w:val="single" w:color="auto" w:sz="6" w:space="0"/>
              <w:left w:val="single" w:color="auto" w:sz="6" w:space="0"/>
              <w:bottom w:val="single" w:color="auto" w:sz="12" w:space="0"/>
              <w:right w:val="single" w:color="auto" w:sz="6" w:space="0"/>
            </w:tcBorders>
            <w:noWrap w:val="0"/>
            <w:vAlign w:val="top"/>
          </w:tcPr>
          <w:p w14:paraId="08578ED1">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6FEB4258">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5DFC6C60">
            <w:pPr>
              <w:pStyle w:val="84"/>
              <w:spacing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1D0B1937">
            <w:pPr>
              <w:pStyle w:val="84"/>
              <w:spacing w:line="360" w:lineRule="auto"/>
              <w:rPr>
                <w:rStyle w:val="86"/>
                <w:rFonts w:ascii="仿宋_GB2312" w:eastAsia="仿宋_GB2312"/>
                <w:highlight w:val="none"/>
              </w:rPr>
            </w:pPr>
          </w:p>
        </w:tc>
        <w:tc>
          <w:tcPr>
            <w:tcW w:w="709" w:type="dxa"/>
            <w:tcBorders>
              <w:top w:val="single" w:color="auto" w:sz="6" w:space="0"/>
              <w:left w:val="single" w:color="auto" w:sz="6" w:space="0"/>
              <w:bottom w:val="single" w:color="auto" w:sz="12" w:space="0"/>
              <w:right w:val="single" w:color="auto" w:sz="12" w:space="0"/>
            </w:tcBorders>
            <w:noWrap w:val="0"/>
            <w:vAlign w:val="center"/>
          </w:tcPr>
          <w:p w14:paraId="140201A8">
            <w:pPr>
              <w:pStyle w:val="84"/>
              <w:spacing w:line="360" w:lineRule="auto"/>
              <w:rPr>
                <w:rStyle w:val="86"/>
                <w:rFonts w:ascii="仿宋_GB2312" w:eastAsia="仿宋_GB2312"/>
                <w:highlight w:val="none"/>
              </w:rPr>
            </w:pPr>
          </w:p>
        </w:tc>
      </w:tr>
    </w:tbl>
    <w:p w14:paraId="0D3AC9B8">
      <w:pPr>
        <w:pStyle w:val="84"/>
        <w:spacing w:line="360" w:lineRule="auto"/>
        <w:rPr>
          <w:rStyle w:val="86"/>
          <w:rFonts w:hint="eastAsia"/>
          <w:highlight w:val="none"/>
        </w:rPr>
      </w:pPr>
      <w:r>
        <w:rPr>
          <w:rStyle w:val="86"/>
          <w:highlight w:val="none"/>
        </w:rPr>
        <w:t xml:space="preserve"> </w:t>
      </w:r>
    </w:p>
    <w:p w14:paraId="5208994B">
      <w:pPr>
        <w:pStyle w:val="84"/>
        <w:spacing w:line="360" w:lineRule="auto"/>
        <w:jc w:val="center"/>
        <w:rPr>
          <w:rStyle w:val="86"/>
          <w:rFonts w:ascii="宋体" w:hAnsi="宋体"/>
          <w:b/>
          <w:bCs/>
          <w:sz w:val="28"/>
          <w:szCs w:val="28"/>
          <w:highlight w:val="none"/>
        </w:rPr>
      </w:pPr>
      <w:r>
        <w:rPr>
          <w:rStyle w:val="86"/>
          <w:rFonts w:hint="eastAsia" w:ascii="宋体" w:hAnsi="宋体"/>
          <w:b/>
          <w:bCs/>
          <w:sz w:val="28"/>
          <w:szCs w:val="28"/>
          <w:highlight w:val="none"/>
        </w:rPr>
        <w:br w:type="page"/>
      </w:r>
      <w:r>
        <w:rPr>
          <w:rStyle w:val="86"/>
          <w:rFonts w:hint="eastAsia" w:ascii="宋体" w:hAnsi="宋体"/>
          <w:b/>
          <w:bCs/>
          <w:sz w:val="28"/>
          <w:szCs w:val="28"/>
          <w:highlight w:val="none"/>
        </w:rPr>
        <w:t>附件3 工程质量保修书</w:t>
      </w:r>
    </w:p>
    <w:p w14:paraId="41F738FA">
      <w:pPr>
        <w:pStyle w:val="84"/>
        <w:spacing w:line="360" w:lineRule="auto"/>
        <w:rPr>
          <w:rStyle w:val="86"/>
          <w:rFonts w:hint="eastAsia" w:ascii="宋体" w:hAnsi="宋体"/>
          <w:highlight w:val="none"/>
        </w:rPr>
      </w:pPr>
      <w:r>
        <w:rPr>
          <w:rStyle w:val="86"/>
          <w:rFonts w:hint="eastAsia" w:ascii="宋体" w:hAnsi="宋体"/>
          <w:highlight w:val="none"/>
        </w:rPr>
        <w:t>发包人（全称）：</w:t>
      </w:r>
      <w:r>
        <w:rPr>
          <w:rStyle w:val="86"/>
          <w:rFonts w:hint="eastAsia" w:ascii="宋体" w:hAnsi="宋体"/>
          <w:highlight w:val="none"/>
          <w:u w:val="single"/>
        </w:rPr>
        <w:t xml:space="preserve">                                  </w:t>
      </w:r>
    </w:p>
    <w:p w14:paraId="37934350">
      <w:pPr>
        <w:pStyle w:val="84"/>
        <w:spacing w:line="360" w:lineRule="auto"/>
        <w:rPr>
          <w:rStyle w:val="86"/>
          <w:rFonts w:hint="eastAsia" w:ascii="宋体" w:hAnsi="宋体"/>
          <w:highlight w:val="none"/>
        </w:rPr>
      </w:pPr>
      <w:r>
        <w:rPr>
          <w:rStyle w:val="86"/>
          <w:rFonts w:hint="eastAsia" w:ascii="宋体" w:hAnsi="宋体"/>
          <w:highlight w:val="none"/>
        </w:rPr>
        <w:t>承包人（全称）：</w:t>
      </w:r>
      <w:r>
        <w:rPr>
          <w:rStyle w:val="86"/>
          <w:rFonts w:hint="eastAsia" w:ascii="宋体" w:hAnsi="宋体"/>
          <w:highlight w:val="none"/>
          <w:u w:val="single"/>
        </w:rPr>
        <w:t xml:space="preserve">                                  </w:t>
      </w:r>
    </w:p>
    <w:p w14:paraId="44A10CB8">
      <w:pPr>
        <w:pStyle w:val="84"/>
        <w:spacing w:line="360" w:lineRule="auto"/>
        <w:ind w:firstLine="600"/>
        <w:rPr>
          <w:rStyle w:val="86"/>
          <w:rFonts w:hint="eastAsia" w:ascii="宋体" w:hAnsi="宋体"/>
          <w:highlight w:val="none"/>
        </w:rPr>
      </w:pPr>
      <w:r>
        <w:rPr>
          <w:rStyle w:val="86"/>
          <w:rFonts w:hint="eastAsia" w:ascii="宋体" w:hAnsi="宋体"/>
          <w:highlight w:val="none"/>
        </w:rPr>
        <w:t>发包人和承包人根据《中华人民共和国建筑法》和《建设工程质量管理条例》，经协商一致就</w:t>
      </w:r>
      <w:r>
        <w:rPr>
          <w:rStyle w:val="86"/>
          <w:rFonts w:hint="eastAsia" w:ascii="宋体" w:hAnsi="宋体"/>
          <w:highlight w:val="none"/>
          <w:u w:val="single"/>
        </w:rPr>
        <w:t xml:space="preserve">                 </w:t>
      </w:r>
      <w:r>
        <w:rPr>
          <w:rStyle w:val="86"/>
          <w:rFonts w:hint="eastAsia" w:ascii="宋体" w:hAnsi="宋体"/>
          <w:highlight w:val="none"/>
        </w:rPr>
        <w:t>（工程全称）订立工程质量保修书。</w:t>
      </w:r>
    </w:p>
    <w:p w14:paraId="0FFE02CD">
      <w:pPr>
        <w:pStyle w:val="84"/>
        <w:spacing w:line="360" w:lineRule="auto"/>
        <w:ind w:firstLine="600"/>
        <w:rPr>
          <w:rStyle w:val="86"/>
          <w:rFonts w:hint="eastAsia" w:ascii="宋体" w:hAnsi="宋体"/>
          <w:highlight w:val="none"/>
        </w:rPr>
      </w:pPr>
      <w:r>
        <w:rPr>
          <w:rStyle w:val="86"/>
          <w:rFonts w:hint="eastAsia" w:ascii="宋体" w:hAnsi="宋体"/>
          <w:highlight w:val="none"/>
        </w:rPr>
        <w:t>一、工程质量保修范围和内容</w:t>
      </w:r>
    </w:p>
    <w:p w14:paraId="7257AC4D">
      <w:pPr>
        <w:pStyle w:val="84"/>
        <w:spacing w:line="360" w:lineRule="auto"/>
        <w:ind w:firstLine="600"/>
        <w:rPr>
          <w:rStyle w:val="86"/>
          <w:rFonts w:hint="eastAsia" w:ascii="宋体" w:hAnsi="宋体"/>
          <w:highlight w:val="none"/>
        </w:rPr>
      </w:pPr>
      <w:r>
        <w:rPr>
          <w:rStyle w:val="86"/>
          <w:rFonts w:hint="eastAsia" w:ascii="宋体" w:hAnsi="宋体"/>
          <w:highlight w:val="none"/>
        </w:rPr>
        <w:t>承包人在质量保修期内，按照有关法律规定和合同约定，承担工程质量保修责任。</w:t>
      </w:r>
    </w:p>
    <w:p w14:paraId="4451931A">
      <w:pPr>
        <w:pStyle w:val="84"/>
        <w:spacing w:line="360" w:lineRule="auto"/>
        <w:ind w:firstLine="600"/>
        <w:rPr>
          <w:rStyle w:val="86"/>
          <w:rFonts w:hint="eastAsia" w:ascii="宋体" w:hAnsi="宋体"/>
          <w:highlight w:val="none"/>
        </w:rPr>
      </w:pPr>
      <w:r>
        <w:rPr>
          <w:rStyle w:val="86"/>
          <w:rFonts w:hint="eastAsia" w:ascii="宋体" w:hAnsi="宋体"/>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Style w:val="86"/>
          <w:rFonts w:hint="eastAsia" w:ascii="宋体" w:hAnsi="宋体"/>
          <w:highlight w:val="none"/>
          <w:u w:val="single"/>
        </w:rPr>
        <w:t xml:space="preserve">                                                  </w:t>
      </w:r>
      <w:r>
        <w:rPr>
          <w:rStyle w:val="86"/>
          <w:rFonts w:hint="eastAsia" w:ascii="宋体" w:hAnsi="宋体"/>
          <w:highlight w:val="none"/>
        </w:rPr>
        <w:t>。</w:t>
      </w:r>
    </w:p>
    <w:p w14:paraId="014EA1DE">
      <w:pPr>
        <w:pStyle w:val="84"/>
        <w:spacing w:line="360" w:lineRule="auto"/>
        <w:ind w:firstLine="600"/>
        <w:rPr>
          <w:rStyle w:val="86"/>
          <w:rFonts w:hint="eastAsia" w:ascii="宋体" w:hAnsi="宋体"/>
          <w:highlight w:val="none"/>
        </w:rPr>
      </w:pPr>
      <w:r>
        <w:rPr>
          <w:rStyle w:val="86"/>
          <w:rFonts w:hint="eastAsia" w:ascii="宋体" w:hAnsi="宋体"/>
          <w:highlight w:val="none"/>
        </w:rPr>
        <w:t>二、质量保修期</w:t>
      </w:r>
    </w:p>
    <w:p w14:paraId="77A7A590">
      <w:pPr>
        <w:pStyle w:val="84"/>
        <w:spacing w:line="360" w:lineRule="auto"/>
        <w:ind w:firstLine="600"/>
        <w:rPr>
          <w:rStyle w:val="86"/>
          <w:rFonts w:hint="eastAsia" w:ascii="宋体" w:hAnsi="宋体"/>
          <w:highlight w:val="none"/>
        </w:rPr>
      </w:pPr>
      <w:r>
        <w:rPr>
          <w:rStyle w:val="86"/>
          <w:rFonts w:hint="eastAsia" w:ascii="宋体" w:hAnsi="宋体"/>
          <w:highlight w:val="none"/>
        </w:rPr>
        <w:t>根据《建设工程质量管理条例》及有关规定，工程的质量保修期如下：</w:t>
      </w:r>
    </w:p>
    <w:p w14:paraId="0E13CB02">
      <w:pPr>
        <w:pStyle w:val="84"/>
        <w:spacing w:line="360" w:lineRule="auto"/>
        <w:ind w:firstLine="600"/>
        <w:rPr>
          <w:rStyle w:val="86"/>
          <w:rFonts w:hint="eastAsia" w:ascii="宋体" w:hAnsi="宋体"/>
          <w:highlight w:val="none"/>
        </w:rPr>
      </w:pPr>
      <w:r>
        <w:rPr>
          <w:rStyle w:val="86"/>
          <w:rFonts w:hint="eastAsia" w:ascii="宋体" w:hAnsi="宋体"/>
          <w:highlight w:val="none"/>
        </w:rPr>
        <w:t>1．地基基础工程和主体结构工程为设计文件规定的工程合理使用年限；</w:t>
      </w:r>
    </w:p>
    <w:p w14:paraId="6CEBD314">
      <w:pPr>
        <w:pStyle w:val="84"/>
        <w:spacing w:line="360" w:lineRule="auto"/>
        <w:ind w:firstLine="600"/>
        <w:rPr>
          <w:rStyle w:val="86"/>
          <w:rFonts w:hint="eastAsia" w:ascii="宋体" w:hAnsi="宋体"/>
          <w:highlight w:val="none"/>
        </w:rPr>
      </w:pPr>
      <w:r>
        <w:rPr>
          <w:rStyle w:val="86"/>
          <w:rFonts w:hint="eastAsia" w:ascii="宋体" w:hAnsi="宋体"/>
          <w:highlight w:val="none"/>
        </w:rPr>
        <w:t>2．屋面防水工程、有防水要求的卫生间、房间和外墙面的防渗为</w:t>
      </w:r>
      <w:r>
        <w:rPr>
          <w:rStyle w:val="86"/>
          <w:rFonts w:hint="eastAsia" w:ascii="宋体" w:hAnsi="宋体"/>
          <w:highlight w:val="none"/>
          <w:u w:val="single"/>
        </w:rPr>
        <w:t xml:space="preserve">       </w:t>
      </w:r>
      <w:r>
        <w:rPr>
          <w:rStyle w:val="86"/>
          <w:rFonts w:hint="eastAsia" w:ascii="宋体" w:hAnsi="宋体"/>
          <w:highlight w:val="none"/>
        </w:rPr>
        <w:t>年；</w:t>
      </w:r>
    </w:p>
    <w:p w14:paraId="79870473">
      <w:pPr>
        <w:pStyle w:val="84"/>
        <w:spacing w:line="360" w:lineRule="auto"/>
        <w:ind w:firstLine="600"/>
        <w:rPr>
          <w:rStyle w:val="86"/>
          <w:rFonts w:hint="eastAsia" w:ascii="宋体" w:hAnsi="宋体"/>
          <w:highlight w:val="none"/>
        </w:rPr>
      </w:pPr>
      <w:r>
        <w:rPr>
          <w:rStyle w:val="86"/>
          <w:rFonts w:hint="eastAsia" w:ascii="宋体" w:hAnsi="宋体"/>
          <w:highlight w:val="none"/>
        </w:rPr>
        <w:t>3．装修工程为</w:t>
      </w:r>
      <w:r>
        <w:rPr>
          <w:rStyle w:val="86"/>
          <w:rFonts w:hint="eastAsia" w:ascii="宋体" w:hAnsi="宋体"/>
          <w:highlight w:val="none"/>
          <w:u w:val="single"/>
        </w:rPr>
        <w:t xml:space="preserve">         </w:t>
      </w:r>
      <w:r>
        <w:rPr>
          <w:rStyle w:val="86"/>
          <w:rFonts w:hint="eastAsia" w:ascii="宋体" w:hAnsi="宋体"/>
          <w:highlight w:val="none"/>
        </w:rPr>
        <w:t>年；</w:t>
      </w:r>
    </w:p>
    <w:p w14:paraId="69BE2113">
      <w:pPr>
        <w:pStyle w:val="84"/>
        <w:spacing w:line="360" w:lineRule="auto"/>
        <w:ind w:firstLine="600"/>
        <w:rPr>
          <w:rStyle w:val="86"/>
          <w:rFonts w:hint="eastAsia" w:ascii="宋体" w:hAnsi="宋体"/>
          <w:highlight w:val="none"/>
        </w:rPr>
      </w:pPr>
      <w:r>
        <w:rPr>
          <w:rStyle w:val="86"/>
          <w:rFonts w:hint="eastAsia" w:ascii="宋体" w:hAnsi="宋体"/>
          <w:highlight w:val="none"/>
        </w:rPr>
        <w:t>4．电气管线、给排水管道、设备安装工程为</w:t>
      </w:r>
      <w:r>
        <w:rPr>
          <w:rStyle w:val="86"/>
          <w:rFonts w:hint="eastAsia" w:ascii="宋体" w:hAnsi="宋体"/>
          <w:highlight w:val="none"/>
          <w:u w:val="single"/>
        </w:rPr>
        <w:t xml:space="preserve">           </w:t>
      </w:r>
      <w:r>
        <w:rPr>
          <w:rStyle w:val="86"/>
          <w:rFonts w:hint="eastAsia" w:ascii="宋体" w:hAnsi="宋体"/>
          <w:highlight w:val="none"/>
        </w:rPr>
        <w:t>年；</w:t>
      </w:r>
    </w:p>
    <w:p w14:paraId="293E8B94">
      <w:pPr>
        <w:pStyle w:val="84"/>
        <w:spacing w:line="360" w:lineRule="auto"/>
        <w:ind w:firstLine="600"/>
        <w:rPr>
          <w:rStyle w:val="86"/>
          <w:rFonts w:hint="eastAsia" w:ascii="宋体" w:hAnsi="宋体"/>
          <w:highlight w:val="none"/>
        </w:rPr>
      </w:pPr>
      <w:r>
        <w:rPr>
          <w:rStyle w:val="86"/>
          <w:rFonts w:hint="eastAsia" w:ascii="宋体" w:hAnsi="宋体"/>
          <w:highlight w:val="none"/>
        </w:rPr>
        <w:t>5．供热与供冷系统为</w:t>
      </w:r>
      <w:r>
        <w:rPr>
          <w:rStyle w:val="86"/>
          <w:rFonts w:hint="eastAsia" w:ascii="宋体" w:hAnsi="宋体"/>
          <w:highlight w:val="none"/>
          <w:u w:val="single"/>
        </w:rPr>
        <w:t xml:space="preserve">        </w:t>
      </w:r>
      <w:r>
        <w:rPr>
          <w:rStyle w:val="86"/>
          <w:rFonts w:hint="eastAsia" w:ascii="宋体" w:hAnsi="宋体"/>
          <w:highlight w:val="none"/>
        </w:rPr>
        <w:t>个采暖期、供冷期；</w:t>
      </w:r>
    </w:p>
    <w:p w14:paraId="184B7112">
      <w:pPr>
        <w:pStyle w:val="84"/>
        <w:spacing w:line="360" w:lineRule="auto"/>
        <w:ind w:firstLine="600"/>
        <w:rPr>
          <w:rStyle w:val="86"/>
          <w:rFonts w:hint="eastAsia" w:ascii="宋体" w:hAnsi="宋体"/>
          <w:highlight w:val="none"/>
        </w:rPr>
      </w:pPr>
      <w:r>
        <w:rPr>
          <w:rStyle w:val="86"/>
          <w:rFonts w:hint="eastAsia" w:ascii="宋体" w:hAnsi="宋体"/>
          <w:highlight w:val="none"/>
        </w:rPr>
        <w:t>6．住宅小区内的给排水设施、道路等配套工程为</w:t>
      </w:r>
      <w:r>
        <w:rPr>
          <w:rStyle w:val="86"/>
          <w:rFonts w:hint="eastAsia" w:ascii="宋体" w:hAnsi="宋体"/>
          <w:highlight w:val="none"/>
          <w:u w:val="single"/>
        </w:rPr>
        <w:t xml:space="preserve">         </w:t>
      </w:r>
      <w:r>
        <w:rPr>
          <w:rStyle w:val="86"/>
          <w:rFonts w:hint="eastAsia" w:ascii="宋体" w:hAnsi="宋体"/>
          <w:highlight w:val="none"/>
        </w:rPr>
        <w:t>年；</w:t>
      </w:r>
    </w:p>
    <w:p w14:paraId="49FE91E1">
      <w:pPr>
        <w:pStyle w:val="84"/>
        <w:spacing w:line="360" w:lineRule="auto"/>
        <w:ind w:firstLine="600"/>
        <w:rPr>
          <w:rStyle w:val="86"/>
          <w:rFonts w:hint="eastAsia" w:ascii="宋体" w:hAnsi="宋体"/>
          <w:highlight w:val="none"/>
        </w:rPr>
      </w:pPr>
      <w:r>
        <w:rPr>
          <w:rStyle w:val="86"/>
          <w:rFonts w:hint="eastAsia" w:ascii="宋体" w:hAnsi="宋体"/>
          <w:highlight w:val="none"/>
        </w:rPr>
        <w:t>7．其他项目保修期限约定如下：</w:t>
      </w:r>
      <w:r>
        <w:rPr>
          <w:rStyle w:val="86"/>
          <w:rFonts w:hint="eastAsia" w:ascii="宋体" w:hAnsi="宋体"/>
          <w:highlight w:val="none"/>
          <w:u w:val="single"/>
        </w:rPr>
        <w:t xml:space="preserve">                      </w:t>
      </w:r>
      <w:r>
        <w:rPr>
          <w:rStyle w:val="86"/>
          <w:rFonts w:hint="eastAsia" w:ascii="宋体" w:hAnsi="宋体"/>
          <w:highlight w:val="none"/>
        </w:rPr>
        <w:t>。</w:t>
      </w:r>
    </w:p>
    <w:p w14:paraId="46408789">
      <w:pPr>
        <w:pStyle w:val="84"/>
        <w:spacing w:line="360" w:lineRule="auto"/>
        <w:ind w:firstLine="600"/>
        <w:rPr>
          <w:rStyle w:val="86"/>
          <w:rFonts w:hint="eastAsia" w:ascii="宋体" w:hAnsi="宋体"/>
          <w:highlight w:val="none"/>
        </w:rPr>
      </w:pPr>
      <w:r>
        <w:rPr>
          <w:rStyle w:val="86"/>
          <w:rFonts w:hint="eastAsia" w:ascii="宋体" w:hAnsi="宋体"/>
          <w:highlight w:val="none"/>
        </w:rPr>
        <w:t>质量保修期自工程竣工验收合格之日起计算。</w:t>
      </w:r>
    </w:p>
    <w:p w14:paraId="129F8FF1">
      <w:pPr>
        <w:pStyle w:val="84"/>
        <w:spacing w:line="360" w:lineRule="auto"/>
        <w:ind w:firstLine="600"/>
        <w:rPr>
          <w:rStyle w:val="86"/>
          <w:rFonts w:hint="eastAsia" w:ascii="宋体" w:hAnsi="宋体"/>
          <w:highlight w:val="none"/>
        </w:rPr>
      </w:pPr>
      <w:r>
        <w:rPr>
          <w:rStyle w:val="86"/>
          <w:rFonts w:hint="eastAsia" w:ascii="宋体" w:hAnsi="宋体"/>
          <w:highlight w:val="none"/>
        </w:rPr>
        <w:t>三、缺陷责任期</w:t>
      </w:r>
    </w:p>
    <w:p w14:paraId="030F0821">
      <w:pPr>
        <w:pStyle w:val="84"/>
        <w:spacing w:line="360" w:lineRule="auto"/>
        <w:ind w:firstLine="600"/>
        <w:rPr>
          <w:rStyle w:val="86"/>
          <w:rFonts w:hint="eastAsia" w:ascii="宋体" w:hAnsi="宋体"/>
          <w:highlight w:val="none"/>
        </w:rPr>
      </w:pPr>
      <w:r>
        <w:rPr>
          <w:rStyle w:val="86"/>
          <w:rFonts w:hint="eastAsia" w:ascii="宋体" w:hAnsi="宋体"/>
          <w:highlight w:val="none"/>
        </w:rPr>
        <w:t>工程缺陷责任期为</w:t>
      </w:r>
      <w:r>
        <w:rPr>
          <w:rStyle w:val="86"/>
          <w:rFonts w:hint="eastAsia" w:ascii="宋体" w:hAnsi="宋体"/>
          <w:highlight w:val="none"/>
          <w:u w:val="single"/>
        </w:rPr>
        <w:t xml:space="preserve">      </w:t>
      </w:r>
      <w:r>
        <w:rPr>
          <w:rStyle w:val="86"/>
          <w:rFonts w:hint="eastAsia" w:ascii="宋体" w:hAnsi="宋体"/>
          <w:highlight w:val="none"/>
        </w:rPr>
        <w:t>个月，缺陷责任期自工程通过竣工验收之日起计算。单位/区段工程先于全部工程进行验收，单位/区段工程缺陷责任期自单位/区段工程验收合格之日起算。</w:t>
      </w:r>
    </w:p>
    <w:p w14:paraId="3466CA80">
      <w:pPr>
        <w:pStyle w:val="84"/>
        <w:spacing w:line="360" w:lineRule="auto"/>
        <w:ind w:firstLine="600"/>
        <w:rPr>
          <w:rStyle w:val="86"/>
          <w:rFonts w:hint="eastAsia" w:ascii="宋体" w:hAnsi="宋体"/>
          <w:highlight w:val="none"/>
        </w:rPr>
      </w:pPr>
      <w:r>
        <w:rPr>
          <w:rStyle w:val="86"/>
          <w:rFonts w:hint="eastAsia" w:ascii="宋体" w:hAnsi="宋体"/>
          <w:highlight w:val="none"/>
        </w:rPr>
        <w:t>缺陷责任期终止后，发包人应返还剩余的质量保证金。</w:t>
      </w:r>
    </w:p>
    <w:p w14:paraId="0AD19360">
      <w:pPr>
        <w:pStyle w:val="84"/>
        <w:spacing w:line="360" w:lineRule="auto"/>
        <w:ind w:firstLine="600"/>
        <w:rPr>
          <w:rStyle w:val="86"/>
          <w:rFonts w:hint="eastAsia" w:ascii="宋体" w:hAnsi="宋体"/>
          <w:highlight w:val="none"/>
        </w:rPr>
      </w:pPr>
      <w:r>
        <w:rPr>
          <w:rStyle w:val="86"/>
          <w:rFonts w:hint="eastAsia" w:ascii="宋体" w:hAnsi="宋体"/>
          <w:highlight w:val="none"/>
        </w:rPr>
        <w:t>四、质量保修责任</w:t>
      </w:r>
    </w:p>
    <w:p w14:paraId="4BC29C80">
      <w:pPr>
        <w:pStyle w:val="84"/>
        <w:spacing w:line="360" w:lineRule="auto"/>
        <w:ind w:firstLine="600"/>
        <w:rPr>
          <w:rStyle w:val="86"/>
          <w:rFonts w:hint="eastAsia" w:ascii="宋体" w:hAnsi="宋体"/>
          <w:highlight w:val="none"/>
        </w:rPr>
      </w:pPr>
      <w:r>
        <w:rPr>
          <w:rStyle w:val="86"/>
          <w:rFonts w:hint="eastAsia" w:ascii="宋体" w:hAnsi="宋体"/>
          <w:highlight w:val="none"/>
        </w:rPr>
        <w:t>1．属于保修范围、内容的项目，承包人应当在接到保修通知之日起7天内派人保修。承包人不在约定期限内派人保修的，发包人可以委托他人修理。</w:t>
      </w:r>
    </w:p>
    <w:p w14:paraId="7D52FA89">
      <w:pPr>
        <w:pStyle w:val="84"/>
        <w:spacing w:line="360" w:lineRule="auto"/>
        <w:ind w:firstLine="600"/>
        <w:rPr>
          <w:rStyle w:val="86"/>
          <w:rFonts w:hint="eastAsia" w:ascii="宋体" w:hAnsi="宋体"/>
          <w:highlight w:val="none"/>
        </w:rPr>
      </w:pPr>
      <w:r>
        <w:rPr>
          <w:rStyle w:val="86"/>
          <w:rFonts w:hint="eastAsia" w:ascii="宋体" w:hAnsi="宋体"/>
          <w:highlight w:val="none"/>
        </w:rPr>
        <w:t>2．发生紧急事故需抢修的，承包人在接到事故通知后，应当立即到达事故现场抢修。</w:t>
      </w:r>
    </w:p>
    <w:p w14:paraId="57365A14">
      <w:pPr>
        <w:pStyle w:val="84"/>
        <w:spacing w:line="360" w:lineRule="auto"/>
        <w:ind w:firstLine="600"/>
        <w:rPr>
          <w:rStyle w:val="86"/>
          <w:rFonts w:hint="eastAsia" w:ascii="宋体" w:hAnsi="宋体"/>
          <w:highlight w:val="none"/>
        </w:rPr>
      </w:pPr>
      <w:r>
        <w:rPr>
          <w:rStyle w:val="86"/>
          <w:rFonts w:hint="eastAsia" w:ascii="宋体" w:hAnsi="宋体"/>
          <w:highlight w:val="none"/>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11773BB7">
      <w:pPr>
        <w:pStyle w:val="84"/>
        <w:spacing w:line="360" w:lineRule="auto"/>
        <w:ind w:firstLine="600"/>
        <w:rPr>
          <w:rStyle w:val="86"/>
          <w:rFonts w:hint="eastAsia" w:ascii="宋体" w:hAnsi="宋体"/>
          <w:highlight w:val="none"/>
        </w:rPr>
      </w:pPr>
      <w:r>
        <w:rPr>
          <w:rStyle w:val="86"/>
          <w:rFonts w:hint="eastAsia" w:ascii="宋体" w:hAnsi="宋体"/>
          <w:highlight w:val="none"/>
        </w:rPr>
        <w:t>4．质量保修完成后，由发包人组织验收。</w:t>
      </w:r>
    </w:p>
    <w:p w14:paraId="19B74B75">
      <w:pPr>
        <w:pStyle w:val="84"/>
        <w:spacing w:line="360" w:lineRule="auto"/>
        <w:ind w:firstLine="600"/>
        <w:rPr>
          <w:rStyle w:val="86"/>
          <w:rFonts w:hint="eastAsia" w:ascii="宋体" w:hAnsi="宋体"/>
          <w:highlight w:val="none"/>
        </w:rPr>
      </w:pPr>
      <w:r>
        <w:rPr>
          <w:rStyle w:val="86"/>
          <w:rFonts w:hint="eastAsia" w:ascii="宋体" w:hAnsi="宋体"/>
          <w:highlight w:val="none"/>
        </w:rPr>
        <w:t>五、保修费用</w:t>
      </w:r>
    </w:p>
    <w:p w14:paraId="5E464E9F">
      <w:pPr>
        <w:pStyle w:val="84"/>
        <w:spacing w:line="360" w:lineRule="auto"/>
        <w:ind w:firstLine="600"/>
        <w:rPr>
          <w:rStyle w:val="86"/>
          <w:rFonts w:hint="eastAsia" w:ascii="宋体" w:hAnsi="宋体"/>
          <w:highlight w:val="none"/>
        </w:rPr>
      </w:pPr>
      <w:r>
        <w:rPr>
          <w:rStyle w:val="86"/>
          <w:rFonts w:hint="eastAsia" w:ascii="宋体" w:hAnsi="宋体"/>
          <w:highlight w:val="none"/>
        </w:rPr>
        <w:t>保修费用由造成质量缺陷的责任方承担。</w:t>
      </w:r>
    </w:p>
    <w:p w14:paraId="7360E484">
      <w:pPr>
        <w:pStyle w:val="84"/>
        <w:spacing w:line="360" w:lineRule="auto"/>
        <w:ind w:firstLine="600"/>
        <w:rPr>
          <w:rStyle w:val="86"/>
          <w:rFonts w:hint="eastAsia" w:ascii="宋体" w:hAnsi="宋体"/>
          <w:highlight w:val="none"/>
          <w:u w:val="single"/>
        </w:rPr>
      </w:pPr>
      <w:r>
        <w:rPr>
          <w:rStyle w:val="86"/>
          <w:rFonts w:hint="eastAsia" w:ascii="宋体" w:hAnsi="宋体"/>
          <w:highlight w:val="none"/>
        </w:rPr>
        <w:t>六、双方约定的其他工程质量保修事项：</w:t>
      </w:r>
      <w:r>
        <w:rPr>
          <w:rStyle w:val="86"/>
          <w:rFonts w:hint="eastAsia" w:ascii="宋体" w:hAnsi="宋体"/>
          <w:highlight w:val="none"/>
          <w:u w:val="single"/>
        </w:rPr>
        <w:t xml:space="preserve">                </w:t>
      </w:r>
      <w:r>
        <w:rPr>
          <w:rStyle w:val="86"/>
          <w:rFonts w:hint="eastAsia" w:ascii="宋体" w:hAnsi="宋体"/>
          <w:highlight w:val="none"/>
        </w:rPr>
        <w:t>。</w:t>
      </w:r>
    </w:p>
    <w:p w14:paraId="24F674D5">
      <w:pPr>
        <w:pStyle w:val="84"/>
        <w:spacing w:line="360" w:lineRule="auto"/>
        <w:ind w:firstLine="600"/>
        <w:rPr>
          <w:rStyle w:val="86"/>
          <w:rFonts w:hint="eastAsia" w:ascii="宋体" w:hAnsi="宋体"/>
          <w:highlight w:val="none"/>
        </w:rPr>
      </w:pPr>
      <w:r>
        <w:rPr>
          <w:rStyle w:val="86"/>
          <w:rFonts w:hint="eastAsia" w:ascii="宋体" w:hAnsi="宋体"/>
          <w:highlight w:val="none"/>
        </w:rPr>
        <w:t>工程质量保修书由发包人、承包人在工程竣工验收前共同签署，作为工程总承包合同附件，其有效期限至保修期满。</w:t>
      </w:r>
    </w:p>
    <w:p w14:paraId="7598A914">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 </w:t>
      </w:r>
    </w:p>
    <w:p w14:paraId="3A0DDCFD">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发包人(公章)：               承包人(公章)：          </w:t>
      </w:r>
    </w:p>
    <w:p w14:paraId="0655390B">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地  址：                     地  址：       </w:t>
      </w:r>
    </w:p>
    <w:p w14:paraId="294AA91B">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法定代表人(签字)：           法定代表人(签字)：       </w:t>
      </w:r>
    </w:p>
    <w:p w14:paraId="7936D1F0">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委托代理人(签字)：           委托代理人(签字)：       </w:t>
      </w:r>
    </w:p>
    <w:p w14:paraId="1FCCD4BA">
      <w:pPr>
        <w:pStyle w:val="84"/>
        <w:spacing w:line="360" w:lineRule="auto"/>
        <w:ind w:firstLine="600"/>
        <w:rPr>
          <w:rStyle w:val="86"/>
          <w:rFonts w:hint="eastAsia" w:ascii="宋体" w:hAnsi="宋体"/>
          <w:highlight w:val="none"/>
        </w:rPr>
      </w:pPr>
      <w:r>
        <w:rPr>
          <w:rStyle w:val="86"/>
          <w:rFonts w:hint="eastAsia" w:ascii="宋体" w:hAnsi="宋体"/>
          <w:highlight w:val="none"/>
        </w:rPr>
        <w:t>电  话：                     电  话：</w:t>
      </w:r>
    </w:p>
    <w:p w14:paraId="7AFF8AEA">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传  真：                     传  真：  </w:t>
      </w:r>
    </w:p>
    <w:p w14:paraId="7AC164CF">
      <w:pPr>
        <w:pStyle w:val="84"/>
        <w:spacing w:line="360" w:lineRule="auto"/>
        <w:ind w:firstLine="600"/>
        <w:rPr>
          <w:rStyle w:val="86"/>
          <w:rFonts w:hint="eastAsia" w:ascii="宋体" w:hAnsi="宋体"/>
          <w:highlight w:val="none"/>
        </w:rPr>
      </w:pPr>
      <w:r>
        <w:rPr>
          <w:rStyle w:val="86"/>
          <w:rFonts w:hint="eastAsia" w:ascii="宋体" w:hAnsi="宋体"/>
          <w:highlight w:val="none"/>
        </w:rPr>
        <w:t>开户银行：                   开户银行：</w:t>
      </w:r>
    </w:p>
    <w:p w14:paraId="6AFC8571">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账  号：                     账  号： </w:t>
      </w:r>
    </w:p>
    <w:p w14:paraId="0CD659A7">
      <w:pPr>
        <w:pStyle w:val="84"/>
        <w:spacing w:line="360" w:lineRule="auto"/>
        <w:ind w:firstLine="600"/>
        <w:rPr>
          <w:rStyle w:val="86"/>
          <w:rFonts w:hint="eastAsia" w:ascii="宋体" w:hAnsi="宋体"/>
          <w:highlight w:val="none"/>
        </w:rPr>
      </w:pPr>
      <w:r>
        <w:rPr>
          <w:rStyle w:val="86"/>
          <w:rFonts w:hint="eastAsia" w:ascii="宋体" w:hAnsi="宋体"/>
          <w:highlight w:val="none"/>
        </w:rPr>
        <w:t xml:space="preserve">邮政编码：                   邮政编码：   </w:t>
      </w:r>
    </w:p>
    <w:p w14:paraId="2D3817E9">
      <w:pPr>
        <w:pStyle w:val="84"/>
        <w:spacing w:line="360" w:lineRule="auto"/>
        <w:jc w:val="center"/>
        <w:rPr>
          <w:rStyle w:val="86"/>
          <w:rFonts w:ascii="黑体" w:hAnsi="黑体" w:eastAsia="黑体"/>
          <w:b/>
          <w:bCs/>
          <w:sz w:val="30"/>
          <w:szCs w:val="30"/>
          <w:highlight w:val="none"/>
        </w:rPr>
      </w:pPr>
      <w:r>
        <w:rPr>
          <w:rStyle w:val="86"/>
          <w:rFonts w:hint="eastAsia" w:ascii="宋体" w:hAnsi="宋体"/>
          <w:b/>
          <w:bCs/>
          <w:sz w:val="28"/>
          <w:szCs w:val="28"/>
          <w:highlight w:val="none"/>
        </w:rPr>
        <w:br w:type="page"/>
      </w:r>
      <w:r>
        <w:rPr>
          <w:rStyle w:val="86"/>
          <w:rFonts w:hint="eastAsia" w:ascii="宋体" w:hAnsi="宋体"/>
          <w:b/>
          <w:bCs/>
          <w:sz w:val="28"/>
          <w:szCs w:val="28"/>
          <w:highlight w:val="none"/>
        </w:rPr>
        <w:t>附件4 主要建设工程文件目录</w:t>
      </w:r>
    </w:p>
    <w:tbl>
      <w:tblPr>
        <w:tblStyle w:val="33"/>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3F5D4A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125" w:type="dxa"/>
            <w:tcBorders>
              <w:top w:val="single" w:color="auto" w:sz="12" w:space="0"/>
              <w:left w:val="single" w:color="auto" w:sz="12" w:space="0"/>
              <w:bottom w:val="double" w:color="auto" w:sz="2" w:space="0"/>
              <w:right w:val="single" w:color="auto" w:sz="6" w:space="0"/>
            </w:tcBorders>
            <w:noWrap w:val="0"/>
            <w:vAlign w:val="center"/>
          </w:tcPr>
          <w:p w14:paraId="6B62433C">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文件名称</w:t>
            </w:r>
          </w:p>
        </w:tc>
        <w:tc>
          <w:tcPr>
            <w:tcW w:w="1276" w:type="dxa"/>
            <w:tcBorders>
              <w:top w:val="single" w:color="auto" w:sz="12" w:space="0"/>
              <w:left w:val="single" w:color="auto" w:sz="6" w:space="0"/>
              <w:bottom w:val="double" w:color="auto" w:sz="2" w:space="0"/>
              <w:right w:val="single" w:color="auto" w:sz="6" w:space="0"/>
            </w:tcBorders>
            <w:noWrap w:val="0"/>
            <w:vAlign w:val="center"/>
          </w:tcPr>
          <w:p w14:paraId="24359899">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套数</w:t>
            </w:r>
          </w:p>
        </w:tc>
        <w:tc>
          <w:tcPr>
            <w:tcW w:w="1450" w:type="dxa"/>
            <w:tcBorders>
              <w:top w:val="single" w:color="auto" w:sz="12" w:space="0"/>
              <w:left w:val="single" w:color="auto" w:sz="6" w:space="0"/>
              <w:bottom w:val="double" w:color="auto" w:sz="2" w:space="0"/>
              <w:right w:val="single" w:color="auto" w:sz="6" w:space="0"/>
            </w:tcBorders>
            <w:noWrap w:val="0"/>
            <w:vAlign w:val="center"/>
          </w:tcPr>
          <w:p w14:paraId="2D4C760A">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费用（元）</w:t>
            </w:r>
          </w:p>
        </w:tc>
        <w:tc>
          <w:tcPr>
            <w:tcW w:w="1243" w:type="dxa"/>
            <w:tcBorders>
              <w:top w:val="single" w:color="auto" w:sz="12" w:space="0"/>
              <w:left w:val="single" w:color="auto" w:sz="6" w:space="0"/>
              <w:bottom w:val="double" w:color="auto" w:sz="2" w:space="0"/>
              <w:right w:val="single" w:color="auto" w:sz="6" w:space="0"/>
            </w:tcBorders>
            <w:noWrap w:val="0"/>
            <w:vAlign w:val="center"/>
          </w:tcPr>
          <w:p w14:paraId="2781C881">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质量</w:t>
            </w:r>
          </w:p>
        </w:tc>
        <w:tc>
          <w:tcPr>
            <w:tcW w:w="1450" w:type="dxa"/>
            <w:tcBorders>
              <w:top w:val="single" w:color="auto" w:sz="12" w:space="0"/>
              <w:left w:val="single" w:color="auto" w:sz="6" w:space="0"/>
              <w:bottom w:val="double" w:color="auto" w:sz="2" w:space="0"/>
              <w:right w:val="single" w:color="auto" w:sz="6" w:space="0"/>
            </w:tcBorders>
            <w:noWrap w:val="0"/>
            <w:vAlign w:val="top"/>
          </w:tcPr>
          <w:p w14:paraId="32A9F479">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移交时间</w:t>
            </w:r>
          </w:p>
        </w:tc>
        <w:tc>
          <w:tcPr>
            <w:tcW w:w="1670" w:type="dxa"/>
            <w:tcBorders>
              <w:top w:val="single" w:color="auto" w:sz="12" w:space="0"/>
              <w:left w:val="single" w:color="auto" w:sz="6" w:space="0"/>
              <w:bottom w:val="double" w:color="auto" w:sz="2" w:space="0"/>
              <w:right w:val="single" w:color="auto" w:sz="12" w:space="0"/>
            </w:tcBorders>
            <w:noWrap w:val="0"/>
            <w:vAlign w:val="top"/>
          </w:tcPr>
          <w:p w14:paraId="256F28F6">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责任人</w:t>
            </w:r>
          </w:p>
        </w:tc>
      </w:tr>
      <w:tr w14:paraId="1FB94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double" w:color="auto" w:sz="2" w:space="0"/>
              <w:left w:val="single" w:color="auto" w:sz="12" w:space="0"/>
              <w:bottom w:val="single" w:color="auto" w:sz="6" w:space="0"/>
              <w:right w:val="single" w:color="auto" w:sz="6" w:space="0"/>
            </w:tcBorders>
            <w:noWrap w:val="0"/>
            <w:vAlign w:val="center"/>
          </w:tcPr>
          <w:p w14:paraId="784AF601">
            <w:pPr>
              <w:pStyle w:val="84"/>
              <w:spacing w:after="120" w:line="360" w:lineRule="auto"/>
              <w:rPr>
                <w:rStyle w:val="86"/>
                <w:rFonts w:ascii="仿宋_GB2312" w:eastAsia="仿宋_GB2312"/>
                <w:highlight w:val="none"/>
              </w:rPr>
            </w:pPr>
          </w:p>
        </w:tc>
        <w:tc>
          <w:tcPr>
            <w:tcW w:w="1276" w:type="dxa"/>
            <w:tcBorders>
              <w:top w:val="double" w:color="auto" w:sz="2" w:space="0"/>
              <w:left w:val="single" w:color="auto" w:sz="6" w:space="0"/>
              <w:bottom w:val="single" w:color="auto" w:sz="6" w:space="0"/>
              <w:right w:val="single" w:color="auto" w:sz="6" w:space="0"/>
            </w:tcBorders>
            <w:noWrap w:val="0"/>
            <w:vAlign w:val="center"/>
          </w:tcPr>
          <w:p w14:paraId="27481A2C">
            <w:pPr>
              <w:pStyle w:val="84"/>
              <w:spacing w:after="120" w:line="360" w:lineRule="auto"/>
              <w:rPr>
                <w:rStyle w:val="86"/>
                <w:rFonts w:ascii="仿宋_GB2312" w:eastAsia="仿宋_GB2312"/>
                <w:highlight w:val="none"/>
              </w:rPr>
            </w:pPr>
          </w:p>
        </w:tc>
        <w:tc>
          <w:tcPr>
            <w:tcW w:w="1450" w:type="dxa"/>
            <w:tcBorders>
              <w:top w:val="double" w:color="auto" w:sz="2" w:space="0"/>
              <w:left w:val="single" w:color="auto" w:sz="6" w:space="0"/>
              <w:bottom w:val="single" w:color="auto" w:sz="6" w:space="0"/>
              <w:right w:val="single" w:color="auto" w:sz="6" w:space="0"/>
            </w:tcBorders>
            <w:noWrap w:val="0"/>
            <w:vAlign w:val="center"/>
          </w:tcPr>
          <w:p w14:paraId="3B5C2BE2">
            <w:pPr>
              <w:pStyle w:val="84"/>
              <w:spacing w:after="120" w:line="360" w:lineRule="auto"/>
              <w:rPr>
                <w:rStyle w:val="86"/>
                <w:rFonts w:ascii="仿宋_GB2312" w:eastAsia="仿宋_GB2312"/>
                <w:highlight w:val="none"/>
              </w:rPr>
            </w:pPr>
          </w:p>
        </w:tc>
        <w:tc>
          <w:tcPr>
            <w:tcW w:w="1243" w:type="dxa"/>
            <w:tcBorders>
              <w:top w:val="double" w:color="auto" w:sz="2" w:space="0"/>
              <w:left w:val="single" w:color="auto" w:sz="6" w:space="0"/>
              <w:bottom w:val="single" w:color="auto" w:sz="6" w:space="0"/>
              <w:right w:val="single" w:color="auto" w:sz="6" w:space="0"/>
            </w:tcBorders>
            <w:noWrap w:val="0"/>
            <w:vAlign w:val="center"/>
          </w:tcPr>
          <w:p w14:paraId="05FDE40B">
            <w:pPr>
              <w:pStyle w:val="84"/>
              <w:spacing w:after="120" w:line="360" w:lineRule="auto"/>
              <w:rPr>
                <w:rStyle w:val="86"/>
                <w:rFonts w:ascii="仿宋_GB2312" w:eastAsia="仿宋_GB2312"/>
                <w:highlight w:val="none"/>
              </w:rPr>
            </w:pPr>
          </w:p>
        </w:tc>
        <w:tc>
          <w:tcPr>
            <w:tcW w:w="1450" w:type="dxa"/>
            <w:tcBorders>
              <w:top w:val="double" w:color="auto" w:sz="2" w:space="0"/>
              <w:left w:val="single" w:color="auto" w:sz="6" w:space="0"/>
              <w:bottom w:val="single" w:color="auto" w:sz="6" w:space="0"/>
              <w:right w:val="single" w:color="auto" w:sz="6" w:space="0"/>
            </w:tcBorders>
            <w:noWrap w:val="0"/>
            <w:vAlign w:val="center"/>
          </w:tcPr>
          <w:p w14:paraId="2182BC7C">
            <w:pPr>
              <w:pStyle w:val="84"/>
              <w:spacing w:after="120" w:line="360" w:lineRule="auto"/>
              <w:rPr>
                <w:rStyle w:val="86"/>
                <w:rFonts w:ascii="仿宋_GB2312" w:eastAsia="仿宋_GB2312"/>
                <w:highlight w:val="none"/>
              </w:rPr>
            </w:pPr>
          </w:p>
        </w:tc>
        <w:tc>
          <w:tcPr>
            <w:tcW w:w="1670" w:type="dxa"/>
            <w:tcBorders>
              <w:top w:val="double" w:color="auto" w:sz="2" w:space="0"/>
              <w:left w:val="single" w:color="auto" w:sz="6" w:space="0"/>
              <w:bottom w:val="single" w:color="auto" w:sz="6" w:space="0"/>
              <w:right w:val="single" w:color="auto" w:sz="12" w:space="0"/>
            </w:tcBorders>
            <w:noWrap w:val="0"/>
            <w:vAlign w:val="center"/>
          </w:tcPr>
          <w:p w14:paraId="020766EE">
            <w:pPr>
              <w:pStyle w:val="84"/>
              <w:spacing w:after="120" w:line="360" w:lineRule="auto"/>
              <w:rPr>
                <w:rStyle w:val="86"/>
                <w:rFonts w:ascii="仿宋_GB2312" w:eastAsia="仿宋_GB2312"/>
                <w:highlight w:val="none"/>
              </w:rPr>
            </w:pPr>
          </w:p>
        </w:tc>
      </w:tr>
      <w:tr w14:paraId="16932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nil"/>
              <w:left w:val="single" w:color="auto" w:sz="12" w:space="0"/>
              <w:bottom w:val="single" w:color="auto" w:sz="6" w:space="0"/>
              <w:right w:val="single" w:color="auto" w:sz="6" w:space="0"/>
            </w:tcBorders>
            <w:noWrap w:val="0"/>
            <w:vAlign w:val="center"/>
          </w:tcPr>
          <w:p w14:paraId="45BC8A14">
            <w:pPr>
              <w:pStyle w:val="84"/>
              <w:spacing w:after="120" w:line="360" w:lineRule="auto"/>
              <w:rPr>
                <w:rStyle w:val="86"/>
                <w:rFonts w:ascii="仿宋_GB2312" w:eastAsia="仿宋_GB2312"/>
                <w:highlight w:val="none"/>
              </w:rPr>
            </w:pPr>
          </w:p>
        </w:tc>
        <w:tc>
          <w:tcPr>
            <w:tcW w:w="1276" w:type="dxa"/>
            <w:tcBorders>
              <w:top w:val="nil"/>
              <w:left w:val="single" w:color="auto" w:sz="6" w:space="0"/>
              <w:bottom w:val="single" w:color="auto" w:sz="6" w:space="0"/>
              <w:right w:val="single" w:color="auto" w:sz="6" w:space="0"/>
            </w:tcBorders>
            <w:noWrap w:val="0"/>
            <w:vAlign w:val="center"/>
          </w:tcPr>
          <w:p w14:paraId="31B2D7FB">
            <w:pPr>
              <w:pStyle w:val="84"/>
              <w:spacing w:after="120" w:line="360" w:lineRule="auto"/>
              <w:rPr>
                <w:rStyle w:val="86"/>
                <w:rFonts w:ascii="仿宋_GB2312" w:eastAsia="仿宋_GB2312"/>
                <w:highlight w:val="none"/>
              </w:rPr>
            </w:pPr>
          </w:p>
        </w:tc>
        <w:tc>
          <w:tcPr>
            <w:tcW w:w="1450" w:type="dxa"/>
            <w:tcBorders>
              <w:top w:val="nil"/>
              <w:left w:val="single" w:color="auto" w:sz="6" w:space="0"/>
              <w:bottom w:val="single" w:color="auto" w:sz="6" w:space="0"/>
              <w:right w:val="single" w:color="auto" w:sz="6" w:space="0"/>
            </w:tcBorders>
            <w:noWrap w:val="0"/>
            <w:vAlign w:val="center"/>
          </w:tcPr>
          <w:p w14:paraId="0B54A883">
            <w:pPr>
              <w:pStyle w:val="84"/>
              <w:spacing w:after="120" w:line="360" w:lineRule="auto"/>
              <w:rPr>
                <w:rStyle w:val="86"/>
                <w:rFonts w:ascii="仿宋_GB2312" w:eastAsia="仿宋_GB2312"/>
                <w:highlight w:val="none"/>
              </w:rPr>
            </w:pPr>
          </w:p>
        </w:tc>
        <w:tc>
          <w:tcPr>
            <w:tcW w:w="1243" w:type="dxa"/>
            <w:tcBorders>
              <w:top w:val="nil"/>
              <w:left w:val="single" w:color="auto" w:sz="6" w:space="0"/>
              <w:bottom w:val="single" w:color="auto" w:sz="6" w:space="0"/>
              <w:right w:val="single" w:color="auto" w:sz="6" w:space="0"/>
            </w:tcBorders>
            <w:noWrap w:val="0"/>
            <w:vAlign w:val="center"/>
          </w:tcPr>
          <w:p w14:paraId="4C3EE20B">
            <w:pPr>
              <w:pStyle w:val="84"/>
              <w:spacing w:after="120" w:line="360" w:lineRule="auto"/>
              <w:rPr>
                <w:rStyle w:val="86"/>
                <w:rFonts w:ascii="仿宋_GB2312" w:eastAsia="仿宋_GB2312"/>
                <w:highlight w:val="none"/>
              </w:rPr>
            </w:pPr>
          </w:p>
        </w:tc>
        <w:tc>
          <w:tcPr>
            <w:tcW w:w="1450" w:type="dxa"/>
            <w:tcBorders>
              <w:top w:val="nil"/>
              <w:left w:val="single" w:color="auto" w:sz="6" w:space="0"/>
              <w:bottom w:val="single" w:color="auto" w:sz="6" w:space="0"/>
              <w:right w:val="single" w:color="auto" w:sz="6" w:space="0"/>
            </w:tcBorders>
            <w:noWrap w:val="0"/>
            <w:vAlign w:val="center"/>
          </w:tcPr>
          <w:p w14:paraId="381B191C">
            <w:pPr>
              <w:pStyle w:val="84"/>
              <w:spacing w:after="120" w:line="360" w:lineRule="auto"/>
              <w:rPr>
                <w:rStyle w:val="86"/>
                <w:rFonts w:ascii="仿宋_GB2312" w:eastAsia="仿宋_GB2312"/>
                <w:highlight w:val="none"/>
              </w:rPr>
            </w:pPr>
          </w:p>
        </w:tc>
        <w:tc>
          <w:tcPr>
            <w:tcW w:w="1670" w:type="dxa"/>
            <w:tcBorders>
              <w:top w:val="nil"/>
              <w:left w:val="single" w:color="auto" w:sz="6" w:space="0"/>
              <w:bottom w:val="single" w:color="auto" w:sz="6" w:space="0"/>
              <w:right w:val="single" w:color="auto" w:sz="12" w:space="0"/>
            </w:tcBorders>
            <w:noWrap w:val="0"/>
            <w:vAlign w:val="center"/>
          </w:tcPr>
          <w:p w14:paraId="62C35217">
            <w:pPr>
              <w:pStyle w:val="84"/>
              <w:spacing w:after="120" w:line="360" w:lineRule="auto"/>
              <w:rPr>
                <w:rStyle w:val="86"/>
                <w:rFonts w:ascii="仿宋_GB2312" w:eastAsia="仿宋_GB2312"/>
                <w:highlight w:val="none"/>
              </w:rPr>
            </w:pPr>
          </w:p>
        </w:tc>
      </w:tr>
      <w:tr w14:paraId="2262C5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11220FE0">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9919451">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D037240">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7009E474">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7396B787">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12CB4DBD">
            <w:pPr>
              <w:pStyle w:val="84"/>
              <w:spacing w:after="120" w:line="360" w:lineRule="auto"/>
              <w:rPr>
                <w:rStyle w:val="86"/>
                <w:rFonts w:ascii="仿宋_GB2312" w:eastAsia="仿宋_GB2312"/>
                <w:highlight w:val="none"/>
              </w:rPr>
            </w:pPr>
          </w:p>
        </w:tc>
      </w:tr>
      <w:tr w14:paraId="359B5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128AB5EB">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43A6020">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847EE46">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B82775A">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27FAE3DC">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3F7DE6CD">
            <w:pPr>
              <w:pStyle w:val="84"/>
              <w:spacing w:after="120" w:line="360" w:lineRule="auto"/>
              <w:rPr>
                <w:rStyle w:val="86"/>
                <w:rFonts w:ascii="仿宋_GB2312" w:eastAsia="仿宋_GB2312"/>
                <w:highlight w:val="none"/>
              </w:rPr>
            </w:pPr>
          </w:p>
        </w:tc>
      </w:tr>
      <w:tr w14:paraId="096CB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52C52BFE">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E20FFAA">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4EC94C3">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B08235D">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53248F55">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50D5CD65">
            <w:pPr>
              <w:pStyle w:val="84"/>
              <w:spacing w:after="120" w:line="360" w:lineRule="auto"/>
              <w:rPr>
                <w:rStyle w:val="86"/>
                <w:rFonts w:ascii="仿宋_GB2312" w:eastAsia="仿宋_GB2312"/>
                <w:highlight w:val="none"/>
              </w:rPr>
            </w:pPr>
          </w:p>
        </w:tc>
      </w:tr>
      <w:tr w14:paraId="2A8DD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0810DC92">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C372082">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A858B4F">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12E8C9BC">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CA4902F">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7D3B0F92">
            <w:pPr>
              <w:pStyle w:val="84"/>
              <w:spacing w:after="120" w:line="360" w:lineRule="auto"/>
              <w:rPr>
                <w:rStyle w:val="86"/>
                <w:rFonts w:ascii="仿宋_GB2312" w:eastAsia="仿宋_GB2312"/>
                <w:highlight w:val="none"/>
              </w:rPr>
            </w:pPr>
          </w:p>
        </w:tc>
      </w:tr>
      <w:tr w14:paraId="28137B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0351CBBC">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B6A7F9F">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5F4F09B4">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F8B3CA0">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C644CAE">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64A0972C">
            <w:pPr>
              <w:pStyle w:val="84"/>
              <w:spacing w:after="120" w:line="360" w:lineRule="auto"/>
              <w:rPr>
                <w:rStyle w:val="86"/>
                <w:rFonts w:ascii="仿宋_GB2312" w:eastAsia="仿宋_GB2312"/>
                <w:highlight w:val="none"/>
              </w:rPr>
            </w:pPr>
          </w:p>
        </w:tc>
      </w:tr>
      <w:tr w14:paraId="214C8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2433A225">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59BCB22">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3123C42">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6E8DB4A3">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4507EDD">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10AFE40C">
            <w:pPr>
              <w:pStyle w:val="84"/>
              <w:spacing w:after="120" w:line="360" w:lineRule="auto"/>
              <w:rPr>
                <w:rStyle w:val="86"/>
                <w:rFonts w:ascii="仿宋_GB2312" w:eastAsia="仿宋_GB2312"/>
                <w:highlight w:val="none"/>
              </w:rPr>
            </w:pPr>
          </w:p>
        </w:tc>
      </w:tr>
      <w:tr w14:paraId="7971FB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2BB8BACB">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DACBA38">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F8102ED">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3EC8EC02">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6794E393">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684EF74F">
            <w:pPr>
              <w:pStyle w:val="84"/>
              <w:spacing w:line="360" w:lineRule="auto"/>
              <w:rPr>
                <w:rStyle w:val="86"/>
                <w:rFonts w:ascii="仿宋_GB2312" w:eastAsia="仿宋_GB2312"/>
                <w:highlight w:val="none"/>
              </w:rPr>
            </w:pPr>
          </w:p>
        </w:tc>
      </w:tr>
      <w:tr w14:paraId="1C1AA9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center"/>
          </w:tcPr>
          <w:p w14:paraId="5BE9FD10">
            <w:pPr>
              <w:pStyle w:val="84"/>
              <w:spacing w:after="120"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048FCA5">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57AC9203">
            <w:pPr>
              <w:pStyle w:val="84"/>
              <w:spacing w:after="120"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49B71919">
            <w:pPr>
              <w:pStyle w:val="84"/>
              <w:spacing w:after="120"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281B2C34">
            <w:pPr>
              <w:pStyle w:val="84"/>
              <w:spacing w:after="120"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center"/>
          </w:tcPr>
          <w:p w14:paraId="5EE61CF5">
            <w:pPr>
              <w:pStyle w:val="84"/>
              <w:spacing w:after="120" w:line="360" w:lineRule="auto"/>
              <w:rPr>
                <w:rStyle w:val="86"/>
                <w:rFonts w:ascii="仿宋_GB2312" w:eastAsia="仿宋_GB2312"/>
                <w:highlight w:val="none"/>
              </w:rPr>
            </w:pPr>
          </w:p>
        </w:tc>
      </w:tr>
      <w:tr w14:paraId="402F71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09B08E3A">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8349173">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C233786">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276E8039">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4FAB5FF">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2F1D3702">
            <w:pPr>
              <w:pStyle w:val="84"/>
              <w:spacing w:line="360" w:lineRule="auto"/>
              <w:rPr>
                <w:rStyle w:val="86"/>
                <w:rFonts w:ascii="仿宋_GB2312" w:eastAsia="仿宋_GB2312"/>
                <w:highlight w:val="none"/>
              </w:rPr>
            </w:pPr>
          </w:p>
        </w:tc>
      </w:tr>
      <w:tr w14:paraId="1BD2F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2FAE2D53">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9471D0A">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F604BBA">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50DE693A">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E06457B">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680C3CA1">
            <w:pPr>
              <w:pStyle w:val="84"/>
              <w:spacing w:line="360" w:lineRule="auto"/>
              <w:rPr>
                <w:rStyle w:val="86"/>
                <w:rFonts w:ascii="仿宋_GB2312" w:eastAsia="仿宋_GB2312"/>
                <w:highlight w:val="none"/>
              </w:rPr>
            </w:pPr>
          </w:p>
        </w:tc>
      </w:tr>
      <w:tr w14:paraId="087056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122B351E">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57202295">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6E07D50">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04BC0B22">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926500D">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78E6F065">
            <w:pPr>
              <w:pStyle w:val="84"/>
              <w:spacing w:line="360" w:lineRule="auto"/>
              <w:rPr>
                <w:rStyle w:val="86"/>
                <w:rFonts w:ascii="仿宋_GB2312" w:eastAsia="仿宋_GB2312"/>
                <w:highlight w:val="none"/>
              </w:rPr>
            </w:pPr>
          </w:p>
        </w:tc>
      </w:tr>
      <w:tr w14:paraId="0BADC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405E8022">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4843E91F">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2C07559A">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08AF9C08">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D4F4165">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033EB911">
            <w:pPr>
              <w:pStyle w:val="84"/>
              <w:spacing w:line="360" w:lineRule="auto"/>
              <w:rPr>
                <w:rStyle w:val="86"/>
                <w:rFonts w:ascii="仿宋_GB2312" w:eastAsia="仿宋_GB2312"/>
                <w:highlight w:val="none"/>
              </w:rPr>
            </w:pPr>
          </w:p>
        </w:tc>
      </w:tr>
      <w:tr w14:paraId="14D8C4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7FAF50BC">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5263581">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654CBE3">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37C7184B">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2EACE7B0">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5CF9F931">
            <w:pPr>
              <w:pStyle w:val="84"/>
              <w:spacing w:line="360" w:lineRule="auto"/>
              <w:rPr>
                <w:rStyle w:val="86"/>
                <w:rFonts w:ascii="仿宋_GB2312" w:eastAsia="仿宋_GB2312"/>
                <w:highlight w:val="none"/>
              </w:rPr>
            </w:pPr>
          </w:p>
        </w:tc>
      </w:tr>
      <w:tr w14:paraId="61E18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6" w:space="0"/>
              <w:right w:val="single" w:color="auto" w:sz="6" w:space="0"/>
            </w:tcBorders>
            <w:noWrap w:val="0"/>
            <w:vAlign w:val="top"/>
          </w:tcPr>
          <w:p w14:paraId="54B3A182">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DABBCAC">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71B1978">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2A9C4422">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E19F57A">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6" w:space="0"/>
              <w:right w:val="single" w:color="auto" w:sz="12" w:space="0"/>
            </w:tcBorders>
            <w:noWrap w:val="0"/>
            <w:vAlign w:val="top"/>
          </w:tcPr>
          <w:p w14:paraId="07204F63">
            <w:pPr>
              <w:pStyle w:val="84"/>
              <w:spacing w:line="360" w:lineRule="auto"/>
              <w:rPr>
                <w:rStyle w:val="86"/>
                <w:rFonts w:ascii="仿宋_GB2312" w:eastAsia="仿宋_GB2312"/>
                <w:highlight w:val="none"/>
              </w:rPr>
            </w:pPr>
          </w:p>
        </w:tc>
      </w:tr>
      <w:tr w14:paraId="62C9FC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125" w:type="dxa"/>
            <w:tcBorders>
              <w:top w:val="single" w:color="auto" w:sz="6" w:space="0"/>
              <w:left w:val="single" w:color="auto" w:sz="12" w:space="0"/>
              <w:bottom w:val="single" w:color="auto" w:sz="12" w:space="0"/>
              <w:right w:val="single" w:color="auto" w:sz="6" w:space="0"/>
            </w:tcBorders>
            <w:noWrap w:val="0"/>
            <w:vAlign w:val="top"/>
          </w:tcPr>
          <w:p w14:paraId="22A85B52">
            <w:pPr>
              <w:pStyle w:val="84"/>
              <w:spacing w:line="360" w:lineRule="auto"/>
              <w:rPr>
                <w:rStyle w:val="86"/>
                <w:rFonts w:ascii="仿宋_GB2312" w:eastAsia="仿宋_GB2312"/>
                <w:highlight w:val="none"/>
              </w:rPr>
            </w:pPr>
          </w:p>
        </w:tc>
        <w:tc>
          <w:tcPr>
            <w:tcW w:w="1276" w:type="dxa"/>
            <w:tcBorders>
              <w:top w:val="single" w:color="auto" w:sz="6" w:space="0"/>
              <w:left w:val="single" w:color="auto" w:sz="6" w:space="0"/>
              <w:bottom w:val="single" w:color="auto" w:sz="12" w:space="0"/>
              <w:right w:val="single" w:color="auto" w:sz="6" w:space="0"/>
            </w:tcBorders>
            <w:noWrap w:val="0"/>
            <w:vAlign w:val="top"/>
          </w:tcPr>
          <w:p w14:paraId="69A18F9B">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5BFE506C">
            <w:pPr>
              <w:pStyle w:val="84"/>
              <w:spacing w:line="360" w:lineRule="auto"/>
              <w:rPr>
                <w:rStyle w:val="86"/>
                <w:rFonts w:ascii="仿宋_GB2312" w:eastAsia="仿宋_GB2312"/>
                <w:highlight w:val="none"/>
              </w:rPr>
            </w:pPr>
          </w:p>
        </w:tc>
        <w:tc>
          <w:tcPr>
            <w:tcW w:w="1243" w:type="dxa"/>
            <w:tcBorders>
              <w:top w:val="single" w:color="auto" w:sz="6" w:space="0"/>
              <w:left w:val="single" w:color="auto" w:sz="6" w:space="0"/>
              <w:bottom w:val="single" w:color="auto" w:sz="12" w:space="0"/>
              <w:right w:val="single" w:color="auto" w:sz="6" w:space="0"/>
            </w:tcBorders>
            <w:noWrap w:val="0"/>
            <w:vAlign w:val="top"/>
          </w:tcPr>
          <w:p w14:paraId="0A3F34FE">
            <w:pPr>
              <w:pStyle w:val="84"/>
              <w:spacing w:line="360" w:lineRule="auto"/>
              <w:rPr>
                <w:rStyle w:val="86"/>
                <w:rFonts w:ascii="仿宋_GB2312" w:eastAsia="仿宋_GB2312"/>
                <w:highlight w:val="none"/>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1DF333BF">
            <w:pPr>
              <w:pStyle w:val="84"/>
              <w:spacing w:line="360" w:lineRule="auto"/>
              <w:rPr>
                <w:rStyle w:val="86"/>
                <w:rFonts w:ascii="仿宋_GB2312" w:eastAsia="仿宋_GB2312"/>
                <w:highlight w:val="none"/>
              </w:rPr>
            </w:pPr>
          </w:p>
        </w:tc>
        <w:tc>
          <w:tcPr>
            <w:tcW w:w="1670" w:type="dxa"/>
            <w:tcBorders>
              <w:top w:val="single" w:color="auto" w:sz="6" w:space="0"/>
              <w:left w:val="single" w:color="auto" w:sz="6" w:space="0"/>
              <w:bottom w:val="single" w:color="auto" w:sz="12" w:space="0"/>
              <w:right w:val="single" w:color="auto" w:sz="12" w:space="0"/>
            </w:tcBorders>
            <w:noWrap w:val="0"/>
            <w:vAlign w:val="top"/>
          </w:tcPr>
          <w:p w14:paraId="385808D6">
            <w:pPr>
              <w:pStyle w:val="84"/>
              <w:spacing w:line="360" w:lineRule="auto"/>
              <w:rPr>
                <w:rStyle w:val="86"/>
                <w:rFonts w:ascii="仿宋_GB2312" w:eastAsia="仿宋_GB2312"/>
                <w:highlight w:val="none"/>
              </w:rPr>
            </w:pPr>
          </w:p>
        </w:tc>
      </w:tr>
    </w:tbl>
    <w:p w14:paraId="208F5F46">
      <w:pPr>
        <w:pStyle w:val="84"/>
        <w:spacing w:line="360" w:lineRule="auto"/>
        <w:rPr>
          <w:rStyle w:val="86"/>
          <w:rFonts w:hint="eastAsia"/>
          <w:highlight w:val="none"/>
        </w:rPr>
      </w:pPr>
      <w:r>
        <w:rPr>
          <w:rStyle w:val="86"/>
          <w:highlight w:val="none"/>
        </w:rPr>
        <w:t xml:space="preserve"> </w:t>
      </w:r>
    </w:p>
    <w:p w14:paraId="51806E07">
      <w:pPr>
        <w:pStyle w:val="84"/>
        <w:spacing w:line="360" w:lineRule="auto"/>
        <w:rPr>
          <w:rStyle w:val="86"/>
          <w:highlight w:val="none"/>
        </w:rPr>
      </w:pPr>
      <w:r>
        <w:rPr>
          <w:rStyle w:val="86"/>
          <w:highlight w:val="none"/>
        </w:rPr>
        <w:t xml:space="preserve"> </w:t>
      </w:r>
    </w:p>
    <w:p w14:paraId="3EB23820">
      <w:pPr>
        <w:pStyle w:val="84"/>
        <w:spacing w:line="360" w:lineRule="auto"/>
        <w:rPr>
          <w:rStyle w:val="86"/>
          <w:highlight w:val="none"/>
        </w:rPr>
      </w:pPr>
      <w:r>
        <w:rPr>
          <w:rStyle w:val="86"/>
          <w:highlight w:val="none"/>
        </w:rPr>
        <w:t xml:space="preserve"> </w:t>
      </w:r>
    </w:p>
    <w:p w14:paraId="6920097E">
      <w:pPr>
        <w:pStyle w:val="84"/>
        <w:spacing w:line="360" w:lineRule="auto"/>
        <w:rPr>
          <w:rStyle w:val="86"/>
          <w:highlight w:val="none"/>
        </w:rPr>
      </w:pPr>
      <w:r>
        <w:rPr>
          <w:rStyle w:val="86"/>
          <w:highlight w:val="none"/>
        </w:rPr>
        <w:t xml:space="preserve"> </w:t>
      </w:r>
    </w:p>
    <w:p w14:paraId="3E13BBB4">
      <w:pPr>
        <w:pStyle w:val="84"/>
        <w:spacing w:line="360" w:lineRule="auto"/>
        <w:jc w:val="center"/>
        <w:rPr>
          <w:rStyle w:val="86"/>
          <w:rFonts w:ascii="黑体" w:hAnsi="黑体" w:eastAsia="黑体"/>
          <w:b/>
          <w:bCs/>
          <w:sz w:val="30"/>
          <w:szCs w:val="30"/>
          <w:highlight w:val="none"/>
        </w:rPr>
      </w:pPr>
      <w:r>
        <w:rPr>
          <w:rStyle w:val="86"/>
          <w:highlight w:val="none"/>
        </w:rPr>
        <w:br w:type="page"/>
      </w:r>
      <w:r>
        <w:rPr>
          <w:rStyle w:val="86"/>
          <w:rFonts w:hint="eastAsia" w:ascii="宋体" w:hAnsi="宋体"/>
          <w:b/>
          <w:bCs/>
          <w:sz w:val="28"/>
          <w:szCs w:val="28"/>
          <w:highlight w:val="none"/>
        </w:rPr>
        <w:t>附件5 承包人主要管理人员表</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05"/>
        <w:gridCol w:w="1418"/>
        <w:gridCol w:w="1134"/>
        <w:gridCol w:w="1134"/>
        <w:gridCol w:w="3896"/>
      </w:tblGrid>
      <w:tr w14:paraId="6A468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12" w:space="0"/>
              <w:left w:val="single" w:color="auto" w:sz="12" w:space="0"/>
              <w:bottom w:val="double" w:color="auto" w:sz="2" w:space="0"/>
              <w:right w:val="single" w:color="auto" w:sz="6" w:space="0"/>
            </w:tcBorders>
            <w:noWrap w:val="0"/>
            <w:vAlign w:val="center"/>
          </w:tcPr>
          <w:p w14:paraId="49FE0C9F">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名    称</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76F613F6">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姓名</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314ED48B">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职务</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681B93CF">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职称</w:t>
            </w:r>
          </w:p>
        </w:tc>
        <w:tc>
          <w:tcPr>
            <w:tcW w:w="3896" w:type="dxa"/>
            <w:tcBorders>
              <w:top w:val="single" w:color="auto" w:sz="12" w:space="0"/>
              <w:left w:val="single" w:color="auto" w:sz="6" w:space="0"/>
              <w:bottom w:val="double" w:color="auto" w:sz="2" w:space="0"/>
              <w:right w:val="single" w:color="auto" w:sz="12" w:space="0"/>
            </w:tcBorders>
            <w:noWrap w:val="0"/>
            <w:vAlign w:val="center"/>
          </w:tcPr>
          <w:p w14:paraId="3438EBD4">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主要资历、经验及承担过的项目</w:t>
            </w:r>
          </w:p>
        </w:tc>
      </w:tr>
      <w:tr w14:paraId="1C89C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double" w:color="auto" w:sz="2" w:space="0"/>
              <w:left w:val="single" w:color="auto" w:sz="12" w:space="0"/>
              <w:bottom w:val="single" w:color="auto" w:sz="6" w:space="0"/>
              <w:right w:val="single" w:color="auto" w:sz="12" w:space="0"/>
            </w:tcBorders>
            <w:noWrap w:val="0"/>
            <w:vAlign w:val="center"/>
          </w:tcPr>
          <w:p w14:paraId="6B574B2A">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一、总部人员</w:t>
            </w:r>
          </w:p>
        </w:tc>
      </w:tr>
      <w:tr w14:paraId="274E3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left w:val="single" w:color="auto" w:sz="12" w:space="0"/>
              <w:bottom w:val="nil"/>
              <w:right w:val="single" w:color="auto" w:sz="6" w:space="0"/>
            </w:tcBorders>
            <w:noWrap w:val="0"/>
            <w:vAlign w:val="center"/>
          </w:tcPr>
          <w:p w14:paraId="1615CF52">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项目主管</w:t>
            </w:r>
          </w:p>
        </w:tc>
        <w:tc>
          <w:tcPr>
            <w:tcW w:w="1418" w:type="dxa"/>
            <w:tcBorders>
              <w:top w:val="nil"/>
              <w:left w:val="single" w:color="auto" w:sz="6" w:space="0"/>
              <w:bottom w:val="single" w:color="auto" w:sz="6" w:space="0"/>
              <w:right w:val="single" w:color="auto" w:sz="6" w:space="0"/>
            </w:tcBorders>
            <w:noWrap w:val="0"/>
            <w:vAlign w:val="center"/>
          </w:tcPr>
          <w:p w14:paraId="6A36A281">
            <w:pPr>
              <w:pStyle w:val="84"/>
              <w:spacing w:line="360" w:lineRule="auto"/>
              <w:ind w:firstLine="420"/>
              <w:rPr>
                <w:rStyle w:val="86"/>
                <w:rFonts w:ascii="仿宋_GB2312" w:eastAsia="仿宋_GB2312"/>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27C4611B">
            <w:pPr>
              <w:pStyle w:val="84"/>
              <w:spacing w:line="360" w:lineRule="auto"/>
              <w:ind w:firstLine="420"/>
              <w:rPr>
                <w:rStyle w:val="86"/>
                <w:rFonts w:ascii="仿宋_GB2312" w:eastAsia="仿宋_GB2312"/>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6E8DF2BD">
            <w:pPr>
              <w:pStyle w:val="84"/>
              <w:spacing w:line="360" w:lineRule="auto"/>
              <w:ind w:firstLine="420"/>
              <w:rPr>
                <w:rStyle w:val="86"/>
                <w:rFonts w:ascii="仿宋_GB2312" w:eastAsia="仿宋_GB2312"/>
                <w:highlight w:val="none"/>
              </w:rPr>
            </w:pPr>
          </w:p>
        </w:tc>
        <w:tc>
          <w:tcPr>
            <w:tcW w:w="3896" w:type="dxa"/>
            <w:tcBorders>
              <w:top w:val="nil"/>
              <w:left w:val="single" w:color="auto" w:sz="6" w:space="0"/>
              <w:bottom w:val="single" w:color="auto" w:sz="6" w:space="0"/>
              <w:right w:val="single" w:color="auto" w:sz="12" w:space="0"/>
            </w:tcBorders>
            <w:noWrap w:val="0"/>
            <w:vAlign w:val="center"/>
          </w:tcPr>
          <w:p w14:paraId="0B1E67D8">
            <w:pPr>
              <w:pStyle w:val="84"/>
              <w:spacing w:line="360" w:lineRule="auto"/>
              <w:ind w:firstLine="420"/>
              <w:rPr>
                <w:rStyle w:val="86"/>
                <w:rFonts w:ascii="仿宋_GB2312" w:eastAsia="仿宋_GB2312"/>
                <w:highlight w:val="none"/>
              </w:rPr>
            </w:pPr>
          </w:p>
        </w:tc>
      </w:tr>
      <w:tr w14:paraId="456B4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nil"/>
              <w:right w:val="single" w:color="auto" w:sz="6" w:space="0"/>
            </w:tcBorders>
            <w:noWrap w:val="0"/>
            <w:vAlign w:val="center"/>
          </w:tcPr>
          <w:p w14:paraId="283E1FA7">
            <w:pPr>
              <w:pStyle w:val="84"/>
              <w:spacing w:line="360" w:lineRule="auto"/>
              <w:ind w:firstLine="420"/>
              <w:rPr>
                <w:rStyle w:val="86"/>
                <w:rFonts w:ascii="仿宋_GB2312" w:eastAsia="仿宋_GB2312"/>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BDFF21E">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FDD489B">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BBD2BB9">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3D96B89D">
            <w:pPr>
              <w:pStyle w:val="84"/>
              <w:spacing w:line="360" w:lineRule="auto"/>
              <w:ind w:firstLine="420"/>
              <w:rPr>
                <w:rStyle w:val="86"/>
                <w:rFonts w:ascii="仿宋_GB2312" w:eastAsia="仿宋_GB2312"/>
                <w:highlight w:val="none"/>
              </w:rPr>
            </w:pPr>
          </w:p>
        </w:tc>
      </w:tr>
      <w:tr w14:paraId="1DE4DA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505" w:type="dxa"/>
            <w:tcBorders>
              <w:top w:val="nil"/>
              <w:left w:val="single" w:color="auto" w:sz="12" w:space="0"/>
              <w:bottom w:val="nil"/>
              <w:right w:val="single" w:color="auto" w:sz="6" w:space="0"/>
            </w:tcBorders>
            <w:noWrap w:val="0"/>
            <w:vAlign w:val="center"/>
          </w:tcPr>
          <w:p w14:paraId="2C2302A4">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1A24EF0">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8C78EF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37AF0FF">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75B0577">
            <w:pPr>
              <w:pStyle w:val="84"/>
              <w:spacing w:line="360" w:lineRule="auto"/>
              <w:ind w:firstLine="420"/>
              <w:rPr>
                <w:rStyle w:val="86"/>
                <w:rFonts w:ascii="仿宋_GB2312" w:eastAsia="仿宋_GB2312"/>
                <w:highlight w:val="none"/>
              </w:rPr>
            </w:pPr>
          </w:p>
        </w:tc>
      </w:tr>
      <w:tr w14:paraId="2EE48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nil"/>
              <w:left w:val="single" w:color="auto" w:sz="12" w:space="0"/>
              <w:bottom w:val="nil"/>
              <w:right w:val="single" w:color="auto" w:sz="6" w:space="0"/>
            </w:tcBorders>
            <w:noWrap w:val="0"/>
            <w:vAlign w:val="center"/>
          </w:tcPr>
          <w:p w14:paraId="7E189C32">
            <w:pPr>
              <w:pStyle w:val="84"/>
              <w:spacing w:line="360" w:lineRule="auto"/>
              <w:ind w:firstLine="420"/>
              <w:rPr>
                <w:rStyle w:val="86"/>
                <w:rFonts w:ascii="仿宋_GB2312" w:eastAsia="仿宋_GB2312"/>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07CB85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A62694B">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1A213AF">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3F4ECDC">
            <w:pPr>
              <w:pStyle w:val="84"/>
              <w:spacing w:line="360" w:lineRule="auto"/>
              <w:ind w:firstLine="420"/>
              <w:rPr>
                <w:rStyle w:val="86"/>
                <w:rFonts w:ascii="仿宋_GB2312" w:eastAsia="仿宋_GB2312"/>
                <w:highlight w:val="none"/>
              </w:rPr>
            </w:pPr>
          </w:p>
        </w:tc>
      </w:tr>
      <w:tr w14:paraId="5D6285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gridSpan w:val="5"/>
            <w:tcBorders>
              <w:top w:val="single" w:color="auto" w:sz="6" w:space="0"/>
              <w:left w:val="single" w:color="auto" w:sz="12" w:space="0"/>
              <w:bottom w:val="single" w:color="auto" w:sz="6" w:space="0"/>
              <w:right w:val="single" w:color="auto" w:sz="12" w:space="0"/>
            </w:tcBorders>
            <w:noWrap w:val="0"/>
            <w:vAlign w:val="center"/>
          </w:tcPr>
          <w:p w14:paraId="515B3E5E">
            <w:pPr>
              <w:pStyle w:val="84"/>
              <w:spacing w:line="360" w:lineRule="auto"/>
              <w:ind w:firstLine="420"/>
              <w:rPr>
                <w:rStyle w:val="86"/>
                <w:rFonts w:ascii="仿宋_GB2312" w:eastAsia="仿宋_GB2312"/>
                <w:highlight w:val="none"/>
              </w:rPr>
            </w:pPr>
            <w:r>
              <w:rPr>
                <w:rStyle w:val="86"/>
                <w:rFonts w:hint="eastAsia" w:ascii="仿宋_GB2312" w:eastAsia="仿宋_GB2312"/>
                <w:highlight w:val="none"/>
              </w:rPr>
              <w:t>二、现场人员</w:t>
            </w:r>
          </w:p>
        </w:tc>
      </w:tr>
      <w:tr w14:paraId="4FF9C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5F11990C">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工程总承包</w:t>
            </w:r>
          </w:p>
          <w:p w14:paraId="5EBC0DE9">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2FFD338">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7CC3B87">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E2EC385">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78D509FD">
            <w:pPr>
              <w:pStyle w:val="84"/>
              <w:spacing w:line="360" w:lineRule="auto"/>
              <w:ind w:firstLine="420"/>
              <w:rPr>
                <w:rStyle w:val="86"/>
                <w:rFonts w:ascii="仿宋_GB2312" w:eastAsia="仿宋_GB2312"/>
                <w:highlight w:val="none"/>
              </w:rPr>
            </w:pPr>
          </w:p>
          <w:p w14:paraId="70475C57">
            <w:pPr>
              <w:pStyle w:val="84"/>
              <w:spacing w:line="360" w:lineRule="auto"/>
              <w:ind w:firstLine="420"/>
              <w:rPr>
                <w:rStyle w:val="86"/>
                <w:rFonts w:ascii="仿宋_GB2312" w:eastAsia="仿宋_GB2312"/>
                <w:highlight w:val="none"/>
              </w:rPr>
            </w:pPr>
          </w:p>
        </w:tc>
      </w:tr>
      <w:tr w14:paraId="514E2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5B54C83A">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C64AACE">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BFD4125">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660EA44">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AF9D5BB">
            <w:pPr>
              <w:pStyle w:val="84"/>
              <w:spacing w:line="360" w:lineRule="auto"/>
              <w:ind w:firstLine="420"/>
              <w:rPr>
                <w:rStyle w:val="86"/>
                <w:rFonts w:ascii="仿宋_GB2312" w:eastAsia="仿宋_GB2312"/>
                <w:highlight w:val="none"/>
              </w:rPr>
            </w:pPr>
          </w:p>
        </w:tc>
      </w:tr>
      <w:tr w14:paraId="05AFE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5B1DF65A">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设计负责人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3ED5A09">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61B6370">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BB0DB12">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20D6FB91">
            <w:pPr>
              <w:pStyle w:val="84"/>
              <w:spacing w:line="360" w:lineRule="auto"/>
              <w:ind w:firstLine="420"/>
              <w:rPr>
                <w:rStyle w:val="86"/>
                <w:rFonts w:ascii="仿宋_GB2312" w:eastAsia="仿宋_GB2312"/>
                <w:highlight w:val="none"/>
              </w:rPr>
            </w:pPr>
          </w:p>
        </w:tc>
      </w:tr>
      <w:tr w14:paraId="31785E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5CC93D99">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采购负责人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B8462DA">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8EE86FC">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A75FA5A">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1CF959C">
            <w:pPr>
              <w:pStyle w:val="84"/>
              <w:spacing w:line="360" w:lineRule="auto"/>
              <w:ind w:firstLine="420"/>
              <w:rPr>
                <w:rStyle w:val="86"/>
                <w:rFonts w:ascii="仿宋_GB2312" w:eastAsia="仿宋_GB2312"/>
                <w:highlight w:val="none"/>
              </w:rPr>
            </w:pPr>
          </w:p>
        </w:tc>
      </w:tr>
      <w:tr w14:paraId="5C669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1147F854">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施工负责人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D305C13">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A1104E9">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81CF1FB">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0E8BCEA6">
            <w:pPr>
              <w:pStyle w:val="84"/>
              <w:spacing w:line="360" w:lineRule="auto"/>
              <w:ind w:firstLine="420"/>
              <w:rPr>
                <w:rStyle w:val="86"/>
                <w:rFonts w:ascii="仿宋_GB2312" w:eastAsia="仿宋_GB2312"/>
                <w:highlight w:val="none"/>
              </w:rPr>
            </w:pPr>
          </w:p>
        </w:tc>
      </w:tr>
      <w:tr w14:paraId="1B08E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5ADA3132">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84BF2DF">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0440D91">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25AFB62">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5C769AB5">
            <w:pPr>
              <w:pStyle w:val="84"/>
              <w:spacing w:line="360" w:lineRule="auto"/>
              <w:ind w:firstLine="420"/>
              <w:rPr>
                <w:rStyle w:val="86"/>
                <w:rFonts w:ascii="仿宋_GB2312" w:eastAsia="仿宋_GB2312"/>
                <w:highlight w:val="none"/>
              </w:rPr>
            </w:pPr>
          </w:p>
        </w:tc>
      </w:tr>
      <w:tr w14:paraId="4FAA4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5C07B1BA">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48D263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3395D78">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88B4F5B">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3EC73C4">
            <w:pPr>
              <w:pStyle w:val="84"/>
              <w:spacing w:line="360" w:lineRule="auto"/>
              <w:ind w:firstLine="420"/>
              <w:rPr>
                <w:rStyle w:val="86"/>
                <w:rFonts w:ascii="仿宋_GB2312" w:eastAsia="仿宋_GB2312"/>
                <w:highlight w:val="none"/>
              </w:rPr>
            </w:pPr>
          </w:p>
        </w:tc>
      </w:tr>
      <w:tr w14:paraId="164002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35C07340">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61A00D8">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04A397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559BEE6">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77420DC5">
            <w:pPr>
              <w:pStyle w:val="84"/>
              <w:spacing w:line="360" w:lineRule="auto"/>
              <w:ind w:firstLine="420"/>
              <w:rPr>
                <w:rStyle w:val="86"/>
                <w:rFonts w:ascii="仿宋_GB2312" w:eastAsia="仿宋_GB2312"/>
                <w:highlight w:val="none"/>
              </w:rPr>
            </w:pPr>
          </w:p>
        </w:tc>
      </w:tr>
      <w:tr w14:paraId="164A3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7F04C56E">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5263B60">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A334FB9">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A5CB619">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5A99B7D">
            <w:pPr>
              <w:pStyle w:val="84"/>
              <w:spacing w:line="360" w:lineRule="auto"/>
              <w:ind w:firstLine="420"/>
              <w:rPr>
                <w:rStyle w:val="86"/>
                <w:rFonts w:ascii="仿宋_GB2312" w:eastAsia="仿宋_GB2312"/>
                <w:highlight w:val="none"/>
              </w:rPr>
            </w:pPr>
          </w:p>
        </w:tc>
      </w:tr>
      <w:tr w14:paraId="04FB13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1164FDCE">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2BA0FF7">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1796344">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0C4C5F5">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3AF557C8">
            <w:pPr>
              <w:pStyle w:val="84"/>
              <w:spacing w:line="360" w:lineRule="auto"/>
              <w:ind w:firstLine="420"/>
              <w:rPr>
                <w:rStyle w:val="86"/>
                <w:rFonts w:ascii="仿宋_GB2312" w:eastAsia="仿宋_GB2312"/>
                <w:highlight w:val="none"/>
              </w:rPr>
            </w:pPr>
          </w:p>
        </w:tc>
      </w:tr>
      <w:tr w14:paraId="69E3ED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tcBorders>
              <w:top w:val="single" w:color="auto" w:sz="6" w:space="0"/>
              <w:left w:val="single" w:color="auto" w:sz="12" w:space="0"/>
              <w:bottom w:val="single" w:color="auto" w:sz="6" w:space="0"/>
              <w:right w:val="single" w:color="auto" w:sz="6" w:space="0"/>
            </w:tcBorders>
            <w:noWrap w:val="0"/>
            <w:vAlign w:val="center"/>
          </w:tcPr>
          <w:p w14:paraId="4AE54055">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环境管理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DE85874">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55DD0BD">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E62D71E">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25FB8B8D">
            <w:pPr>
              <w:pStyle w:val="84"/>
              <w:spacing w:line="360" w:lineRule="auto"/>
              <w:ind w:firstLine="420"/>
              <w:rPr>
                <w:rStyle w:val="86"/>
                <w:rFonts w:ascii="仿宋_GB2312" w:eastAsia="仿宋_GB2312"/>
                <w:highlight w:val="none"/>
              </w:rPr>
            </w:pPr>
          </w:p>
        </w:tc>
      </w:tr>
      <w:tr w14:paraId="33A8C8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505" w:type="dxa"/>
            <w:vMerge w:val="restart"/>
            <w:tcBorders>
              <w:top w:val="nil"/>
              <w:left w:val="single" w:color="auto" w:sz="12" w:space="0"/>
              <w:bottom w:val="single" w:color="auto" w:sz="6" w:space="0"/>
              <w:right w:val="single" w:color="auto" w:sz="6" w:space="0"/>
            </w:tcBorders>
            <w:noWrap w:val="0"/>
            <w:vAlign w:val="center"/>
          </w:tcPr>
          <w:p w14:paraId="7FC2360E">
            <w:pPr>
              <w:pStyle w:val="84"/>
              <w:spacing w:line="360" w:lineRule="auto"/>
              <w:jc w:val="center"/>
              <w:rPr>
                <w:rStyle w:val="86"/>
                <w:rFonts w:ascii="仿宋_GB2312" w:eastAsia="仿宋_GB2312"/>
                <w:highlight w:val="none"/>
              </w:rPr>
            </w:pPr>
            <w:r>
              <w:rPr>
                <w:rStyle w:val="86"/>
                <w:rFonts w:hint="eastAsia" w:ascii="仿宋_GB2312" w:eastAsia="仿宋_GB2312"/>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089A7A4">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D669F71">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D75C9A4">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46490D76">
            <w:pPr>
              <w:pStyle w:val="84"/>
              <w:spacing w:line="360" w:lineRule="auto"/>
              <w:ind w:firstLine="420"/>
              <w:rPr>
                <w:rStyle w:val="86"/>
                <w:rFonts w:ascii="仿宋_GB2312" w:eastAsia="仿宋_GB2312"/>
                <w:highlight w:val="none"/>
              </w:rPr>
            </w:pPr>
          </w:p>
        </w:tc>
      </w:tr>
      <w:tr w14:paraId="5FF70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vMerge w:val="continue"/>
            <w:tcBorders>
              <w:top w:val="nil"/>
              <w:left w:val="single" w:color="auto" w:sz="12" w:space="0"/>
              <w:bottom w:val="single" w:color="auto" w:sz="6" w:space="0"/>
              <w:right w:val="single" w:color="auto" w:sz="6" w:space="0"/>
            </w:tcBorders>
            <w:noWrap w:val="0"/>
            <w:vAlign w:val="center"/>
          </w:tcPr>
          <w:p w14:paraId="4C8E83D4">
            <w:pPr>
              <w:pStyle w:val="21"/>
              <w:widowControl/>
              <w:jc w:val="left"/>
              <w:rPr>
                <w:rStyle w:val="86"/>
                <w:rFonts w:ascii="仿宋_GB2312" w:eastAsia="仿宋_GB2312"/>
                <w:szCs w:val="21"/>
                <w:highlight w:val="none"/>
              </w:rPr>
            </w:pPr>
          </w:p>
        </w:tc>
        <w:tc>
          <w:tcPr>
            <w:tcW w:w="1418" w:type="dxa"/>
            <w:tcBorders>
              <w:top w:val="single" w:color="auto" w:sz="6" w:space="0"/>
              <w:left w:val="single" w:color="auto" w:sz="6" w:space="0"/>
              <w:bottom w:val="nil"/>
              <w:right w:val="single" w:color="auto" w:sz="6" w:space="0"/>
            </w:tcBorders>
            <w:noWrap w:val="0"/>
            <w:vAlign w:val="center"/>
          </w:tcPr>
          <w:p w14:paraId="76AAFCA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173B365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3337E28E">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nil"/>
              <w:right w:val="single" w:color="auto" w:sz="12" w:space="0"/>
            </w:tcBorders>
            <w:noWrap w:val="0"/>
            <w:vAlign w:val="center"/>
          </w:tcPr>
          <w:p w14:paraId="7942770A">
            <w:pPr>
              <w:pStyle w:val="84"/>
              <w:spacing w:line="360" w:lineRule="auto"/>
              <w:ind w:firstLine="420"/>
              <w:rPr>
                <w:rStyle w:val="86"/>
                <w:rFonts w:ascii="仿宋_GB2312" w:eastAsia="仿宋_GB2312"/>
                <w:highlight w:val="none"/>
              </w:rPr>
            </w:pPr>
          </w:p>
        </w:tc>
      </w:tr>
      <w:tr w14:paraId="382191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vMerge w:val="continue"/>
            <w:tcBorders>
              <w:top w:val="nil"/>
              <w:left w:val="single" w:color="auto" w:sz="12" w:space="0"/>
              <w:bottom w:val="single" w:color="auto" w:sz="6" w:space="0"/>
              <w:right w:val="single" w:color="auto" w:sz="6" w:space="0"/>
            </w:tcBorders>
            <w:noWrap w:val="0"/>
            <w:vAlign w:val="center"/>
          </w:tcPr>
          <w:p w14:paraId="16667CC3">
            <w:pPr>
              <w:pStyle w:val="21"/>
              <w:widowControl/>
              <w:jc w:val="left"/>
              <w:rPr>
                <w:rStyle w:val="86"/>
                <w:rFonts w:ascii="仿宋_GB2312" w:eastAsia="仿宋_GB2312"/>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A667615">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0F7E7F6">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AF8623E">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7D5DED6F">
            <w:pPr>
              <w:pStyle w:val="84"/>
              <w:spacing w:line="360" w:lineRule="auto"/>
              <w:ind w:firstLine="420"/>
              <w:rPr>
                <w:rStyle w:val="86"/>
                <w:rFonts w:ascii="仿宋_GB2312" w:eastAsia="仿宋_GB2312"/>
                <w:highlight w:val="none"/>
              </w:rPr>
            </w:pPr>
          </w:p>
        </w:tc>
      </w:tr>
      <w:tr w14:paraId="46049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vMerge w:val="continue"/>
            <w:tcBorders>
              <w:top w:val="nil"/>
              <w:left w:val="single" w:color="auto" w:sz="12" w:space="0"/>
              <w:bottom w:val="single" w:color="auto" w:sz="6" w:space="0"/>
              <w:right w:val="single" w:color="auto" w:sz="6" w:space="0"/>
            </w:tcBorders>
            <w:noWrap w:val="0"/>
            <w:vAlign w:val="center"/>
          </w:tcPr>
          <w:p w14:paraId="162E46E7">
            <w:pPr>
              <w:pStyle w:val="21"/>
              <w:widowControl/>
              <w:jc w:val="left"/>
              <w:rPr>
                <w:rStyle w:val="86"/>
                <w:rFonts w:ascii="仿宋_GB2312" w:eastAsia="仿宋_GB2312"/>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E418C53">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E2725DA">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7D2889B">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44C21F0F">
            <w:pPr>
              <w:pStyle w:val="84"/>
              <w:spacing w:line="360" w:lineRule="auto"/>
              <w:ind w:firstLine="420"/>
              <w:rPr>
                <w:rStyle w:val="86"/>
                <w:rFonts w:ascii="仿宋_GB2312" w:eastAsia="仿宋_GB2312"/>
                <w:highlight w:val="none"/>
              </w:rPr>
            </w:pPr>
          </w:p>
        </w:tc>
      </w:tr>
      <w:tr w14:paraId="2E9DA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87" w:type="dxa"/>
            <w:vMerge w:val="continue"/>
            <w:tcBorders>
              <w:top w:val="nil"/>
              <w:left w:val="single" w:color="auto" w:sz="12" w:space="0"/>
              <w:bottom w:val="single" w:color="auto" w:sz="6" w:space="0"/>
              <w:right w:val="single" w:color="auto" w:sz="6" w:space="0"/>
            </w:tcBorders>
            <w:noWrap w:val="0"/>
            <w:vAlign w:val="center"/>
          </w:tcPr>
          <w:p w14:paraId="36EA554F">
            <w:pPr>
              <w:pStyle w:val="21"/>
              <w:widowControl/>
              <w:jc w:val="left"/>
              <w:rPr>
                <w:rStyle w:val="86"/>
                <w:rFonts w:ascii="仿宋_GB2312" w:eastAsia="仿宋_GB2312"/>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F663080">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E91041E">
            <w:pPr>
              <w:pStyle w:val="84"/>
              <w:spacing w:line="360" w:lineRule="auto"/>
              <w:ind w:firstLine="420"/>
              <w:rPr>
                <w:rStyle w:val="86"/>
                <w:rFonts w:ascii="仿宋_GB2312" w:eastAsia="仿宋_GB2312"/>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64118B9">
            <w:pPr>
              <w:pStyle w:val="84"/>
              <w:spacing w:line="360" w:lineRule="auto"/>
              <w:ind w:firstLine="420"/>
              <w:rPr>
                <w:rStyle w:val="86"/>
                <w:rFonts w:ascii="仿宋_GB2312" w:eastAsia="仿宋_GB2312"/>
                <w:highlight w:val="none"/>
              </w:rPr>
            </w:pPr>
          </w:p>
        </w:tc>
        <w:tc>
          <w:tcPr>
            <w:tcW w:w="3896" w:type="dxa"/>
            <w:tcBorders>
              <w:top w:val="single" w:color="auto" w:sz="6" w:space="0"/>
              <w:left w:val="single" w:color="auto" w:sz="6" w:space="0"/>
              <w:bottom w:val="single" w:color="auto" w:sz="6" w:space="0"/>
              <w:right w:val="single" w:color="auto" w:sz="12" w:space="0"/>
            </w:tcBorders>
            <w:noWrap w:val="0"/>
            <w:vAlign w:val="center"/>
          </w:tcPr>
          <w:p w14:paraId="6499C911">
            <w:pPr>
              <w:pStyle w:val="84"/>
              <w:spacing w:line="360" w:lineRule="auto"/>
              <w:ind w:firstLine="420"/>
              <w:rPr>
                <w:rStyle w:val="86"/>
                <w:rFonts w:ascii="仿宋_GB2312" w:eastAsia="仿宋_GB2312"/>
                <w:highlight w:val="none"/>
              </w:rPr>
            </w:pPr>
          </w:p>
        </w:tc>
      </w:tr>
      <w:tr w14:paraId="1B8937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087" w:type="dxa"/>
            <w:vMerge w:val="continue"/>
            <w:tcBorders>
              <w:top w:val="nil"/>
              <w:left w:val="single" w:color="auto" w:sz="12" w:space="0"/>
              <w:bottom w:val="single" w:color="auto" w:sz="6" w:space="0"/>
              <w:right w:val="single" w:color="auto" w:sz="6" w:space="0"/>
            </w:tcBorders>
            <w:noWrap w:val="0"/>
            <w:vAlign w:val="center"/>
          </w:tcPr>
          <w:p w14:paraId="06A0CDDD">
            <w:pPr>
              <w:pStyle w:val="21"/>
              <w:widowControl/>
              <w:jc w:val="left"/>
              <w:rPr>
                <w:rStyle w:val="86"/>
                <w:rFonts w:ascii="仿宋_GB2312" w:eastAsia="仿宋_GB2312"/>
                <w:szCs w:val="21"/>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295D9024">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53B00910">
            <w:pPr>
              <w:pStyle w:val="84"/>
              <w:spacing w:after="120" w:line="360" w:lineRule="auto"/>
              <w:rPr>
                <w:rStyle w:val="86"/>
                <w:rFonts w:ascii="仿宋_GB2312" w:eastAsia="仿宋_GB2312"/>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60283EC9">
            <w:pPr>
              <w:pStyle w:val="84"/>
              <w:spacing w:after="120" w:line="360" w:lineRule="auto"/>
              <w:rPr>
                <w:rStyle w:val="86"/>
                <w:rFonts w:ascii="仿宋_GB2312" w:eastAsia="仿宋_GB2312"/>
                <w:highlight w:val="none"/>
              </w:rPr>
            </w:pPr>
          </w:p>
        </w:tc>
        <w:tc>
          <w:tcPr>
            <w:tcW w:w="3896" w:type="dxa"/>
            <w:tcBorders>
              <w:top w:val="single" w:color="auto" w:sz="6" w:space="0"/>
              <w:left w:val="single" w:color="auto" w:sz="6" w:space="0"/>
              <w:bottom w:val="single" w:color="auto" w:sz="12" w:space="0"/>
              <w:right w:val="single" w:color="auto" w:sz="12" w:space="0"/>
            </w:tcBorders>
            <w:noWrap w:val="0"/>
            <w:vAlign w:val="center"/>
          </w:tcPr>
          <w:p w14:paraId="25B8958C">
            <w:pPr>
              <w:pStyle w:val="84"/>
              <w:spacing w:after="120" w:line="360" w:lineRule="auto"/>
              <w:rPr>
                <w:rStyle w:val="86"/>
                <w:rFonts w:ascii="仿宋_GB2312" w:eastAsia="仿宋_GB2312"/>
                <w:highlight w:val="none"/>
              </w:rPr>
            </w:pPr>
          </w:p>
        </w:tc>
      </w:tr>
    </w:tbl>
    <w:p w14:paraId="47C9BD76">
      <w:pPr>
        <w:pStyle w:val="84"/>
        <w:spacing w:line="360" w:lineRule="auto"/>
        <w:jc w:val="center"/>
        <w:rPr>
          <w:rStyle w:val="86"/>
          <w:rFonts w:ascii="宋体" w:hAnsi="宋体"/>
          <w:b/>
          <w:bCs/>
          <w:sz w:val="28"/>
          <w:szCs w:val="28"/>
          <w:highlight w:val="none"/>
        </w:rPr>
      </w:pPr>
      <w:r>
        <w:rPr>
          <w:rStyle w:val="86"/>
          <w:rFonts w:hint="eastAsia" w:ascii="宋体" w:hAnsi="宋体"/>
          <w:b/>
          <w:bCs/>
          <w:sz w:val="28"/>
          <w:szCs w:val="28"/>
          <w:highlight w:val="none"/>
        </w:rPr>
        <w:br w:type="page"/>
      </w:r>
      <w:r>
        <w:rPr>
          <w:rStyle w:val="86"/>
          <w:rFonts w:hint="eastAsia" w:ascii="宋体" w:hAnsi="宋体"/>
          <w:b/>
          <w:bCs/>
          <w:sz w:val="28"/>
          <w:szCs w:val="28"/>
          <w:highlight w:val="none"/>
        </w:rPr>
        <w:t>附件6 价格指数权重表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584"/>
        <w:gridCol w:w="876"/>
        <w:gridCol w:w="1215"/>
        <w:gridCol w:w="1080"/>
        <w:gridCol w:w="1215"/>
        <w:gridCol w:w="1230"/>
        <w:gridCol w:w="1380"/>
      </w:tblGrid>
      <w:tr w14:paraId="1B6BF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29" w:type="dxa"/>
            <w:vMerge w:val="restart"/>
            <w:tcBorders>
              <w:top w:val="single" w:color="auto" w:sz="4" w:space="0"/>
              <w:left w:val="single" w:color="auto" w:sz="4" w:space="0"/>
              <w:bottom w:val="single" w:color="auto" w:sz="4" w:space="0"/>
              <w:right w:val="single" w:color="auto" w:sz="4" w:space="0"/>
            </w:tcBorders>
            <w:noWrap w:val="0"/>
            <w:vAlign w:val="top"/>
          </w:tcPr>
          <w:p w14:paraId="4EFF1426">
            <w:pPr>
              <w:pStyle w:val="84"/>
              <w:spacing w:line="360" w:lineRule="auto"/>
              <w:rPr>
                <w:rStyle w:val="86"/>
                <w:rFonts w:ascii="仿宋_GB2312" w:eastAsia="仿宋_GB2312"/>
                <w:highlight w:val="none"/>
              </w:rPr>
            </w:pPr>
            <w:r>
              <w:rPr>
                <w:rStyle w:val="86"/>
                <w:rFonts w:hint="eastAsia" w:ascii="仿宋_GB2312" w:eastAsia="仿宋_GB2312"/>
                <w:highlight w:val="none"/>
              </w:rPr>
              <w:t>序号</w:t>
            </w:r>
          </w:p>
        </w:tc>
        <w:tc>
          <w:tcPr>
            <w:tcW w:w="1460" w:type="dxa"/>
            <w:gridSpan w:val="2"/>
            <w:vMerge w:val="restart"/>
            <w:tcBorders>
              <w:top w:val="single" w:color="auto" w:sz="4" w:space="0"/>
              <w:left w:val="single" w:color="auto" w:sz="4" w:space="0"/>
              <w:bottom w:val="single" w:color="auto" w:sz="4" w:space="0"/>
              <w:right w:val="single" w:color="auto" w:sz="4" w:space="0"/>
            </w:tcBorders>
            <w:noWrap w:val="0"/>
            <w:vAlign w:val="top"/>
          </w:tcPr>
          <w:p w14:paraId="13EB8254">
            <w:pPr>
              <w:pStyle w:val="84"/>
              <w:spacing w:line="360" w:lineRule="auto"/>
              <w:rPr>
                <w:rStyle w:val="86"/>
                <w:rFonts w:ascii="仿宋_GB2312" w:eastAsia="仿宋_GB2312"/>
                <w:highlight w:val="none"/>
              </w:rPr>
            </w:pPr>
            <w:r>
              <w:rPr>
                <w:rStyle w:val="86"/>
                <w:rFonts w:hint="eastAsia" w:ascii="仿宋_GB2312" w:eastAsia="仿宋_GB2312"/>
                <w:highlight w:val="none"/>
              </w:rPr>
              <w:t>名称</w:t>
            </w:r>
          </w:p>
        </w:tc>
        <w:tc>
          <w:tcPr>
            <w:tcW w:w="2295" w:type="dxa"/>
            <w:gridSpan w:val="2"/>
            <w:tcBorders>
              <w:top w:val="single" w:color="auto" w:sz="4" w:space="0"/>
              <w:left w:val="single" w:color="auto" w:sz="4" w:space="0"/>
              <w:bottom w:val="single" w:color="auto" w:sz="4" w:space="0"/>
              <w:right w:val="single" w:color="auto" w:sz="4" w:space="0"/>
            </w:tcBorders>
            <w:noWrap w:val="0"/>
            <w:vAlign w:val="top"/>
          </w:tcPr>
          <w:p w14:paraId="2754A9FA">
            <w:pPr>
              <w:pStyle w:val="84"/>
              <w:spacing w:line="360" w:lineRule="auto"/>
              <w:rPr>
                <w:rStyle w:val="86"/>
                <w:rFonts w:ascii="仿宋_GB2312" w:eastAsia="仿宋_GB2312"/>
                <w:highlight w:val="none"/>
              </w:rPr>
            </w:pPr>
            <w:r>
              <w:rPr>
                <w:rStyle w:val="86"/>
                <w:rFonts w:hint="eastAsia" w:ascii="仿宋_GB2312" w:eastAsia="仿宋_GB2312"/>
                <w:highlight w:val="none"/>
              </w:rPr>
              <w:t>变更权重B</w:t>
            </w:r>
          </w:p>
        </w:tc>
        <w:tc>
          <w:tcPr>
            <w:tcW w:w="2445" w:type="dxa"/>
            <w:gridSpan w:val="2"/>
            <w:tcBorders>
              <w:top w:val="single" w:color="auto" w:sz="4" w:space="0"/>
              <w:left w:val="single" w:color="auto" w:sz="4" w:space="0"/>
              <w:bottom w:val="single" w:color="auto" w:sz="4" w:space="0"/>
              <w:right w:val="single" w:color="auto" w:sz="4" w:space="0"/>
            </w:tcBorders>
            <w:noWrap w:val="0"/>
            <w:vAlign w:val="top"/>
          </w:tcPr>
          <w:p w14:paraId="2BFB2692">
            <w:pPr>
              <w:pStyle w:val="84"/>
              <w:spacing w:line="360" w:lineRule="auto"/>
              <w:rPr>
                <w:rStyle w:val="86"/>
                <w:rFonts w:ascii="仿宋_GB2312" w:eastAsia="仿宋_GB2312"/>
                <w:highlight w:val="none"/>
              </w:rPr>
            </w:pPr>
            <w:r>
              <w:rPr>
                <w:rStyle w:val="86"/>
                <w:rFonts w:hint="eastAsia" w:ascii="仿宋_GB2312" w:eastAsia="仿宋_GB2312"/>
                <w:highlight w:val="none"/>
              </w:rPr>
              <w:t>基本价格指数F0</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18C9E806">
            <w:pPr>
              <w:pStyle w:val="84"/>
              <w:spacing w:line="360" w:lineRule="auto"/>
              <w:rPr>
                <w:rStyle w:val="86"/>
                <w:rFonts w:ascii="仿宋_GB2312" w:eastAsia="仿宋_GB2312"/>
                <w:highlight w:val="none"/>
              </w:rPr>
            </w:pPr>
            <w:r>
              <w:rPr>
                <w:rStyle w:val="86"/>
                <w:rFonts w:hint="eastAsia" w:ascii="仿宋_GB2312" w:eastAsia="仿宋_GB2312"/>
                <w:highlight w:val="none"/>
              </w:rPr>
              <w:t>备注</w:t>
            </w:r>
          </w:p>
        </w:tc>
      </w:tr>
      <w:tr w14:paraId="7237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289" w:type="dxa"/>
            <w:vMerge w:val="continue"/>
            <w:tcBorders>
              <w:top w:val="single" w:color="auto" w:sz="4" w:space="0"/>
              <w:left w:val="single" w:color="auto" w:sz="4" w:space="0"/>
              <w:bottom w:val="single" w:color="auto" w:sz="4" w:space="0"/>
              <w:right w:val="single" w:color="auto" w:sz="4" w:space="0"/>
            </w:tcBorders>
            <w:noWrap w:val="0"/>
            <w:vAlign w:val="center"/>
          </w:tcPr>
          <w:p w14:paraId="5AA540A1">
            <w:pPr>
              <w:pStyle w:val="21"/>
              <w:widowControl/>
              <w:jc w:val="left"/>
              <w:rPr>
                <w:rStyle w:val="86"/>
                <w:rFonts w:ascii="仿宋_GB2312" w:eastAsia="仿宋_GB2312"/>
                <w:szCs w:val="21"/>
                <w:highlight w:val="none"/>
              </w:rPr>
            </w:pPr>
          </w:p>
        </w:tc>
        <w:tc>
          <w:tcPr>
            <w:tcW w:w="2336"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BBE61DC">
            <w:pPr>
              <w:pStyle w:val="21"/>
              <w:widowControl/>
              <w:jc w:val="left"/>
              <w:rPr>
                <w:rStyle w:val="86"/>
                <w:rFonts w:ascii="仿宋_GB2312" w:eastAsia="仿宋_GB2312"/>
                <w:szCs w:val="21"/>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4FF5B406">
            <w:pPr>
              <w:pStyle w:val="84"/>
              <w:spacing w:line="360" w:lineRule="auto"/>
              <w:rPr>
                <w:rStyle w:val="86"/>
                <w:rFonts w:ascii="仿宋_GB2312" w:eastAsia="仿宋_GB2312"/>
                <w:highlight w:val="none"/>
              </w:rPr>
            </w:pPr>
            <w:r>
              <w:rPr>
                <w:rStyle w:val="86"/>
                <w:rFonts w:hint="eastAsia" w:ascii="仿宋_GB2312" w:eastAsia="仿宋_GB2312"/>
                <w:highlight w:val="none"/>
              </w:rPr>
              <w:t>代号</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77BCCFE4">
            <w:pPr>
              <w:pStyle w:val="84"/>
              <w:spacing w:line="360" w:lineRule="auto"/>
              <w:rPr>
                <w:rStyle w:val="86"/>
                <w:rFonts w:ascii="仿宋_GB2312" w:eastAsia="仿宋_GB2312"/>
                <w:highlight w:val="none"/>
              </w:rPr>
            </w:pPr>
            <w:r>
              <w:rPr>
                <w:rStyle w:val="86"/>
                <w:rFonts w:hint="eastAsia" w:ascii="仿宋_GB2312" w:eastAsia="仿宋_GB2312"/>
                <w:highlight w:val="none"/>
              </w:rPr>
              <w:t>权重</w:t>
            </w:r>
          </w:p>
        </w:tc>
        <w:tc>
          <w:tcPr>
            <w:tcW w:w="1215" w:type="dxa"/>
            <w:tcBorders>
              <w:top w:val="single" w:color="auto" w:sz="4" w:space="0"/>
              <w:left w:val="single" w:color="auto" w:sz="4" w:space="0"/>
              <w:bottom w:val="single" w:color="auto" w:sz="4" w:space="0"/>
              <w:right w:val="single" w:color="auto" w:sz="4" w:space="0"/>
            </w:tcBorders>
            <w:noWrap w:val="0"/>
            <w:vAlign w:val="top"/>
          </w:tcPr>
          <w:p w14:paraId="446B3148">
            <w:pPr>
              <w:pStyle w:val="84"/>
              <w:spacing w:line="360" w:lineRule="auto"/>
              <w:rPr>
                <w:rStyle w:val="86"/>
                <w:rFonts w:ascii="仿宋_GB2312" w:eastAsia="仿宋_GB2312"/>
                <w:highlight w:val="none"/>
              </w:rPr>
            </w:pPr>
            <w:r>
              <w:rPr>
                <w:rStyle w:val="86"/>
                <w:rFonts w:hint="eastAsia" w:ascii="仿宋_GB2312" w:eastAsia="仿宋_GB2312"/>
                <w:highlight w:val="none"/>
              </w:rPr>
              <w:t>代号</w:t>
            </w:r>
          </w:p>
        </w:tc>
        <w:tc>
          <w:tcPr>
            <w:tcW w:w="1230" w:type="dxa"/>
            <w:tcBorders>
              <w:top w:val="single" w:color="auto" w:sz="4" w:space="0"/>
              <w:left w:val="single" w:color="auto" w:sz="4" w:space="0"/>
              <w:bottom w:val="single" w:color="auto" w:sz="4" w:space="0"/>
              <w:right w:val="single" w:color="auto" w:sz="4" w:space="0"/>
            </w:tcBorders>
            <w:noWrap w:val="0"/>
            <w:vAlign w:val="top"/>
          </w:tcPr>
          <w:p w14:paraId="32561681">
            <w:pPr>
              <w:pStyle w:val="84"/>
              <w:spacing w:line="360" w:lineRule="auto"/>
              <w:rPr>
                <w:rStyle w:val="86"/>
                <w:rFonts w:ascii="仿宋_GB2312" w:eastAsia="仿宋_GB2312"/>
                <w:highlight w:val="none"/>
              </w:rPr>
            </w:pPr>
            <w:r>
              <w:rPr>
                <w:rStyle w:val="86"/>
                <w:rFonts w:hint="eastAsia" w:ascii="仿宋_GB2312" w:eastAsia="仿宋_GB2312"/>
                <w:highlight w:val="none"/>
              </w:rPr>
              <w:t>指数</w:t>
            </w:r>
          </w:p>
        </w:tc>
        <w:tc>
          <w:tcPr>
            <w:tcW w:w="1380" w:type="dxa"/>
            <w:tcBorders>
              <w:top w:val="single" w:color="auto" w:sz="4" w:space="0"/>
              <w:left w:val="single" w:color="auto" w:sz="4" w:space="0"/>
              <w:bottom w:val="single" w:color="auto" w:sz="4" w:space="0"/>
              <w:right w:val="single" w:color="auto" w:sz="4" w:space="0"/>
            </w:tcBorders>
            <w:noWrap w:val="0"/>
            <w:vAlign w:val="top"/>
          </w:tcPr>
          <w:p w14:paraId="2A80883F">
            <w:pPr>
              <w:pStyle w:val="84"/>
              <w:spacing w:line="360" w:lineRule="auto"/>
              <w:rPr>
                <w:rStyle w:val="86"/>
                <w:rFonts w:ascii="仿宋_GB2312" w:eastAsia="仿宋_GB2312"/>
                <w:highlight w:val="none"/>
              </w:rPr>
            </w:pPr>
          </w:p>
        </w:tc>
      </w:tr>
      <w:tr w14:paraId="3DAD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Borders>
              <w:top w:val="single" w:color="auto" w:sz="4" w:space="0"/>
              <w:left w:val="single" w:color="auto" w:sz="4" w:space="0"/>
              <w:bottom w:val="single" w:color="auto" w:sz="4" w:space="0"/>
              <w:right w:val="single" w:color="auto" w:sz="4" w:space="0"/>
            </w:tcBorders>
            <w:noWrap w:val="0"/>
            <w:vAlign w:val="top"/>
          </w:tcPr>
          <w:p w14:paraId="2069D922">
            <w:pPr>
              <w:pStyle w:val="84"/>
              <w:spacing w:line="360" w:lineRule="auto"/>
              <w:rPr>
                <w:rStyle w:val="86"/>
                <w:rFonts w:ascii="仿宋_GB2312" w:eastAsia="仿宋_GB2312"/>
                <w:highlight w:val="none"/>
              </w:rPr>
            </w:pPr>
          </w:p>
        </w:tc>
        <w:tc>
          <w:tcPr>
            <w:tcW w:w="584" w:type="dxa"/>
            <w:vMerge w:val="restart"/>
            <w:tcBorders>
              <w:top w:val="nil"/>
              <w:left w:val="single" w:color="auto" w:sz="4" w:space="0"/>
              <w:bottom w:val="single" w:color="auto" w:sz="4" w:space="0"/>
              <w:right w:val="single" w:color="auto" w:sz="4" w:space="0"/>
            </w:tcBorders>
            <w:noWrap w:val="0"/>
            <w:vAlign w:val="top"/>
          </w:tcPr>
          <w:p w14:paraId="531ADE64">
            <w:pPr>
              <w:pStyle w:val="84"/>
              <w:spacing w:line="360" w:lineRule="auto"/>
              <w:rPr>
                <w:rStyle w:val="86"/>
                <w:rFonts w:ascii="仿宋_GB2312" w:eastAsia="仿宋_GB2312"/>
                <w:highlight w:val="none"/>
              </w:rPr>
            </w:pPr>
            <w:r>
              <w:rPr>
                <w:rStyle w:val="86"/>
                <w:rFonts w:hint="eastAsia" w:ascii="仿宋_GB2312" w:eastAsia="仿宋_GB2312"/>
                <w:highlight w:val="none"/>
              </w:rPr>
              <w:t>变</w:t>
            </w:r>
          </w:p>
          <w:p w14:paraId="4468F930">
            <w:pPr>
              <w:pStyle w:val="84"/>
              <w:spacing w:line="360" w:lineRule="auto"/>
              <w:rPr>
                <w:rStyle w:val="86"/>
                <w:rFonts w:hint="eastAsia" w:ascii="仿宋_GB2312" w:eastAsia="仿宋_GB2312"/>
                <w:highlight w:val="none"/>
              </w:rPr>
            </w:pPr>
            <w:r>
              <w:rPr>
                <w:rStyle w:val="86"/>
                <w:rFonts w:hint="eastAsia" w:ascii="仿宋_GB2312" w:eastAsia="仿宋_GB2312"/>
                <w:highlight w:val="none"/>
              </w:rPr>
              <w:t>值</w:t>
            </w:r>
          </w:p>
          <w:p w14:paraId="0E5C4D46">
            <w:pPr>
              <w:pStyle w:val="84"/>
              <w:spacing w:line="360" w:lineRule="auto"/>
              <w:rPr>
                <w:rStyle w:val="86"/>
                <w:rFonts w:hint="eastAsia" w:ascii="仿宋_GB2312" w:eastAsia="仿宋_GB2312"/>
                <w:highlight w:val="none"/>
              </w:rPr>
            </w:pPr>
            <w:r>
              <w:rPr>
                <w:rStyle w:val="86"/>
                <w:rFonts w:hint="eastAsia" w:ascii="仿宋_GB2312" w:eastAsia="仿宋_GB2312"/>
                <w:highlight w:val="none"/>
              </w:rPr>
              <w:t>部</w:t>
            </w:r>
          </w:p>
          <w:p w14:paraId="3E2818DE">
            <w:pPr>
              <w:pStyle w:val="84"/>
              <w:spacing w:line="360" w:lineRule="auto"/>
              <w:rPr>
                <w:rStyle w:val="86"/>
                <w:rFonts w:ascii="仿宋_GB2312" w:eastAsia="仿宋_GB2312"/>
                <w:highlight w:val="none"/>
              </w:rPr>
            </w:pPr>
            <w:r>
              <w:rPr>
                <w:rStyle w:val="86"/>
                <w:rFonts w:hint="eastAsia" w:ascii="仿宋_GB2312" w:eastAsia="仿宋_GB2312"/>
                <w:highlight w:val="none"/>
              </w:rPr>
              <w:t>分</w:t>
            </w:r>
          </w:p>
        </w:tc>
        <w:tc>
          <w:tcPr>
            <w:tcW w:w="876" w:type="dxa"/>
            <w:tcBorders>
              <w:top w:val="single" w:color="auto" w:sz="4" w:space="0"/>
              <w:left w:val="single" w:color="auto" w:sz="4" w:space="0"/>
              <w:bottom w:val="single" w:color="auto" w:sz="4" w:space="0"/>
              <w:right w:val="single" w:color="auto" w:sz="4" w:space="0"/>
            </w:tcBorders>
            <w:noWrap w:val="0"/>
            <w:vAlign w:val="top"/>
          </w:tcPr>
          <w:p w14:paraId="0964C3C6">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5E1132D8">
            <w:pPr>
              <w:pStyle w:val="84"/>
              <w:spacing w:line="360" w:lineRule="auto"/>
              <w:rPr>
                <w:rStyle w:val="86"/>
                <w:rFonts w:ascii="仿宋_GB2312" w:eastAsia="仿宋_GB2312"/>
                <w:highlight w:val="none"/>
              </w:rPr>
            </w:pPr>
            <w:r>
              <w:rPr>
                <w:rStyle w:val="86"/>
                <w:rFonts w:hint="eastAsia" w:ascii="仿宋_GB2312" w:eastAsia="仿宋_GB2312"/>
                <w:highlight w:val="none"/>
              </w:rPr>
              <w:t>B1</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69BD4266">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61F00A6C">
            <w:pPr>
              <w:pStyle w:val="84"/>
              <w:spacing w:line="360" w:lineRule="auto"/>
              <w:rPr>
                <w:rStyle w:val="86"/>
                <w:rFonts w:ascii="仿宋_GB2312" w:eastAsia="仿宋_GB2312"/>
                <w:highlight w:val="none"/>
              </w:rPr>
            </w:pPr>
            <w:r>
              <w:rPr>
                <w:rStyle w:val="86"/>
                <w:rFonts w:hint="eastAsia" w:ascii="仿宋_GB2312" w:eastAsia="仿宋_GB2312"/>
                <w:highlight w:val="none"/>
              </w:rPr>
              <w:t>F01</w:t>
            </w:r>
          </w:p>
        </w:tc>
        <w:tc>
          <w:tcPr>
            <w:tcW w:w="1230" w:type="dxa"/>
            <w:tcBorders>
              <w:top w:val="single" w:color="auto" w:sz="4" w:space="0"/>
              <w:left w:val="single" w:color="auto" w:sz="4" w:space="0"/>
              <w:bottom w:val="single" w:color="auto" w:sz="4" w:space="0"/>
              <w:right w:val="single" w:color="auto" w:sz="4" w:space="0"/>
            </w:tcBorders>
            <w:noWrap w:val="0"/>
            <w:vAlign w:val="top"/>
          </w:tcPr>
          <w:p w14:paraId="5874D8F3">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4D123EB">
            <w:pPr>
              <w:pStyle w:val="84"/>
              <w:spacing w:line="360" w:lineRule="auto"/>
              <w:rPr>
                <w:rStyle w:val="86"/>
                <w:rFonts w:ascii="仿宋_GB2312" w:eastAsia="仿宋_GB2312"/>
                <w:highlight w:val="none"/>
              </w:rPr>
            </w:pPr>
          </w:p>
        </w:tc>
      </w:tr>
      <w:tr w14:paraId="781A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Borders>
              <w:top w:val="single" w:color="auto" w:sz="4" w:space="0"/>
              <w:left w:val="single" w:color="auto" w:sz="4" w:space="0"/>
              <w:bottom w:val="single" w:color="auto" w:sz="4" w:space="0"/>
              <w:right w:val="single" w:color="auto" w:sz="4" w:space="0"/>
            </w:tcBorders>
            <w:noWrap w:val="0"/>
            <w:vAlign w:val="top"/>
          </w:tcPr>
          <w:p w14:paraId="361EB32E">
            <w:pPr>
              <w:pStyle w:val="84"/>
              <w:spacing w:line="360" w:lineRule="auto"/>
              <w:rPr>
                <w:rStyle w:val="86"/>
                <w:rFonts w:ascii="仿宋_GB2312" w:eastAsia="仿宋_GB2312"/>
                <w:highlight w:val="none"/>
              </w:rPr>
            </w:pPr>
          </w:p>
        </w:tc>
        <w:tc>
          <w:tcPr>
            <w:tcW w:w="1460" w:type="dxa"/>
            <w:vMerge w:val="continue"/>
            <w:tcBorders>
              <w:top w:val="nil"/>
              <w:left w:val="single" w:color="auto" w:sz="4" w:space="0"/>
              <w:bottom w:val="single" w:color="auto" w:sz="4" w:space="0"/>
              <w:right w:val="single" w:color="auto" w:sz="4" w:space="0"/>
            </w:tcBorders>
            <w:noWrap w:val="0"/>
            <w:vAlign w:val="center"/>
          </w:tcPr>
          <w:p w14:paraId="162BBFB4">
            <w:pPr>
              <w:pStyle w:val="21"/>
              <w:widowControl/>
              <w:jc w:val="left"/>
              <w:rPr>
                <w:rStyle w:val="86"/>
                <w:rFonts w:ascii="仿宋_GB2312" w:eastAsia="仿宋_GB2312"/>
                <w:szCs w:val="21"/>
                <w:highlight w:val="none"/>
              </w:rPr>
            </w:pPr>
          </w:p>
        </w:tc>
        <w:tc>
          <w:tcPr>
            <w:tcW w:w="876" w:type="dxa"/>
            <w:tcBorders>
              <w:top w:val="single" w:color="auto" w:sz="4" w:space="0"/>
              <w:left w:val="single" w:color="auto" w:sz="4" w:space="0"/>
              <w:bottom w:val="single" w:color="auto" w:sz="4" w:space="0"/>
              <w:right w:val="single" w:color="auto" w:sz="4" w:space="0"/>
            </w:tcBorders>
            <w:noWrap w:val="0"/>
            <w:vAlign w:val="top"/>
          </w:tcPr>
          <w:p w14:paraId="4528953C">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776B3D31">
            <w:pPr>
              <w:pStyle w:val="84"/>
              <w:spacing w:line="360" w:lineRule="auto"/>
              <w:rPr>
                <w:rStyle w:val="86"/>
                <w:rFonts w:ascii="仿宋_GB2312" w:eastAsia="仿宋_GB2312"/>
                <w:highlight w:val="none"/>
              </w:rPr>
            </w:pPr>
            <w:r>
              <w:rPr>
                <w:rStyle w:val="86"/>
                <w:rFonts w:hint="eastAsia" w:ascii="仿宋_GB2312" w:eastAsia="仿宋_GB2312"/>
                <w:highlight w:val="none"/>
              </w:rPr>
              <w:t>B2</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50CFB8A0">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68C5FA98">
            <w:pPr>
              <w:pStyle w:val="84"/>
              <w:spacing w:line="360" w:lineRule="auto"/>
              <w:rPr>
                <w:rStyle w:val="86"/>
                <w:rFonts w:ascii="仿宋_GB2312" w:eastAsia="仿宋_GB2312"/>
                <w:highlight w:val="none"/>
              </w:rPr>
            </w:pPr>
            <w:r>
              <w:rPr>
                <w:rStyle w:val="86"/>
                <w:rFonts w:hint="eastAsia" w:ascii="仿宋_GB2312" w:eastAsia="仿宋_GB2312"/>
                <w:highlight w:val="none"/>
              </w:rPr>
              <w:t>F02</w:t>
            </w:r>
          </w:p>
        </w:tc>
        <w:tc>
          <w:tcPr>
            <w:tcW w:w="1230" w:type="dxa"/>
            <w:tcBorders>
              <w:top w:val="single" w:color="auto" w:sz="4" w:space="0"/>
              <w:left w:val="single" w:color="auto" w:sz="4" w:space="0"/>
              <w:bottom w:val="single" w:color="auto" w:sz="4" w:space="0"/>
              <w:right w:val="single" w:color="auto" w:sz="4" w:space="0"/>
            </w:tcBorders>
            <w:noWrap w:val="0"/>
            <w:vAlign w:val="top"/>
          </w:tcPr>
          <w:p w14:paraId="78BB4E50">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22512FFC">
            <w:pPr>
              <w:pStyle w:val="84"/>
              <w:spacing w:line="360" w:lineRule="auto"/>
              <w:rPr>
                <w:rStyle w:val="86"/>
                <w:rFonts w:ascii="仿宋_GB2312" w:eastAsia="仿宋_GB2312"/>
                <w:highlight w:val="none"/>
              </w:rPr>
            </w:pPr>
          </w:p>
        </w:tc>
      </w:tr>
      <w:tr w14:paraId="7674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Borders>
              <w:top w:val="single" w:color="auto" w:sz="4" w:space="0"/>
              <w:left w:val="single" w:color="auto" w:sz="4" w:space="0"/>
              <w:bottom w:val="single" w:color="auto" w:sz="4" w:space="0"/>
              <w:right w:val="single" w:color="auto" w:sz="4" w:space="0"/>
            </w:tcBorders>
            <w:noWrap w:val="0"/>
            <w:vAlign w:val="top"/>
          </w:tcPr>
          <w:p w14:paraId="5FEA61D7">
            <w:pPr>
              <w:pStyle w:val="84"/>
              <w:spacing w:line="360" w:lineRule="auto"/>
              <w:rPr>
                <w:rStyle w:val="86"/>
                <w:rFonts w:ascii="仿宋_GB2312" w:eastAsia="仿宋_GB2312"/>
                <w:highlight w:val="none"/>
              </w:rPr>
            </w:pPr>
          </w:p>
        </w:tc>
        <w:tc>
          <w:tcPr>
            <w:tcW w:w="1460" w:type="dxa"/>
            <w:vMerge w:val="continue"/>
            <w:tcBorders>
              <w:top w:val="nil"/>
              <w:left w:val="single" w:color="auto" w:sz="4" w:space="0"/>
              <w:bottom w:val="single" w:color="auto" w:sz="4" w:space="0"/>
              <w:right w:val="single" w:color="auto" w:sz="4" w:space="0"/>
            </w:tcBorders>
            <w:noWrap w:val="0"/>
            <w:vAlign w:val="center"/>
          </w:tcPr>
          <w:p w14:paraId="31A15791">
            <w:pPr>
              <w:pStyle w:val="21"/>
              <w:widowControl/>
              <w:jc w:val="left"/>
              <w:rPr>
                <w:rStyle w:val="86"/>
                <w:rFonts w:ascii="仿宋_GB2312" w:eastAsia="仿宋_GB2312"/>
                <w:szCs w:val="21"/>
                <w:highlight w:val="none"/>
              </w:rPr>
            </w:pPr>
          </w:p>
        </w:tc>
        <w:tc>
          <w:tcPr>
            <w:tcW w:w="876" w:type="dxa"/>
            <w:tcBorders>
              <w:top w:val="single" w:color="auto" w:sz="4" w:space="0"/>
              <w:left w:val="single" w:color="auto" w:sz="4" w:space="0"/>
              <w:bottom w:val="single" w:color="auto" w:sz="4" w:space="0"/>
              <w:right w:val="single" w:color="auto" w:sz="4" w:space="0"/>
            </w:tcBorders>
            <w:noWrap w:val="0"/>
            <w:vAlign w:val="top"/>
          </w:tcPr>
          <w:p w14:paraId="0B536B85">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64383491">
            <w:pPr>
              <w:pStyle w:val="84"/>
              <w:spacing w:line="360" w:lineRule="auto"/>
              <w:rPr>
                <w:rStyle w:val="86"/>
                <w:rFonts w:ascii="仿宋_GB2312" w:eastAsia="仿宋_GB2312"/>
                <w:highlight w:val="none"/>
              </w:rPr>
            </w:pPr>
            <w:r>
              <w:rPr>
                <w:rStyle w:val="86"/>
                <w:rFonts w:hint="eastAsia" w:ascii="仿宋_GB2312" w:eastAsia="仿宋_GB2312"/>
                <w:highlight w:val="none"/>
              </w:rPr>
              <w:t>B3</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46665882">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0B1BE997">
            <w:pPr>
              <w:pStyle w:val="84"/>
              <w:spacing w:line="360" w:lineRule="auto"/>
              <w:rPr>
                <w:rStyle w:val="86"/>
                <w:rFonts w:ascii="仿宋_GB2312" w:eastAsia="仿宋_GB2312"/>
                <w:highlight w:val="none"/>
              </w:rPr>
            </w:pPr>
            <w:r>
              <w:rPr>
                <w:rStyle w:val="86"/>
                <w:rFonts w:hint="eastAsia" w:ascii="仿宋_GB2312" w:eastAsia="仿宋_GB2312"/>
                <w:highlight w:val="none"/>
              </w:rPr>
              <w:t>F03</w:t>
            </w:r>
          </w:p>
        </w:tc>
        <w:tc>
          <w:tcPr>
            <w:tcW w:w="1230" w:type="dxa"/>
            <w:tcBorders>
              <w:top w:val="single" w:color="auto" w:sz="4" w:space="0"/>
              <w:left w:val="single" w:color="auto" w:sz="4" w:space="0"/>
              <w:bottom w:val="single" w:color="auto" w:sz="4" w:space="0"/>
              <w:right w:val="single" w:color="auto" w:sz="4" w:space="0"/>
            </w:tcBorders>
            <w:noWrap w:val="0"/>
            <w:vAlign w:val="top"/>
          </w:tcPr>
          <w:p w14:paraId="3E52BBCF">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9234D36">
            <w:pPr>
              <w:pStyle w:val="84"/>
              <w:spacing w:line="360" w:lineRule="auto"/>
              <w:rPr>
                <w:rStyle w:val="86"/>
                <w:rFonts w:ascii="仿宋_GB2312" w:eastAsia="仿宋_GB2312"/>
                <w:highlight w:val="none"/>
              </w:rPr>
            </w:pPr>
          </w:p>
        </w:tc>
      </w:tr>
      <w:tr w14:paraId="296CD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Borders>
              <w:top w:val="single" w:color="auto" w:sz="4" w:space="0"/>
              <w:left w:val="single" w:color="auto" w:sz="4" w:space="0"/>
              <w:bottom w:val="single" w:color="auto" w:sz="4" w:space="0"/>
              <w:right w:val="single" w:color="auto" w:sz="4" w:space="0"/>
            </w:tcBorders>
            <w:noWrap w:val="0"/>
            <w:vAlign w:val="top"/>
          </w:tcPr>
          <w:p w14:paraId="5DD98DCF">
            <w:pPr>
              <w:pStyle w:val="84"/>
              <w:spacing w:line="360" w:lineRule="auto"/>
              <w:rPr>
                <w:rStyle w:val="86"/>
                <w:rFonts w:ascii="仿宋_GB2312" w:eastAsia="仿宋_GB2312"/>
                <w:highlight w:val="none"/>
              </w:rPr>
            </w:pPr>
          </w:p>
        </w:tc>
        <w:tc>
          <w:tcPr>
            <w:tcW w:w="1460" w:type="dxa"/>
            <w:vMerge w:val="continue"/>
            <w:tcBorders>
              <w:top w:val="nil"/>
              <w:left w:val="single" w:color="auto" w:sz="4" w:space="0"/>
              <w:bottom w:val="single" w:color="auto" w:sz="4" w:space="0"/>
              <w:right w:val="single" w:color="auto" w:sz="4" w:space="0"/>
            </w:tcBorders>
            <w:noWrap w:val="0"/>
            <w:vAlign w:val="center"/>
          </w:tcPr>
          <w:p w14:paraId="7D703C5D">
            <w:pPr>
              <w:pStyle w:val="21"/>
              <w:widowControl/>
              <w:jc w:val="left"/>
              <w:rPr>
                <w:rStyle w:val="86"/>
                <w:rFonts w:ascii="仿宋_GB2312" w:eastAsia="仿宋_GB2312"/>
                <w:szCs w:val="21"/>
                <w:highlight w:val="none"/>
              </w:rPr>
            </w:pPr>
          </w:p>
        </w:tc>
        <w:tc>
          <w:tcPr>
            <w:tcW w:w="876" w:type="dxa"/>
            <w:tcBorders>
              <w:top w:val="single" w:color="auto" w:sz="4" w:space="0"/>
              <w:left w:val="single" w:color="auto" w:sz="4" w:space="0"/>
              <w:bottom w:val="single" w:color="auto" w:sz="4" w:space="0"/>
              <w:right w:val="single" w:color="auto" w:sz="4" w:space="0"/>
            </w:tcBorders>
            <w:noWrap w:val="0"/>
            <w:vAlign w:val="top"/>
          </w:tcPr>
          <w:p w14:paraId="64199A5F">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246A1AEA">
            <w:pPr>
              <w:pStyle w:val="84"/>
              <w:spacing w:line="360" w:lineRule="auto"/>
              <w:rPr>
                <w:rStyle w:val="86"/>
                <w:rFonts w:ascii="仿宋_GB2312" w:eastAsia="仿宋_GB2312"/>
                <w:highlight w:val="none"/>
              </w:rPr>
            </w:pPr>
            <w:r>
              <w:rPr>
                <w:rStyle w:val="86"/>
                <w:rFonts w:hint="eastAsia" w:ascii="仿宋_GB2312" w:eastAsia="仿宋_GB2312"/>
                <w:highlight w:val="none"/>
              </w:rPr>
              <w:t>B4</w:t>
            </w:r>
          </w:p>
        </w:tc>
        <w:tc>
          <w:tcPr>
            <w:tcW w:w="1080" w:type="dxa"/>
            <w:tcBorders>
              <w:top w:val="single" w:color="auto" w:sz="4" w:space="0"/>
              <w:left w:val="single" w:color="auto" w:sz="4" w:space="0"/>
              <w:bottom w:val="single" w:color="auto" w:sz="4" w:space="0"/>
              <w:right w:val="single" w:color="auto" w:sz="4" w:space="0"/>
            </w:tcBorders>
            <w:noWrap w:val="0"/>
            <w:vAlign w:val="top"/>
          </w:tcPr>
          <w:p w14:paraId="7AA16FDB">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0FE939B6">
            <w:pPr>
              <w:pStyle w:val="84"/>
              <w:spacing w:line="360" w:lineRule="auto"/>
              <w:rPr>
                <w:rStyle w:val="86"/>
                <w:rFonts w:ascii="仿宋_GB2312" w:eastAsia="仿宋_GB2312"/>
                <w:highlight w:val="none"/>
              </w:rPr>
            </w:pPr>
            <w:r>
              <w:rPr>
                <w:rStyle w:val="86"/>
                <w:rFonts w:hint="eastAsia" w:ascii="仿宋_GB2312" w:eastAsia="仿宋_GB2312"/>
                <w:highlight w:val="none"/>
              </w:rPr>
              <w:t>F04</w:t>
            </w:r>
          </w:p>
        </w:tc>
        <w:tc>
          <w:tcPr>
            <w:tcW w:w="1230" w:type="dxa"/>
            <w:tcBorders>
              <w:top w:val="single" w:color="auto" w:sz="4" w:space="0"/>
              <w:left w:val="single" w:color="auto" w:sz="4" w:space="0"/>
              <w:bottom w:val="single" w:color="auto" w:sz="4" w:space="0"/>
              <w:right w:val="single" w:color="auto" w:sz="4" w:space="0"/>
            </w:tcBorders>
            <w:noWrap w:val="0"/>
            <w:vAlign w:val="top"/>
          </w:tcPr>
          <w:p w14:paraId="54DADDD1">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6B76F605">
            <w:pPr>
              <w:pStyle w:val="84"/>
              <w:spacing w:line="360" w:lineRule="auto"/>
              <w:rPr>
                <w:rStyle w:val="86"/>
                <w:rFonts w:ascii="仿宋_GB2312" w:eastAsia="仿宋_GB2312"/>
                <w:highlight w:val="none"/>
              </w:rPr>
            </w:pPr>
          </w:p>
        </w:tc>
      </w:tr>
      <w:tr w14:paraId="0DC7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Borders>
              <w:top w:val="single" w:color="auto" w:sz="4" w:space="0"/>
              <w:left w:val="single" w:color="auto" w:sz="4" w:space="0"/>
              <w:bottom w:val="single" w:color="auto" w:sz="4" w:space="0"/>
              <w:right w:val="single" w:color="auto" w:sz="4" w:space="0"/>
            </w:tcBorders>
            <w:noWrap w:val="0"/>
            <w:vAlign w:val="top"/>
          </w:tcPr>
          <w:p w14:paraId="0ADEC722">
            <w:pPr>
              <w:pStyle w:val="84"/>
              <w:spacing w:line="360" w:lineRule="auto"/>
              <w:rPr>
                <w:rStyle w:val="86"/>
                <w:rFonts w:ascii="仿宋_GB2312" w:eastAsia="仿宋_GB2312"/>
                <w:highlight w:val="none"/>
              </w:rPr>
            </w:pPr>
          </w:p>
        </w:tc>
        <w:tc>
          <w:tcPr>
            <w:tcW w:w="1460" w:type="dxa"/>
            <w:vMerge w:val="continue"/>
            <w:tcBorders>
              <w:top w:val="nil"/>
              <w:left w:val="single" w:color="auto" w:sz="4" w:space="0"/>
              <w:bottom w:val="single" w:color="auto" w:sz="4" w:space="0"/>
              <w:right w:val="single" w:color="auto" w:sz="4" w:space="0"/>
            </w:tcBorders>
            <w:noWrap w:val="0"/>
            <w:vAlign w:val="center"/>
          </w:tcPr>
          <w:p w14:paraId="4E86BC1E">
            <w:pPr>
              <w:pStyle w:val="21"/>
              <w:widowControl/>
              <w:jc w:val="left"/>
              <w:rPr>
                <w:rStyle w:val="86"/>
                <w:rFonts w:ascii="仿宋_GB2312" w:eastAsia="仿宋_GB2312"/>
                <w:szCs w:val="21"/>
                <w:highlight w:val="none"/>
              </w:rPr>
            </w:pPr>
          </w:p>
        </w:tc>
        <w:tc>
          <w:tcPr>
            <w:tcW w:w="876" w:type="dxa"/>
            <w:tcBorders>
              <w:top w:val="single" w:color="auto" w:sz="4" w:space="0"/>
              <w:left w:val="single" w:color="auto" w:sz="4" w:space="0"/>
              <w:bottom w:val="single" w:color="auto" w:sz="4" w:space="0"/>
              <w:right w:val="single" w:color="auto" w:sz="4" w:space="0"/>
            </w:tcBorders>
            <w:noWrap w:val="0"/>
            <w:vAlign w:val="top"/>
          </w:tcPr>
          <w:p w14:paraId="0F51BE08">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17492C0C">
            <w:pPr>
              <w:pStyle w:val="84"/>
              <w:spacing w:line="360" w:lineRule="auto"/>
              <w:rPr>
                <w:rStyle w:val="86"/>
                <w:rFonts w:ascii="仿宋_GB2312" w:eastAsia="仿宋_GB231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3EE44E1">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2B66E1A1">
            <w:pPr>
              <w:pStyle w:val="84"/>
              <w:spacing w:line="360" w:lineRule="auto"/>
              <w:rPr>
                <w:rStyle w:val="86"/>
                <w:rFonts w:ascii="仿宋_GB2312" w:eastAsia="仿宋_GB2312"/>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top"/>
          </w:tcPr>
          <w:p w14:paraId="42ECFCDE">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432A03A3">
            <w:pPr>
              <w:pStyle w:val="84"/>
              <w:spacing w:line="360" w:lineRule="auto"/>
              <w:rPr>
                <w:rStyle w:val="86"/>
                <w:rFonts w:ascii="仿宋_GB2312" w:eastAsia="仿宋_GB2312"/>
                <w:highlight w:val="none"/>
              </w:rPr>
            </w:pPr>
          </w:p>
        </w:tc>
      </w:tr>
      <w:tr w14:paraId="5EA9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tcBorders>
              <w:top w:val="single" w:color="auto" w:sz="4" w:space="0"/>
              <w:left w:val="single" w:color="auto" w:sz="4" w:space="0"/>
              <w:bottom w:val="single" w:color="auto" w:sz="4" w:space="0"/>
              <w:right w:val="single" w:color="auto" w:sz="4" w:space="0"/>
            </w:tcBorders>
            <w:noWrap w:val="0"/>
            <w:vAlign w:val="top"/>
          </w:tcPr>
          <w:p w14:paraId="029C9860">
            <w:pPr>
              <w:pStyle w:val="84"/>
              <w:spacing w:line="360" w:lineRule="auto"/>
              <w:rPr>
                <w:rStyle w:val="86"/>
                <w:rFonts w:ascii="仿宋_GB2312" w:eastAsia="仿宋_GB2312"/>
                <w:highlight w:val="none"/>
              </w:rPr>
            </w:pPr>
          </w:p>
        </w:tc>
        <w:tc>
          <w:tcPr>
            <w:tcW w:w="1460" w:type="dxa"/>
            <w:vMerge w:val="continue"/>
            <w:tcBorders>
              <w:top w:val="nil"/>
              <w:left w:val="single" w:color="auto" w:sz="4" w:space="0"/>
              <w:bottom w:val="single" w:color="auto" w:sz="4" w:space="0"/>
              <w:right w:val="single" w:color="auto" w:sz="4" w:space="0"/>
            </w:tcBorders>
            <w:noWrap w:val="0"/>
            <w:vAlign w:val="center"/>
          </w:tcPr>
          <w:p w14:paraId="164ED83F">
            <w:pPr>
              <w:pStyle w:val="21"/>
              <w:widowControl/>
              <w:jc w:val="left"/>
              <w:rPr>
                <w:rStyle w:val="86"/>
                <w:rFonts w:ascii="仿宋_GB2312" w:eastAsia="仿宋_GB2312"/>
                <w:szCs w:val="21"/>
                <w:highlight w:val="none"/>
              </w:rPr>
            </w:pPr>
          </w:p>
        </w:tc>
        <w:tc>
          <w:tcPr>
            <w:tcW w:w="876" w:type="dxa"/>
            <w:tcBorders>
              <w:top w:val="single" w:color="auto" w:sz="4" w:space="0"/>
              <w:left w:val="single" w:color="auto" w:sz="4" w:space="0"/>
              <w:bottom w:val="single" w:color="auto" w:sz="4" w:space="0"/>
              <w:right w:val="single" w:color="auto" w:sz="4" w:space="0"/>
            </w:tcBorders>
            <w:noWrap w:val="0"/>
            <w:vAlign w:val="top"/>
          </w:tcPr>
          <w:p w14:paraId="1BA7084D">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644D50EF">
            <w:pPr>
              <w:pStyle w:val="84"/>
              <w:spacing w:line="360" w:lineRule="auto"/>
              <w:rPr>
                <w:rStyle w:val="86"/>
                <w:rFonts w:ascii="仿宋_GB2312" w:eastAsia="仿宋_GB231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1C21883">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0E11F25F">
            <w:pPr>
              <w:pStyle w:val="84"/>
              <w:spacing w:line="360" w:lineRule="auto"/>
              <w:rPr>
                <w:rStyle w:val="86"/>
                <w:rFonts w:ascii="仿宋_GB2312" w:eastAsia="仿宋_GB2312"/>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top"/>
          </w:tcPr>
          <w:p w14:paraId="2764C0DD">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92DE869">
            <w:pPr>
              <w:pStyle w:val="84"/>
              <w:spacing w:line="360" w:lineRule="auto"/>
              <w:rPr>
                <w:rStyle w:val="86"/>
                <w:rFonts w:ascii="仿宋_GB2312" w:eastAsia="仿宋_GB2312"/>
                <w:highlight w:val="none"/>
              </w:rPr>
            </w:pPr>
          </w:p>
        </w:tc>
      </w:tr>
      <w:tr w14:paraId="26E69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Borders>
              <w:top w:val="single" w:color="auto" w:sz="4" w:space="0"/>
              <w:left w:val="single" w:color="auto" w:sz="4" w:space="0"/>
              <w:bottom w:val="single" w:color="auto" w:sz="4" w:space="0"/>
              <w:right w:val="single" w:color="auto" w:sz="4" w:space="0"/>
            </w:tcBorders>
            <w:noWrap w:val="0"/>
            <w:vAlign w:val="top"/>
          </w:tcPr>
          <w:p w14:paraId="7A1FD152">
            <w:pPr>
              <w:pStyle w:val="84"/>
              <w:spacing w:line="360" w:lineRule="auto"/>
              <w:rPr>
                <w:rStyle w:val="86"/>
                <w:rFonts w:ascii="仿宋_GB2312" w:eastAsia="仿宋_GB2312"/>
                <w:highlight w:val="none"/>
              </w:rPr>
            </w:pPr>
            <w:r>
              <w:rPr>
                <w:rStyle w:val="86"/>
                <w:rFonts w:hint="eastAsia" w:ascii="仿宋_GB2312" w:eastAsia="仿宋_GB2312"/>
                <w:highlight w:val="none"/>
              </w:rPr>
              <w:t>定值部分权重A</w:t>
            </w:r>
          </w:p>
        </w:tc>
        <w:tc>
          <w:tcPr>
            <w:tcW w:w="1215" w:type="dxa"/>
            <w:tcBorders>
              <w:top w:val="single" w:color="auto" w:sz="4" w:space="0"/>
              <w:left w:val="single" w:color="auto" w:sz="4" w:space="0"/>
              <w:bottom w:val="single" w:color="auto" w:sz="4" w:space="0"/>
              <w:right w:val="single" w:color="auto" w:sz="4" w:space="0"/>
            </w:tcBorders>
            <w:noWrap w:val="0"/>
            <w:vAlign w:val="top"/>
          </w:tcPr>
          <w:p w14:paraId="451ED3B3">
            <w:pPr>
              <w:pStyle w:val="84"/>
              <w:spacing w:line="360" w:lineRule="auto"/>
              <w:rPr>
                <w:rStyle w:val="86"/>
                <w:rFonts w:ascii="仿宋_GB2312" w:eastAsia="仿宋_GB231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F193075">
            <w:pPr>
              <w:pStyle w:val="84"/>
              <w:spacing w:line="360" w:lineRule="auto"/>
              <w:rPr>
                <w:rStyle w:val="86"/>
                <w:rFonts w:ascii="仿宋_GB2312" w:eastAsia="仿宋_GB2312"/>
                <w:highlight w:val="none"/>
              </w:rPr>
            </w:pPr>
          </w:p>
        </w:tc>
        <w:tc>
          <w:tcPr>
            <w:tcW w:w="1215" w:type="dxa"/>
            <w:tcBorders>
              <w:top w:val="single" w:color="auto" w:sz="4" w:space="0"/>
              <w:left w:val="single" w:color="auto" w:sz="4" w:space="0"/>
              <w:bottom w:val="single" w:color="auto" w:sz="4" w:space="0"/>
              <w:right w:val="single" w:color="auto" w:sz="4" w:space="0"/>
            </w:tcBorders>
            <w:noWrap w:val="0"/>
            <w:vAlign w:val="top"/>
          </w:tcPr>
          <w:p w14:paraId="774936FA">
            <w:pPr>
              <w:pStyle w:val="84"/>
              <w:spacing w:line="360" w:lineRule="auto"/>
              <w:rPr>
                <w:rStyle w:val="86"/>
                <w:rFonts w:ascii="仿宋_GB2312" w:eastAsia="仿宋_GB2312"/>
                <w:highlight w:val="none"/>
              </w:rPr>
            </w:pPr>
          </w:p>
        </w:tc>
        <w:tc>
          <w:tcPr>
            <w:tcW w:w="1230" w:type="dxa"/>
            <w:tcBorders>
              <w:top w:val="single" w:color="auto" w:sz="4" w:space="0"/>
              <w:left w:val="single" w:color="auto" w:sz="4" w:space="0"/>
              <w:bottom w:val="single" w:color="auto" w:sz="4" w:space="0"/>
              <w:right w:val="single" w:color="auto" w:sz="4" w:space="0"/>
            </w:tcBorders>
            <w:noWrap w:val="0"/>
            <w:vAlign w:val="top"/>
          </w:tcPr>
          <w:p w14:paraId="0A0376ED">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187B7199">
            <w:pPr>
              <w:pStyle w:val="84"/>
              <w:spacing w:line="360" w:lineRule="auto"/>
              <w:rPr>
                <w:rStyle w:val="86"/>
                <w:rFonts w:ascii="仿宋_GB2312" w:eastAsia="仿宋_GB2312"/>
                <w:highlight w:val="none"/>
              </w:rPr>
            </w:pPr>
          </w:p>
        </w:tc>
      </w:tr>
      <w:tr w14:paraId="1AF3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9" w:type="dxa"/>
            <w:gridSpan w:val="3"/>
            <w:tcBorders>
              <w:top w:val="single" w:color="auto" w:sz="4" w:space="0"/>
              <w:left w:val="single" w:color="auto" w:sz="4" w:space="0"/>
              <w:bottom w:val="single" w:color="auto" w:sz="4" w:space="0"/>
              <w:right w:val="single" w:color="auto" w:sz="4" w:space="0"/>
            </w:tcBorders>
            <w:noWrap w:val="0"/>
            <w:vAlign w:val="top"/>
          </w:tcPr>
          <w:p w14:paraId="38F03F96">
            <w:pPr>
              <w:pStyle w:val="84"/>
              <w:spacing w:line="360" w:lineRule="auto"/>
              <w:rPr>
                <w:rStyle w:val="86"/>
                <w:rFonts w:ascii="仿宋_GB2312" w:eastAsia="仿宋_GB2312"/>
                <w:highlight w:val="none"/>
              </w:rPr>
            </w:pPr>
            <w:r>
              <w:rPr>
                <w:rStyle w:val="86"/>
                <w:rFonts w:hint="eastAsia" w:ascii="仿宋_GB2312" w:eastAsia="仿宋_GB2312"/>
                <w:highlight w:val="none"/>
              </w:rPr>
              <w:t>合计</w:t>
            </w:r>
          </w:p>
        </w:tc>
        <w:tc>
          <w:tcPr>
            <w:tcW w:w="2295" w:type="dxa"/>
            <w:gridSpan w:val="2"/>
            <w:tcBorders>
              <w:top w:val="single" w:color="auto" w:sz="4" w:space="0"/>
              <w:left w:val="single" w:color="auto" w:sz="4" w:space="0"/>
              <w:bottom w:val="single" w:color="auto" w:sz="4" w:space="0"/>
              <w:right w:val="single" w:color="auto" w:sz="4" w:space="0"/>
            </w:tcBorders>
            <w:noWrap w:val="0"/>
            <w:vAlign w:val="top"/>
          </w:tcPr>
          <w:p w14:paraId="262FBE9C">
            <w:pPr>
              <w:pStyle w:val="84"/>
              <w:spacing w:line="360" w:lineRule="auto"/>
              <w:rPr>
                <w:rStyle w:val="86"/>
                <w:rFonts w:ascii="仿宋_GB2312" w:eastAsia="仿宋_GB2312"/>
                <w:highlight w:val="none"/>
              </w:rPr>
            </w:pPr>
          </w:p>
        </w:tc>
        <w:tc>
          <w:tcPr>
            <w:tcW w:w="2445" w:type="dxa"/>
            <w:gridSpan w:val="2"/>
            <w:tcBorders>
              <w:top w:val="single" w:color="auto" w:sz="4" w:space="0"/>
              <w:left w:val="single" w:color="auto" w:sz="4" w:space="0"/>
              <w:bottom w:val="single" w:color="auto" w:sz="4" w:space="0"/>
              <w:right w:val="single" w:color="auto" w:sz="4" w:space="0"/>
            </w:tcBorders>
            <w:noWrap w:val="0"/>
            <w:vAlign w:val="top"/>
          </w:tcPr>
          <w:p w14:paraId="5CB9139A">
            <w:pPr>
              <w:pStyle w:val="84"/>
              <w:spacing w:line="360" w:lineRule="auto"/>
              <w:rPr>
                <w:rStyle w:val="86"/>
                <w:rFonts w:ascii="仿宋_GB2312" w:eastAsia="仿宋_GB2312"/>
                <w:highlight w:val="none"/>
              </w:rPr>
            </w:pPr>
          </w:p>
        </w:tc>
        <w:tc>
          <w:tcPr>
            <w:tcW w:w="1380" w:type="dxa"/>
            <w:tcBorders>
              <w:top w:val="single" w:color="auto" w:sz="4" w:space="0"/>
              <w:left w:val="single" w:color="auto" w:sz="4" w:space="0"/>
              <w:bottom w:val="single" w:color="auto" w:sz="4" w:space="0"/>
              <w:right w:val="single" w:color="auto" w:sz="4" w:space="0"/>
            </w:tcBorders>
            <w:noWrap w:val="0"/>
            <w:vAlign w:val="top"/>
          </w:tcPr>
          <w:p w14:paraId="364B2687">
            <w:pPr>
              <w:pStyle w:val="84"/>
              <w:spacing w:line="360" w:lineRule="auto"/>
              <w:rPr>
                <w:rStyle w:val="86"/>
                <w:rFonts w:ascii="仿宋_GB2312" w:eastAsia="仿宋_GB2312"/>
                <w:highlight w:val="none"/>
              </w:rPr>
            </w:pPr>
          </w:p>
        </w:tc>
      </w:tr>
    </w:tbl>
    <w:p w14:paraId="6261AAC4">
      <w:pPr>
        <w:pStyle w:val="22"/>
        <w:rPr>
          <w:rStyle w:val="86"/>
          <w:rFonts w:hint="eastAsia" w:ascii="Calibri" w:hAnsi="Calibri"/>
          <w:sz w:val="20"/>
          <w:szCs w:val="20"/>
          <w:highlight w:val="none"/>
        </w:rPr>
      </w:pPr>
      <w:r>
        <w:rPr>
          <w:rStyle w:val="86"/>
          <w:rFonts w:hint="eastAsia"/>
          <w:sz w:val="20"/>
          <w:szCs w:val="20"/>
          <w:highlight w:val="none"/>
        </w:rPr>
        <w:t xml:space="preserve"> </w:t>
      </w:r>
    </w:p>
    <w:p w14:paraId="64799AE4">
      <w:pPr>
        <w:pStyle w:val="22"/>
        <w:rPr>
          <w:rStyle w:val="86"/>
          <w:rFonts w:hint="eastAsia" w:ascii="黑体" w:hAnsi="黑体" w:eastAsia="黑体"/>
          <w:sz w:val="24"/>
          <w:szCs w:val="24"/>
          <w:highlight w:val="none"/>
        </w:rPr>
      </w:pPr>
      <w:r>
        <w:rPr>
          <w:rStyle w:val="86"/>
          <w:rFonts w:hint="eastAsia" w:ascii="黑体" w:hAnsi="黑体" w:eastAsia="黑体"/>
          <w:spacing w:val="-9"/>
          <w:sz w:val="24"/>
          <w:szCs w:val="24"/>
          <w:highlight w:val="none"/>
        </w:rPr>
        <w:br w:type="page"/>
      </w:r>
      <w:r>
        <w:rPr>
          <w:rStyle w:val="86"/>
          <w:rFonts w:hint="eastAsia" w:ascii="黑体" w:hAnsi="黑体" w:eastAsia="黑体"/>
          <w:spacing w:val="-9"/>
          <w:sz w:val="24"/>
          <w:szCs w:val="24"/>
          <w:highlight w:val="none"/>
        </w:rPr>
        <w:t>附</w:t>
      </w:r>
      <w:r>
        <w:rPr>
          <w:rStyle w:val="86"/>
          <w:rFonts w:hint="eastAsia" w:ascii="黑体" w:hAnsi="黑体" w:eastAsia="黑体"/>
          <w:spacing w:val="-7"/>
          <w:sz w:val="24"/>
          <w:szCs w:val="24"/>
          <w:highlight w:val="none"/>
        </w:rPr>
        <w:t>件7</w:t>
      </w:r>
    </w:p>
    <w:p w14:paraId="468D50B5">
      <w:pPr>
        <w:pStyle w:val="22"/>
        <w:spacing w:before="252"/>
        <w:ind w:left="3821"/>
        <w:rPr>
          <w:rStyle w:val="86"/>
          <w:rFonts w:hint="eastAsia" w:ascii="黑体" w:hAnsi="黑体" w:eastAsia="黑体"/>
          <w:sz w:val="24"/>
          <w:szCs w:val="24"/>
          <w:highlight w:val="none"/>
        </w:rPr>
      </w:pPr>
      <w:r>
        <w:rPr>
          <w:rStyle w:val="86"/>
          <w:rFonts w:hint="eastAsia" w:ascii="黑体" w:hAnsi="黑体" w:eastAsia="黑体"/>
          <w:spacing w:val="-4"/>
          <w:sz w:val="24"/>
          <w:szCs w:val="24"/>
          <w:highlight w:val="none"/>
        </w:rPr>
        <w:t>安</w:t>
      </w:r>
      <w:r>
        <w:rPr>
          <w:rStyle w:val="86"/>
          <w:rFonts w:hint="eastAsia" w:ascii="黑体" w:hAnsi="黑体" w:eastAsia="黑体"/>
          <w:spacing w:val="-2"/>
          <w:sz w:val="24"/>
          <w:szCs w:val="24"/>
          <w:highlight w:val="none"/>
        </w:rPr>
        <w:t>全生产合同</w:t>
      </w:r>
    </w:p>
    <w:p w14:paraId="3B4117D1">
      <w:pPr>
        <w:pStyle w:val="22"/>
        <w:spacing w:before="205" w:line="388" w:lineRule="auto"/>
        <w:ind w:left="7" w:right="63" w:firstLine="362"/>
        <w:rPr>
          <w:rStyle w:val="86"/>
          <w:rFonts w:hint="eastAsia" w:ascii="仿宋" w:hAnsi="仿宋" w:eastAsia="仿宋"/>
          <w:highlight w:val="none"/>
        </w:rPr>
      </w:pPr>
      <w:r>
        <w:rPr>
          <w:rStyle w:val="86"/>
          <w:rFonts w:hint="eastAsia" w:ascii="仿宋" w:hAnsi="仿宋" w:eastAsia="仿宋"/>
          <w:spacing w:val="1"/>
          <w:highlight w:val="none"/>
        </w:rPr>
        <w:t>为在</w:t>
      </w:r>
      <w:r>
        <w:rPr>
          <w:rStyle w:val="86"/>
          <w:rFonts w:hint="eastAsia" w:ascii="仿宋" w:hAnsi="仿宋" w:eastAsia="仿宋"/>
          <w:spacing w:val="1"/>
          <w:highlight w:val="none"/>
          <w:u w:val="single"/>
          <w:lang w:val="en-US" w:eastAsia="zh-CN"/>
        </w:rPr>
        <w:t xml:space="preserve">             </w:t>
      </w:r>
      <w:r>
        <w:rPr>
          <w:rStyle w:val="86"/>
          <w:rFonts w:hint="eastAsia" w:ascii="仿宋" w:hAnsi="仿宋" w:eastAsia="仿宋"/>
          <w:spacing w:val="1"/>
          <w:highlight w:val="none"/>
        </w:rPr>
        <w:t>(项目名</w:t>
      </w:r>
      <w:r>
        <w:rPr>
          <w:rStyle w:val="86"/>
          <w:rFonts w:hint="eastAsia" w:ascii="仿宋" w:hAnsi="仿宋" w:eastAsia="仿宋"/>
          <w:highlight w:val="none"/>
        </w:rPr>
        <w:t xml:space="preserve">称) 实施过程中创造安全、高效的施工环境，切实搞好本项目的安全管理工作，本 </w:t>
      </w:r>
      <w:r>
        <w:rPr>
          <w:rStyle w:val="86"/>
          <w:rFonts w:hint="eastAsia" w:ascii="仿宋" w:hAnsi="仿宋" w:eastAsia="仿宋"/>
          <w:spacing w:val="9"/>
          <w:highlight w:val="none"/>
        </w:rPr>
        <w:t>工程项目发包人(以下简称“发包人”)与(以下简称“承包人”)。特此签订安全生产合同</w:t>
      </w:r>
      <w:r>
        <w:rPr>
          <w:rStyle w:val="86"/>
          <w:rFonts w:hint="eastAsia" w:ascii="仿宋" w:hAnsi="仿宋" w:eastAsia="仿宋"/>
          <w:spacing w:val="6"/>
          <w:highlight w:val="none"/>
        </w:rPr>
        <w:t>；</w:t>
      </w:r>
    </w:p>
    <w:p w14:paraId="35255908">
      <w:pPr>
        <w:pStyle w:val="22"/>
        <w:ind w:left="368"/>
        <w:rPr>
          <w:rStyle w:val="86"/>
          <w:rFonts w:hint="eastAsia" w:ascii="仿宋" w:hAnsi="仿宋" w:eastAsia="仿宋"/>
          <w:highlight w:val="none"/>
        </w:rPr>
      </w:pPr>
      <w:r>
        <w:rPr>
          <w:rStyle w:val="86"/>
          <w:rFonts w:hint="eastAsia" w:ascii="仿宋" w:hAnsi="仿宋" w:eastAsia="仿宋"/>
          <w:spacing w:val="-9"/>
          <w:highlight w:val="none"/>
        </w:rPr>
        <w:t>发包人职责：</w:t>
      </w:r>
    </w:p>
    <w:p w14:paraId="03A4165E">
      <w:pPr>
        <w:pStyle w:val="22"/>
        <w:spacing w:before="186"/>
        <w:ind w:left="371"/>
        <w:rPr>
          <w:rStyle w:val="86"/>
          <w:rFonts w:hint="eastAsia" w:ascii="仿宋" w:hAnsi="仿宋" w:eastAsia="仿宋"/>
          <w:highlight w:val="none"/>
        </w:rPr>
      </w:pPr>
      <w:r>
        <w:rPr>
          <w:rStyle w:val="86"/>
          <w:rFonts w:hint="eastAsia" w:ascii="仿宋" w:hAnsi="仿宋" w:eastAsia="仿宋"/>
          <w:spacing w:val="-1"/>
          <w:highlight w:val="none"/>
        </w:rPr>
        <w:t>1、严格遵守国家有关安全生产的法律、法规，认真执行工程承包合同</w:t>
      </w:r>
      <w:r>
        <w:rPr>
          <w:rStyle w:val="86"/>
          <w:rFonts w:hint="eastAsia" w:ascii="仿宋" w:hAnsi="仿宋" w:eastAsia="仿宋"/>
          <w:highlight w:val="none"/>
        </w:rPr>
        <w:t>中的有关安全要求。</w:t>
      </w:r>
    </w:p>
    <w:p w14:paraId="20C6FA6C">
      <w:pPr>
        <w:pStyle w:val="22"/>
        <w:spacing w:before="179" w:line="381" w:lineRule="auto"/>
        <w:ind w:left="2" w:firstLine="356"/>
        <w:rPr>
          <w:rStyle w:val="86"/>
          <w:rFonts w:hint="eastAsia" w:ascii="仿宋" w:hAnsi="仿宋" w:eastAsia="仿宋"/>
          <w:highlight w:val="none"/>
        </w:rPr>
      </w:pPr>
      <w:r>
        <w:rPr>
          <w:rStyle w:val="86"/>
          <w:rFonts w:hint="eastAsia" w:ascii="仿宋" w:hAnsi="仿宋" w:eastAsia="仿宋"/>
          <w:spacing w:val="-3"/>
          <w:highlight w:val="none"/>
        </w:rPr>
        <w:t>2、按照“安全第一、预防为主”的方针和坚持“管生产必须管安全”的原则进行安全生产管理，</w:t>
      </w:r>
      <w:r>
        <w:rPr>
          <w:rStyle w:val="86"/>
          <w:rFonts w:hint="eastAsia" w:ascii="仿宋" w:hAnsi="仿宋" w:eastAsia="仿宋"/>
          <w:highlight w:val="none"/>
        </w:rPr>
        <w:t xml:space="preserve"> </w:t>
      </w:r>
      <w:r>
        <w:rPr>
          <w:rStyle w:val="86"/>
          <w:rFonts w:hint="eastAsia" w:ascii="仿宋" w:hAnsi="仿宋" w:eastAsia="仿宋"/>
          <w:spacing w:val="-1"/>
          <w:highlight w:val="none"/>
        </w:rPr>
        <w:t>做到安全生产与生产工作同时计划、布置、检查、总结和评比。</w:t>
      </w:r>
    </w:p>
    <w:p w14:paraId="21B80D34">
      <w:pPr>
        <w:pStyle w:val="22"/>
        <w:spacing w:before="1" w:line="388" w:lineRule="auto"/>
        <w:ind w:left="27" w:right="114" w:firstLine="332"/>
        <w:rPr>
          <w:rStyle w:val="86"/>
          <w:rFonts w:hint="eastAsia" w:ascii="仿宋" w:hAnsi="仿宋" w:eastAsia="仿宋"/>
          <w:highlight w:val="none"/>
        </w:rPr>
      </w:pPr>
      <w:r>
        <w:rPr>
          <w:rStyle w:val="86"/>
          <w:rFonts w:hint="eastAsia" w:ascii="仿宋" w:hAnsi="仿宋" w:eastAsia="仿宋"/>
          <w:spacing w:val="-1"/>
          <w:highlight w:val="none"/>
        </w:rPr>
        <w:t>3、重要的安全设施必须坚持与主体工程“三同时”的原则，即：同时设计、审</w:t>
      </w:r>
      <w:r>
        <w:rPr>
          <w:rStyle w:val="86"/>
          <w:rFonts w:hint="eastAsia" w:ascii="仿宋" w:hAnsi="仿宋" w:eastAsia="仿宋"/>
          <w:highlight w:val="none"/>
        </w:rPr>
        <w:t xml:space="preserve">批，同时施工， </w:t>
      </w:r>
      <w:r>
        <w:rPr>
          <w:rStyle w:val="86"/>
          <w:rFonts w:hint="eastAsia" w:ascii="仿宋" w:hAnsi="仿宋" w:eastAsia="仿宋"/>
          <w:spacing w:val="-10"/>
          <w:highlight w:val="none"/>
        </w:rPr>
        <w:t>同</w:t>
      </w:r>
      <w:r>
        <w:rPr>
          <w:rStyle w:val="86"/>
          <w:rFonts w:hint="eastAsia" w:ascii="仿宋" w:hAnsi="仿宋" w:eastAsia="仿宋"/>
          <w:spacing w:val="-6"/>
          <w:highlight w:val="none"/>
        </w:rPr>
        <w:t>时</w:t>
      </w:r>
      <w:r>
        <w:rPr>
          <w:rStyle w:val="86"/>
          <w:rFonts w:hint="eastAsia" w:ascii="仿宋" w:hAnsi="仿宋" w:eastAsia="仿宋"/>
          <w:spacing w:val="-5"/>
          <w:highlight w:val="none"/>
        </w:rPr>
        <w:t>验收，投入使用。</w:t>
      </w:r>
    </w:p>
    <w:p w14:paraId="0C941E7B">
      <w:pPr>
        <w:pStyle w:val="22"/>
        <w:ind w:left="354"/>
        <w:rPr>
          <w:rStyle w:val="86"/>
          <w:rFonts w:hint="eastAsia" w:ascii="仿宋" w:hAnsi="仿宋" w:eastAsia="仿宋"/>
          <w:highlight w:val="none"/>
        </w:rPr>
      </w:pPr>
      <w:r>
        <w:rPr>
          <w:rStyle w:val="86"/>
          <w:rFonts w:hint="eastAsia" w:ascii="仿宋" w:hAnsi="仿宋" w:eastAsia="仿宋"/>
          <w:spacing w:val="-1"/>
          <w:highlight w:val="none"/>
        </w:rPr>
        <w:t>4、定期召开安全生产调度会，及时传达中央及地方</w:t>
      </w:r>
      <w:r>
        <w:rPr>
          <w:rStyle w:val="86"/>
          <w:rFonts w:hint="eastAsia" w:ascii="仿宋" w:hAnsi="仿宋" w:eastAsia="仿宋"/>
          <w:highlight w:val="none"/>
        </w:rPr>
        <w:t>有关安全生产的精神。</w:t>
      </w:r>
    </w:p>
    <w:p w14:paraId="7E2BC88A">
      <w:pPr>
        <w:pStyle w:val="22"/>
        <w:spacing w:before="187"/>
        <w:ind w:left="360"/>
        <w:rPr>
          <w:rStyle w:val="86"/>
          <w:rFonts w:hint="eastAsia" w:ascii="仿宋" w:hAnsi="仿宋" w:eastAsia="仿宋"/>
          <w:highlight w:val="none"/>
        </w:rPr>
      </w:pPr>
      <w:r>
        <w:rPr>
          <w:rStyle w:val="86"/>
          <w:rFonts w:hint="eastAsia" w:ascii="仿宋" w:hAnsi="仿宋" w:eastAsia="仿宋"/>
          <w:spacing w:val="-1"/>
          <w:highlight w:val="none"/>
        </w:rPr>
        <w:t>5、组织对承包人施工现场安全生产检查。监</w:t>
      </w:r>
      <w:r>
        <w:rPr>
          <w:rStyle w:val="86"/>
          <w:rFonts w:hint="eastAsia" w:ascii="仿宋" w:hAnsi="仿宋" w:eastAsia="仿宋"/>
          <w:highlight w:val="none"/>
        </w:rPr>
        <w:t>督承包人及时处理发现的各种安全隐患。</w:t>
      </w:r>
    </w:p>
    <w:p w14:paraId="4E7B25EF">
      <w:pPr>
        <w:pStyle w:val="22"/>
        <w:spacing w:before="181"/>
        <w:ind w:left="362"/>
        <w:rPr>
          <w:rStyle w:val="86"/>
          <w:rFonts w:hint="eastAsia" w:ascii="仿宋" w:hAnsi="仿宋" w:eastAsia="仿宋"/>
          <w:highlight w:val="none"/>
        </w:rPr>
      </w:pPr>
      <w:r>
        <w:rPr>
          <w:rStyle w:val="86"/>
          <w:rFonts w:hint="eastAsia" w:ascii="仿宋" w:hAnsi="仿宋" w:eastAsia="仿宋"/>
          <w:spacing w:val="-9"/>
          <w:highlight w:val="none"/>
        </w:rPr>
        <w:t>承</w:t>
      </w:r>
      <w:r>
        <w:rPr>
          <w:rStyle w:val="86"/>
          <w:rFonts w:hint="eastAsia" w:ascii="仿宋" w:hAnsi="仿宋" w:eastAsia="仿宋"/>
          <w:spacing w:val="-8"/>
          <w:highlight w:val="none"/>
        </w:rPr>
        <w:t>包人职责：</w:t>
      </w:r>
    </w:p>
    <w:p w14:paraId="7330C99D">
      <w:pPr>
        <w:pStyle w:val="22"/>
        <w:spacing w:before="186" w:line="388" w:lineRule="auto"/>
        <w:ind w:right="91" w:firstLine="371"/>
        <w:rPr>
          <w:rStyle w:val="86"/>
          <w:rFonts w:hint="eastAsia" w:ascii="仿宋" w:hAnsi="仿宋" w:eastAsia="仿宋"/>
          <w:highlight w:val="none"/>
        </w:rPr>
      </w:pPr>
      <w:r>
        <w:rPr>
          <w:rStyle w:val="86"/>
          <w:rFonts w:hint="eastAsia" w:ascii="仿宋" w:hAnsi="仿宋" w:eastAsia="仿宋"/>
          <w:spacing w:val="-1"/>
          <w:highlight w:val="none"/>
        </w:rPr>
        <w:t>1、严格遵守国家有关安全生产的法律、法规有关安</w:t>
      </w:r>
      <w:r>
        <w:rPr>
          <w:rStyle w:val="86"/>
          <w:rFonts w:hint="eastAsia" w:ascii="仿宋" w:hAnsi="仿宋" w:eastAsia="仿宋"/>
          <w:highlight w:val="none"/>
        </w:rPr>
        <w:t xml:space="preserve">全生产的规定。认真执行工程承包合同中的 </w:t>
      </w:r>
      <w:r>
        <w:rPr>
          <w:rStyle w:val="86"/>
          <w:rFonts w:hint="eastAsia" w:ascii="仿宋" w:hAnsi="仿宋" w:eastAsia="仿宋"/>
          <w:spacing w:val="-8"/>
          <w:highlight w:val="none"/>
        </w:rPr>
        <w:t>有</w:t>
      </w:r>
      <w:r>
        <w:rPr>
          <w:rStyle w:val="86"/>
          <w:rFonts w:hint="eastAsia" w:ascii="仿宋" w:hAnsi="仿宋" w:eastAsia="仿宋"/>
          <w:spacing w:val="-4"/>
          <w:highlight w:val="none"/>
        </w:rPr>
        <w:t>关安全要求。</w:t>
      </w:r>
    </w:p>
    <w:p w14:paraId="3B232EED">
      <w:pPr>
        <w:pStyle w:val="22"/>
        <w:spacing w:before="2" w:line="384" w:lineRule="auto"/>
        <w:ind w:left="1" w:right="91" w:firstLine="356"/>
        <w:rPr>
          <w:rStyle w:val="86"/>
          <w:rFonts w:hint="eastAsia" w:ascii="仿宋" w:hAnsi="仿宋" w:eastAsia="仿宋"/>
          <w:highlight w:val="none"/>
        </w:rPr>
      </w:pPr>
      <w:r>
        <w:rPr>
          <w:rStyle w:val="86"/>
          <w:rFonts w:hint="eastAsia" w:ascii="仿宋" w:hAnsi="仿宋" w:eastAsia="仿宋"/>
          <w:spacing w:val="-1"/>
          <w:highlight w:val="none"/>
        </w:rPr>
        <w:t>2、坚持“安全第一、</w:t>
      </w:r>
      <w:r>
        <w:rPr>
          <w:rStyle w:val="86"/>
          <w:rFonts w:hint="eastAsia" w:ascii="仿宋" w:hAnsi="仿宋" w:eastAsia="仿宋"/>
          <w:highlight w:val="none"/>
        </w:rPr>
        <w:t xml:space="preserve">预防为主”和“管生产必须管安全”的原则，加强安全生产宣传教育，增 </w:t>
      </w:r>
      <w:r>
        <w:rPr>
          <w:rStyle w:val="86"/>
          <w:rFonts w:hint="eastAsia" w:ascii="仿宋" w:hAnsi="仿宋" w:eastAsia="仿宋"/>
          <w:spacing w:val="1"/>
          <w:highlight w:val="none"/>
        </w:rPr>
        <w:t>强全员安全生产</w:t>
      </w:r>
      <w:r>
        <w:rPr>
          <w:rStyle w:val="86"/>
          <w:rFonts w:hint="eastAsia" w:ascii="仿宋" w:hAnsi="仿宋" w:eastAsia="仿宋"/>
          <w:highlight w:val="none"/>
        </w:rPr>
        <w:t xml:space="preserve">意识，建立健全各项安全生产的管理机构和安全生产管理制度，加强安全生产宣传 </w:t>
      </w:r>
      <w:r>
        <w:rPr>
          <w:rStyle w:val="86"/>
          <w:rFonts w:hint="eastAsia" w:ascii="仿宋" w:hAnsi="仿宋" w:eastAsia="仿宋"/>
          <w:spacing w:val="1"/>
          <w:highlight w:val="none"/>
        </w:rPr>
        <w:t>教育培训工作，</w:t>
      </w:r>
      <w:r>
        <w:rPr>
          <w:rStyle w:val="86"/>
          <w:rFonts w:hint="eastAsia" w:ascii="仿宋" w:hAnsi="仿宋" w:eastAsia="仿宋"/>
          <w:highlight w:val="none"/>
        </w:rPr>
        <w:t xml:space="preserve">配备专职及兼职安全检查人员，有组织有领导的开展安全生产活动。各级领导、工 </w:t>
      </w:r>
      <w:r>
        <w:rPr>
          <w:rStyle w:val="86"/>
          <w:rFonts w:hint="eastAsia" w:ascii="仿宋" w:hAnsi="仿宋" w:eastAsia="仿宋"/>
          <w:spacing w:val="-1"/>
          <w:highlight w:val="none"/>
        </w:rPr>
        <w:t>程技术人员和具体操作人员，必须熟悉和遵守本条款的各项规定，做到</w:t>
      </w:r>
      <w:r>
        <w:rPr>
          <w:rStyle w:val="86"/>
          <w:rFonts w:hint="eastAsia" w:ascii="仿宋" w:hAnsi="仿宋" w:eastAsia="仿宋"/>
          <w:highlight w:val="none"/>
        </w:rPr>
        <w:t xml:space="preserve">生产与安全工作同时计划、 </w:t>
      </w:r>
      <w:r>
        <w:rPr>
          <w:rStyle w:val="86"/>
          <w:rFonts w:hint="eastAsia" w:ascii="仿宋" w:hAnsi="仿宋" w:eastAsia="仿宋"/>
          <w:spacing w:val="-4"/>
          <w:highlight w:val="none"/>
        </w:rPr>
        <w:t>布置、检</w:t>
      </w:r>
      <w:r>
        <w:rPr>
          <w:rStyle w:val="86"/>
          <w:rFonts w:hint="eastAsia" w:ascii="仿宋" w:hAnsi="仿宋" w:eastAsia="仿宋"/>
          <w:spacing w:val="-3"/>
          <w:highlight w:val="none"/>
        </w:rPr>
        <w:t>查</w:t>
      </w:r>
      <w:r>
        <w:rPr>
          <w:rStyle w:val="86"/>
          <w:rFonts w:hint="eastAsia" w:ascii="仿宋" w:hAnsi="仿宋" w:eastAsia="仿宋"/>
          <w:spacing w:val="-2"/>
          <w:highlight w:val="none"/>
        </w:rPr>
        <w:t>、总结和评比。</w:t>
      </w:r>
    </w:p>
    <w:p w14:paraId="00766183">
      <w:pPr>
        <w:pStyle w:val="22"/>
        <w:spacing w:before="1" w:line="386" w:lineRule="auto"/>
        <w:ind w:left="1" w:right="91" w:firstLine="358"/>
        <w:rPr>
          <w:rStyle w:val="86"/>
          <w:rFonts w:hint="eastAsia" w:ascii="仿宋" w:hAnsi="仿宋" w:eastAsia="仿宋"/>
          <w:highlight w:val="none"/>
        </w:rPr>
      </w:pPr>
      <w:r>
        <w:rPr>
          <w:rStyle w:val="86"/>
          <w:rFonts w:hint="eastAsia" w:ascii="仿宋" w:hAnsi="仿宋" w:eastAsia="仿宋"/>
          <w:spacing w:val="8"/>
          <w:highlight w:val="none"/>
        </w:rPr>
        <w:t>3、建立健全安</w:t>
      </w:r>
      <w:r>
        <w:rPr>
          <w:rStyle w:val="86"/>
          <w:rFonts w:hint="eastAsia" w:ascii="仿宋" w:hAnsi="仿宋" w:eastAsia="仿宋"/>
          <w:spacing w:val="6"/>
          <w:highlight w:val="none"/>
        </w:rPr>
        <w:t>全</w:t>
      </w:r>
      <w:r>
        <w:rPr>
          <w:rStyle w:val="86"/>
          <w:rFonts w:hint="eastAsia" w:ascii="仿宋" w:hAnsi="仿宋" w:eastAsia="仿宋"/>
          <w:spacing w:val="4"/>
          <w:highlight w:val="none"/>
        </w:rPr>
        <w:t>生产责任制。派往项目实施的项目经理到生产工人(包括临时雇请的民工)的</w:t>
      </w:r>
      <w:r>
        <w:rPr>
          <w:rStyle w:val="86"/>
          <w:rFonts w:hint="eastAsia" w:ascii="仿宋" w:hAnsi="仿宋" w:eastAsia="仿宋"/>
          <w:highlight w:val="none"/>
        </w:rPr>
        <w:t xml:space="preserve"> </w:t>
      </w:r>
      <w:r>
        <w:rPr>
          <w:rStyle w:val="86"/>
          <w:rFonts w:hint="eastAsia" w:ascii="仿宋" w:hAnsi="仿宋" w:eastAsia="仿宋"/>
          <w:spacing w:val="1"/>
          <w:highlight w:val="none"/>
        </w:rPr>
        <w:t>安全生产管理系</w:t>
      </w:r>
      <w:r>
        <w:rPr>
          <w:rStyle w:val="86"/>
          <w:rFonts w:hint="eastAsia" w:ascii="仿宋" w:hAnsi="仿宋" w:eastAsia="仿宋"/>
          <w:highlight w:val="none"/>
        </w:rPr>
        <w:t>统必须做到纵向到底、一环不漏；各职能部门、人员的安全生产责任制做到横向到</w:t>
      </w:r>
      <w:r>
        <w:rPr>
          <w:rStyle w:val="86"/>
          <w:rFonts w:hint="eastAsia" w:ascii="仿宋" w:hAnsi="仿宋" w:eastAsia="仿宋"/>
          <w:spacing w:val="1"/>
          <w:highlight w:val="none"/>
        </w:rPr>
        <w:t>边、人人有责。</w:t>
      </w:r>
      <w:r>
        <w:rPr>
          <w:rStyle w:val="86"/>
          <w:rFonts w:hint="eastAsia" w:ascii="仿宋" w:hAnsi="仿宋" w:eastAsia="仿宋"/>
          <w:highlight w:val="none"/>
        </w:rPr>
        <w:t>项目经理是安全生产的第一责任人。现场设置的安全机构，现场专职安全人员应满</w:t>
      </w:r>
      <w:r>
        <w:rPr>
          <w:rStyle w:val="86"/>
          <w:rFonts w:hint="eastAsia" w:ascii="仿宋" w:hAnsi="仿宋" w:eastAsia="仿宋"/>
          <w:spacing w:val="4"/>
          <w:highlight w:val="none"/>
        </w:rPr>
        <w:t>足建字(2008</w:t>
      </w:r>
      <w:r>
        <w:rPr>
          <w:rStyle w:val="86"/>
          <w:rFonts w:hint="eastAsia" w:ascii="仿宋" w:hAnsi="仿宋" w:eastAsia="仿宋"/>
          <w:spacing w:val="2"/>
          <w:highlight w:val="none"/>
        </w:rPr>
        <w:t>) 91号文要求，专职负责所有员工的安全和治安保卫工作及预防事故的发生。安全机</w:t>
      </w:r>
      <w:r>
        <w:rPr>
          <w:rStyle w:val="86"/>
          <w:rFonts w:hint="eastAsia" w:ascii="仿宋" w:hAnsi="仿宋" w:eastAsia="仿宋"/>
          <w:highlight w:val="none"/>
        </w:rPr>
        <w:t xml:space="preserve"> </w:t>
      </w:r>
      <w:r>
        <w:rPr>
          <w:rStyle w:val="86"/>
          <w:rFonts w:hint="eastAsia" w:ascii="仿宋" w:hAnsi="仿宋" w:eastAsia="仿宋"/>
          <w:spacing w:val="-1"/>
          <w:highlight w:val="none"/>
        </w:rPr>
        <w:t>构人员，有权按有关规定发布指令，并采取保护性措施防止</w:t>
      </w:r>
      <w:r>
        <w:rPr>
          <w:rStyle w:val="86"/>
          <w:rFonts w:hint="eastAsia" w:ascii="仿宋" w:hAnsi="仿宋" w:eastAsia="仿宋"/>
          <w:highlight w:val="none"/>
        </w:rPr>
        <w:t>事故发生。</w:t>
      </w:r>
    </w:p>
    <w:p w14:paraId="337A0891">
      <w:pPr>
        <w:pStyle w:val="22"/>
        <w:spacing w:before="2" w:line="386" w:lineRule="auto"/>
        <w:ind w:left="1" w:right="74" w:firstLine="353"/>
        <w:rPr>
          <w:rStyle w:val="86"/>
          <w:rFonts w:hint="eastAsia" w:ascii="仿宋" w:hAnsi="仿宋" w:eastAsia="仿宋"/>
          <w:highlight w:val="none"/>
        </w:rPr>
      </w:pPr>
      <w:r>
        <w:rPr>
          <w:rStyle w:val="86"/>
          <w:rFonts w:hint="eastAsia" w:ascii="仿宋" w:hAnsi="仿宋" w:eastAsia="仿宋"/>
          <w:spacing w:val="1"/>
          <w:highlight w:val="none"/>
        </w:rPr>
        <w:t>4、承包人在任何时候</w:t>
      </w:r>
      <w:r>
        <w:rPr>
          <w:rStyle w:val="86"/>
          <w:rFonts w:hint="eastAsia" w:ascii="仿宋" w:hAnsi="仿宋" w:eastAsia="仿宋"/>
          <w:highlight w:val="none"/>
        </w:rPr>
        <w:t xml:space="preserve">都应采取各种合理的预防措施，防止其员工发生任何违法、违禁、暴力或 </w:t>
      </w:r>
      <w:r>
        <w:rPr>
          <w:rStyle w:val="86"/>
          <w:rFonts w:hint="eastAsia" w:ascii="仿宋" w:hAnsi="仿宋" w:eastAsia="仿宋"/>
          <w:spacing w:val="-5"/>
          <w:highlight w:val="none"/>
        </w:rPr>
        <w:t>妨</w:t>
      </w:r>
      <w:r>
        <w:rPr>
          <w:rStyle w:val="86"/>
          <w:rFonts w:hint="eastAsia" w:ascii="仿宋" w:hAnsi="仿宋" w:eastAsia="仿宋"/>
          <w:spacing w:val="-4"/>
          <w:highlight w:val="none"/>
        </w:rPr>
        <w:t>碍治安的行为。</w:t>
      </w:r>
    </w:p>
    <w:p w14:paraId="78D1503C">
      <w:pPr>
        <w:pStyle w:val="22"/>
        <w:spacing w:line="388" w:lineRule="auto"/>
        <w:ind w:left="1" w:right="88" w:firstLine="358"/>
        <w:rPr>
          <w:rStyle w:val="86"/>
          <w:rFonts w:ascii="仿宋" w:hAnsi="仿宋" w:eastAsia="仿宋"/>
          <w:highlight w:val="none"/>
        </w:rPr>
      </w:pPr>
      <w:r>
        <w:rPr>
          <w:rStyle w:val="86"/>
          <w:rFonts w:hint="eastAsia" w:ascii="仿宋" w:hAnsi="仿宋" w:eastAsia="仿宋"/>
          <w:spacing w:val="-1"/>
          <w:highlight w:val="none"/>
        </w:rPr>
        <w:t>5、承包人必须具有</w:t>
      </w:r>
      <w:r>
        <w:rPr>
          <w:rStyle w:val="86"/>
          <w:rFonts w:hint="eastAsia" w:ascii="仿宋" w:hAnsi="仿宋" w:eastAsia="仿宋"/>
          <w:highlight w:val="none"/>
        </w:rPr>
        <w:t xml:space="preserve">劳动安全管理部门颁发的安全生产证书，参加施工的人员必须接受安全生 </w:t>
      </w:r>
      <w:r>
        <w:rPr>
          <w:rStyle w:val="86"/>
          <w:rFonts w:hint="eastAsia" w:ascii="仿宋" w:hAnsi="仿宋" w:eastAsia="仿宋"/>
          <w:spacing w:val="1"/>
          <w:highlight w:val="none"/>
        </w:rPr>
        <w:t>产教育，熟知和</w:t>
      </w:r>
      <w:r>
        <w:rPr>
          <w:rStyle w:val="86"/>
          <w:rFonts w:hint="eastAsia" w:ascii="仿宋" w:hAnsi="仿宋" w:eastAsia="仿宋"/>
          <w:highlight w:val="none"/>
        </w:rPr>
        <w:t xml:space="preserve">遵守本工种的各项安全技术操作规程，定期进行安全技术考核，合格者方准上岗操 </w:t>
      </w:r>
      <w:r>
        <w:rPr>
          <w:rStyle w:val="86"/>
          <w:rFonts w:hint="eastAsia" w:ascii="仿宋" w:hAnsi="仿宋" w:eastAsia="仿宋"/>
          <w:spacing w:val="1"/>
          <w:highlight w:val="none"/>
        </w:rPr>
        <w:t>作对于从事电气</w:t>
      </w:r>
      <w:r>
        <w:rPr>
          <w:rStyle w:val="86"/>
          <w:rFonts w:hint="eastAsia" w:ascii="仿宋" w:hAnsi="仿宋" w:eastAsia="仿宋"/>
          <w:highlight w:val="none"/>
        </w:rPr>
        <w:t xml:space="preserve">、起重、建筑登高架设作业、锅炉、压力容器、焊接、机动车船艇驾驶、爆破、潜 </w:t>
      </w:r>
      <w:r>
        <w:rPr>
          <w:rStyle w:val="86"/>
          <w:rFonts w:hint="eastAsia" w:ascii="仿宋" w:hAnsi="仿宋" w:eastAsia="仿宋"/>
          <w:spacing w:val="1"/>
          <w:highlight w:val="none"/>
        </w:rPr>
        <w:t>水、瓦斯检验等</w:t>
      </w:r>
      <w:r>
        <w:rPr>
          <w:rStyle w:val="86"/>
          <w:rFonts w:hint="eastAsia" w:ascii="仿宋" w:hAnsi="仿宋" w:eastAsia="仿宋"/>
          <w:highlight w:val="none"/>
        </w:rPr>
        <w:t>特殊工种的人员，获得“安全操作合格证”后，方准持证上岗。施工现场如出现特</w:t>
      </w:r>
      <w:r>
        <w:rPr>
          <w:rStyle w:val="86"/>
          <w:rFonts w:hint="eastAsia" w:ascii="仿宋" w:hAnsi="仿宋" w:eastAsia="仿宋"/>
          <w:spacing w:val="-2"/>
          <w:highlight w:val="none"/>
        </w:rPr>
        <w:t>种作业无证操作</w:t>
      </w:r>
      <w:r>
        <w:rPr>
          <w:rStyle w:val="86"/>
          <w:rFonts w:hint="eastAsia" w:ascii="仿宋" w:hAnsi="仿宋" w:eastAsia="仿宋"/>
          <w:spacing w:val="-1"/>
          <w:highlight w:val="none"/>
        </w:rPr>
        <w:t>现象时，项目经理必须承担管理责任。</w:t>
      </w:r>
    </w:p>
    <w:p w14:paraId="2857A267">
      <w:pPr>
        <w:pStyle w:val="22"/>
        <w:spacing w:before="205" w:line="384" w:lineRule="auto"/>
        <w:ind w:right="15" w:firstLine="355"/>
        <w:rPr>
          <w:rStyle w:val="86"/>
          <w:rFonts w:hint="eastAsia" w:ascii="仿宋" w:hAnsi="仿宋" w:eastAsia="仿宋"/>
          <w:highlight w:val="none"/>
        </w:rPr>
      </w:pPr>
      <w:r>
        <w:rPr>
          <w:rStyle w:val="86"/>
          <w:rFonts w:hint="eastAsia" w:ascii="仿宋" w:hAnsi="仿宋" w:eastAsia="仿宋"/>
          <w:spacing w:val="-4"/>
          <w:highlight w:val="none"/>
        </w:rPr>
        <w:t>6、对于易燃</w:t>
      </w:r>
      <w:r>
        <w:rPr>
          <w:rStyle w:val="86"/>
          <w:rFonts w:hint="eastAsia" w:ascii="仿宋" w:hAnsi="仿宋" w:eastAsia="仿宋"/>
          <w:spacing w:val="-3"/>
          <w:highlight w:val="none"/>
        </w:rPr>
        <w:t>易</w:t>
      </w:r>
      <w:r>
        <w:rPr>
          <w:rStyle w:val="86"/>
          <w:rFonts w:hint="eastAsia" w:ascii="仿宋" w:hAnsi="仿宋" w:eastAsia="仿宋"/>
          <w:spacing w:val="-2"/>
          <w:highlight w:val="none"/>
        </w:rPr>
        <w:t>爆的材料除应专门妥善保管之外， 还应配备有足够的消防设施，所有施工人员都</w:t>
      </w:r>
      <w:r>
        <w:rPr>
          <w:rStyle w:val="86"/>
          <w:rFonts w:hint="eastAsia" w:ascii="仿宋" w:hAnsi="仿宋" w:eastAsia="仿宋"/>
          <w:highlight w:val="none"/>
        </w:rPr>
        <w:t xml:space="preserve"> </w:t>
      </w:r>
      <w:r>
        <w:rPr>
          <w:rStyle w:val="86"/>
          <w:rFonts w:hint="eastAsia" w:ascii="仿宋" w:hAnsi="仿宋" w:eastAsia="仿宋"/>
          <w:spacing w:val="1"/>
          <w:highlight w:val="none"/>
        </w:rPr>
        <w:t>应熟悉消防设备</w:t>
      </w:r>
      <w:r>
        <w:rPr>
          <w:rStyle w:val="86"/>
          <w:rFonts w:hint="eastAsia" w:ascii="仿宋" w:hAnsi="仿宋" w:eastAsia="仿宋"/>
          <w:highlight w:val="none"/>
        </w:rPr>
        <w:t xml:space="preserve">的性能和使用方法；承包人不得将任何种类的爆炸物给予、易货或以其他方式转让 </w:t>
      </w:r>
      <w:r>
        <w:rPr>
          <w:rStyle w:val="86"/>
          <w:rFonts w:hint="eastAsia" w:ascii="仿宋" w:hAnsi="仿宋" w:eastAsia="仿宋"/>
          <w:spacing w:val="-2"/>
          <w:highlight w:val="none"/>
        </w:rPr>
        <w:t>给任何其他人，或允许、</w:t>
      </w:r>
      <w:r>
        <w:rPr>
          <w:rStyle w:val="86"/>
          <w:rFonts w:hint="eastAsia" w:ascii="仿宋" w:hAnsi="仿宋" w:eastAsia="仿宋"/>
          <w:spacing w:val="-1"/>
          <w:highlight w:val="none"/>
        </w:rPr>
        <w:t>容忍上述同样行为。</w:t>
      </w:r>
    </w:p>
    <w:p w14:paraId="0BD88624">
      <w:pPr>
        <w:pStyle w:val="22"/>
        <w:spacing w:before="2" w:line="381" w:lineRule="auto"/>
        <w:ind w:right="26" w:firstLine="359"/>
        <w:rPr>
          <w:rStyle w:val="86"/>
          <w:rFonts w:hint="eastAsia" w:ascii="仿宋" w:hAnsi="仿宋" w:eastAsia="仿宋"/>
          <w:highlight w:val="none"/>
        </w:rPr>
      </w:pPr>
      <w:r>
        <w:rPr>
          <w:rStyle w:val="86"/>
          <w:rFonts w:hint="eastAsia" w:ascii="仿宋" w:hAnsi="仿宋" w:eastAsia="仿宋"/>
          <w:spacing w:val="-1"/>
          <w:highlight w:val="none"/>
        </w:rPr>
        <w:t>7、操作人员上岗</w:t>
      </w:r>
      <w:r>
        <w:rPr>
          <w:rStyle w:val="86"/>
          <w:rFonts w:hint="eastAsia" w:ascii="仿宋" w:hAnsi="仿宋" w:eastAsia="仿宋"/>
          <w:highlight w:val="none"/>
        </w:rPr>
        <w:t xml:space="preserve">，必须按规定穿戴防护用品，施工注册建造师和安全检查员应随时检查劳动防 </w:t>
      </w:r>
      <w:r>
        <w:rPr>
          <w:rStyle w:val="86"/>
          <w:rFonts w:hint="eastAsia" w:ascii="仿宋" w:hAnsi="仿宋" w:eastAsia="仿宋"/>
          <w:spacing w:val="-2"/>
          <w:highlight w:val="none"/>
        </w:rPr>
        <w:t>护</w:t>
      </w:r>
      <w:r>
        <w:rPr>
          <w:rStyle w:val="86"/>
          <w:rFonts w:hint="eastAsia" w:ascii="仿宋" w:hAnsi="仿宋" w:eastAsia="仿宋"/>
          <w:spacing w:val="-1"/>
          <w:highlight w:val="none"/>
        </w:rPr>
        <w:t>用品的穿戴情况，不按规定穿戴防护用品的人员不得上岗。</w:t>
      </w:r>
    </w:p>
    <w:p w14:paraId="7DB16A7C">
      <w:pPr>
        <w:pStyle w:val="22"/>
        <w:spacing w:line="388" w:lineRule="auto"/>
        <w:ind w:left="4" w:right="25" w:firstLine="350"/>
        <w:rPr>
          <w:rStyle w:val="86"/>
          <w:rFonts w:hint="eastAsia" w:ascii="仿宋" w:hAnsi="仿宋" w:eastAsia="仿宋"/>
          <w:highlight w:val="none"/>
        </w:rPr>
      </w:pPr>
      <w:r>
        <w:rPr>
          <w:rStyle w:val="86"/>
          <w:rFonts w:hint="eastAsia" w:ascii="仿宋" w:hAnsi="仿宋" w:eastAsia="仿宋"/>
          <w:spacing w:val="-1"/>
          <w:highlight w:val="none"/>
        </w:rPr>
        <w:t>8、所</w:t>
      </w:r>
      <w:r>
        <w:rPr>
          <w:rStyle w:val="86"/>
          <w:rFonts w:hint="eastAsia" w:ascii="仿宋" w:hAnsi="仿宋" w:eastAsia="仿宋"/>
          <w:highlight w:val="none"/>
        </w:rPr>
        <w:t xml:space="preserve">有施工机具设备和高空作业的设备均应定期检查，并有安全员的签字记录，保证其经常处 </w:t>
      </w:r>
      <w:r>
        <w:rPr>
          <w:rStyle w:val="86"/>
          <w:rFonts w:hint="eastAsia" w:ascii="仿宋" w:hAnsi="仿宋" w:eastAsia="仿宋"/>
          <w:spacing w:val="-2"/>
          <w:highlight w:val="none"/>
        </w:rPr>
        <w:t>于完好状态</w:t>
      </w:r>
      <w:r>
        <w:rPr>
          <w:rStyle w:val="86"/>
          <w:rFonts w:hint="eastAsia" w:ascii="仿宋" w:hAnsi="仿宋" w:eastAsia="仿宋"/>
          <w:spacing w:val="-1"/>
          <w:highlight w:val="none"/>
        </w:rPr>
        <w:t>。不合格的机具、设备和劳动保护用品严禁使用。</w:t>
      </w:r>
    </w:p>
    <w:p w14:paraId="47EAB982">
      <w:pPr>
        <w:pStyle w:val="22"/>
        <w:spacing w:line="388" w:lineRule="auto"/>
        <w:ind w:left="3" w:right="18" w:firstLine="350"/>
        <w:rPr>
          <w:rStyle w:val="86"/>
          <w:rFonts w:hint="eastAsia" w:ascii="仿宋" w:hAnsi="仿宋" w:eastAsia="仿宋"/>
          <w:highlight w:val="none"/>
        </w:rPr>
      </w:pPr>
      <w:r>
        <w:rPr>
          <w:rStyle w:val="86"/>
          <w:rFonts w:hint="eastAsia" w:ascii="仿宋" w:hAnsi="仿宋" w:eastAsia="仿宋"/>
          <w:spacing w:val="1"/>
          <w:highlight w:val="none"/>
        </w:rPr>
        <w:t>9、施工</w:t>
      </w:r>
      <w:r>
        <w:rPr>
          <w:rStyle w:val="86"/>
          <w:rFonts w:hint="eastAsia" w:ascii="仿宋" w:hAnsi="仿宋" w:eastAsia="仿宋"/>
          <w:highlight w:val="none"/>
        </w:rPr>
        <w:t xml:space="preserve">中采用新技术、新工艺、新设备、新材料时，必须制定相应的安全技术措施，施工现场 </w:t>
      </w:r>
      <w:r>
        <w:rPr>
          <w:rStyle w:val="86"/>
          <w:rFonts w:hint="eastAsia" w:ascii="仿宋" w:hAnsi="仿宋" w:eastAsia="仿宋"/>
          <w:spacing w:val="-4"/>
          <w:highlight w:val="none"/>
        </w:rPr>
        <w:t>必须具有相</w:t>
      </w:r>
      <w:r>
        <w:rPr>
          <w:rStyle w:val="86"/>
          <w:rFonts w:hint="eastAsia" w:ascii="仿宋" w:hAnsi="仿宋" w:eastAsia="仿宋"/>
          <w:spacing w:val="-3"/>
          <w:highlight w:val="none"/>
        </w:rPr>
        <w:t>关</w:t>
      </w:r>
      <w:r>
        <w:rPr>
          <w:rStyle w:val="86"/>
          <w:rFonts w:hint="eastAsia" w:ascii="仿宋" w:hAnsi="仿宋" w:eastAsia="仿宋"/>
          <w:spacing w:val="-2"/>
          <w:highlight w:val="none"/>
        </w:rPr>
        <w:t>的安全标志牌。</w:t>
      </w:r>
    </w:p>
    <w:p w14:paraId="6F80D1B3">
      <w:pPr>
        <w:pStyle w:val="22"/>
        <w:spacing w:before="2" w:line="384" w:lineRule="auto"/>
        <w:ind w:firstLine="369"/>
        <w:rPr>
          <w:rStyle w:val="86"/>
          <w:rFonts w:hint="eastAsia" w:ascii="仿宋" w:hAnsi="仿宋" w:eastAsia="仿宋"/>
          <w:highlight w:val="none"/>
        </w:rPr>
      </w:pPr>
      <w:r>
        <w:rPr>
          <w:rStyle w:val="86"/>
          <w:rFonts w:hint="eastAsia" w:ascii="仿宋" w:hAnsi="仿宋" w:eastAsia="仿宋"/>
          <w:spacing w:val="-8"/>
          <w:highlight w:val="none"/>
        </w:rPr>
        <w:t>10、承包人</w:t>
      </w:r>
      <w:r>
        <w:rPr>
          <w:rStyle w:val="86"/>
          <w:rFonts w:hint="eastAsia" w:ascii="仿宋" w:hAnsi="仿宋" w:eastAsia="仿宋"/>
          <w:spacing w:val="-6"/>
          <w:highlight w:val="none"/>
        </w:rPr>
        <w:t>必</w:t>
      </w:r>
      <w:r>
        <w:rPr>
          <w:rStyle w:val="86"/>
          <w:rFonts w:hint="eastAsia" w:ascii="仿宋" w:hAnsi="仿宋" w:eastAsia="仿宋"/>
          <w:spacing w:val="-4"/>
          <w:highlight w:val="none"/>
        </w:rPr>
        <w:t>须按照本工程项目特点，组织制定本工程实施中的安全生产应急救援预案； 如果发</w:t>
      </w:r>
      <w:r>
        <w:rPr>
          <w:rStyle w:val="86"/>
          <w:rFonts w:hint="eastAsia" w:ascii="仿宋" w:hAnsi="仿宋" w:eastAsia="仿宋"/>
          <w:highlight w:val="none"/>
        </w:rPr>
        <w:t xml:space="preserve"> </w:t>
      </w:r>
      <w:r>
        <w:rPr>
          <w:rStyle w:val="86"/>
          <w:rFonts w:hint="eastAsia" w:ascii="仿宋" w:hAnsi="仿宋" w:eastAsia="仿宋"/>
          <w:spacing w:val="1"/>
          <w:highlight w:val="none"/>
        </w:rPr>
        <w:t>生安全事故，应</w:t>
      </w:r>
      <w:r>
        <w:rPr>
          <w:rStyle w:val="86"/>
          <w:rFonts w:hint="eastAsia" w:ascii="仿宋" w:hAnsi="仿宋" w:eastAsia="仿宋"/>
          <w:highlight w:val="none"/>
        </w:rPr>
        <w:t xml:space="preserve">按照《国务院关于特大安全事故行政责任追究的规定》以及其他有关规定，及时上 </w:t>
      </w:r>
      <w:r>
        <w:rPr>
          <w:rStyle w:val="86"/>
          <w:rFonts w:hint="eastAsia" w:ascii="仿宋" w:hAnsi="仿宋" w:eastAsia="仿宋"/>
          <w:spacing w:val="-1"/>
          <w:highlight w:val="none"/>
        </w:rPr>
        <w:t>报有关部门，并坚持“三不放过”的原则，严肃处理相关责任</w:t>
      </w:r>
      <w:r>
        <w:rPr>
          <w:rStyle w:val="86"/>
          <w:rFonts w:hint="eastAsia" w:ascii="仿宋" w:hAnsi="仿宋" w:eastAsia="仿宋"/>
          <w:highlight w:val="none"/>
        </w:rPr>
        <w:t>人。</w:t>
      </w:r>
    </w:p>
    <w:p w14:paraId="7ACBD2E3">
      <w:pPr>
        <w:pStyle w:val="22"/>
        <w:spacing w:before="2"/>
        <w:ind w:left="366"/>
        <w:rPr>
          <w:rStyle w:val="86"/>
          <w:rFonts w:hint="eastAsia" w:ascii="仿宋" w:hAnsi="仿宋" w:eastAsia="仿宋"/>
          <w:highlight w:val="none"/>
        </w:rPr>
      </w:pPr>
      <w:r>
        <w:rPr>
          <w:rStyle w:val="86"/>
          <w:rFonts w:hint="eastAsia" w:ascii="仿宋" w:hAnsi="仿宋" w:eastAsia="仿宋"/>
          <w:spacing w:val="-13"/>
          <w:highlight w:val="none"/>
        </w:rPr>
        <w:t>三</w:t>
      </w:r>
      <w:r>
        <w:rPr>
          <w:rStyle w:val="86"/>
          <w:rFonts w:hint="eastAsia" w:ascii="仿宋" w:hAnsi="仿宋" w:eastAsia="仿宋"/>
          <w:spacing w:val="-7"/>
          <w:highlight w:val="none"/>
        </w:rPr>
        <w:t>、违约责任：</w:t>
      </w:r>
    </w:p>
    <w:p w14:paraId="461C6A07">
      <w:pPr>
        <w:pStyle w:val="22"/>
        <w:spacing w:before="187"/>
        <w:ind w:left="362"/>
        <w:rPr>
          <w:rStyle w:val="86"/>
          <w:rFonts w:hint="eastAsia" w:ascii="仿宋" w:hAnsi="仿宋" w:eastAsia="仿宋"/>
          <w:highlight w:val="none"/>
        </w:rPr>
      </w:pPr>
      <w:r>
        <w:rPr>
          <w:rStyle w:val="86"/>
          <w:rFonts w:hint="eastAsia" w:ascii="仿宋" w:hAnsi="仿宋" w:eastAsia="仿宋"/>
          <w:spacing w:val="-2"/>
          <w:highlight w:val="none"/>
        </w:rPr>
        <w:t>如因发包</w:t>
      </w:r>
      <w:r>
        <w:rPr>
          <w:rStyle w:val="86"/>
          <w:rFonts w:hint="eastAsia" w:ascii="仿宋" w:hAnsi="仿宋" w:eastAsia="仿宋"/>
          <w:spacing w:val="-1"/>
          <w:highlight w:val="none"/>
        </w:rPr>
        <w:t>人及承包人违约造成安全事故，将依法追究责任。</w:t>
      </w:r>
    </w:p>
    <w:p w14:paraId="46A78A94">
      <w:pPr>
        <w:pStyle w:val="22"/>
        <w:spacing w:before="189"/>
        <w:ind w:left="385"/>
        <w:rPr>
          <w:rStyle w:val="86"/>
          <w:rFonts w:hint="eastAsia" w:ascii="仿宋" w:hAnsi="仿宋" w:eastAsia="仿宋"/>
          <w:highlight w:val="none"/>
        </w:rPr>
      </w:pPr>
      <w:r>
        <w:rPr>
          <w:rStyle w:val="86"/>
          <w:rFonts w:hint="eastAsia" w:ascii="仿宋" w:hAnsi="仿宋" w:eastAsia="仿宋"/>
          <w:spacing w:val="-7"/>
          <w:highlight w:val="none"/>
        </w:rPr>
        <w:t>四、其他</w:t>
      </w:r>
    </w:p>
    <w:p w14:paraId="1867A92C">
      <w:pPr>
        <w:pStyle w:val="22"/>
        <w:spacing w:before="202"/>
        <w:ind w:left="361"/>
        <w:rPr>
          <w:rStyle w:val="86"/>
          <w:rFonts w:hint="eastAsia" w:ascii="仿宋" w:hAnsi="仿宋" w:eastAsia="仿宋"/>
          <w:highlight w:val="none"/>
        </w:rPr>
      </w:pPr>
      <w:r>
        <w:rPr>
          <w:rStyle w:val="86"/>
          <w:rFonts w:hint="eastAsia" w:ascii="仿宋" w:hAnsi="仿宋" w:eastAsia="仿宋"/>
          <w:spacing w:val="-1"/>
          <w:highlight w:val="none"/>
        </w:rPr>
        <w:t>本工程安全生产合同，作为施工合同的附件，全部工程竣工验</w:t>
      </w:r>
      <w:r>
        <w:rPr>
          <w:rStyle w:val="86"/>
          <w:rFonts w:hint="eastAsia" w:ascii="仿宋" w:hAnsi="仿宋" w:eastAsia="仿宋"/>
          <w:highlight w:val="none"/>
        </w:rPr>
        <w:t>收后失效。</w:t>
      </w:r>
    </w:p>
    <w:p w14:paraId="09570D2C">
      <w:pPr>
        <w:pStyle w:val="22"/>
        <w:spacing w:line="273" w:lineRule="auto"/>
        <w:rPr>
          <w:rStyle w:val="86"/>
          <w:rFonts w:hint="eastAsia" w:ascii="Arial" w:hAnsi="Calibri"/>
          <w:highlight w:val="none"/>
        </w:rPr>
      </w:pPr>
      <w:r>
        <w:rPr>
          <w:rStyle w:val="86"/>
          <w:rFonts w:ascii="Arial"/>
          <w:highlight w:val="none"/>
        </w:rPr>
        <w:t xml:space="preserve"> </w:t>
      </w:r>
    </w:p>
    <w:p w14:paraId="70CE87DE">
      <w:pPr>
        <w:pStyle w:val="22"/>
        <w:spacing w:line="276" w:lineRule="auto"/>
        <w:rPr>
          <w:rStyle w:val="86"/>
          <w:rFonts w:ascii="Arial"/>
          <w:highlight w:val="none"/>
        </w:rPr>
      </w:pPr>
      <w:r>
        <w:rPr>
          <w:rStyle w:val="86"/>
          <w:rFonts w:ascii="Arial"/>
          <w:highlight w:val="none"/>
        </w:rPr>
        <w:t xml:space="preserve"> </w:t>
      </w:r>
    </w:p>
    <w:p w14:paraId="741FBF77">
      <w:pPr>
        <w:pStyle w:val="22"/>
        <w:spacing w:before="69"/>
        <w:ind w:left="366"/>
        <w:rPr>
          <w:rStyle w:val="86"/>
          <w:rFonts w:ascii="仿宋" w:hAnsi="仿宋" w:eastAsia="仿宋"/>
          <w:highlight w:val="none"/>
        </w:rPr>
      </w:pPr>
      <w:r>
        <w:rPr>
          <w:rStyle w:val="86"/>
          <w:rFonts w:hint="eastAsia" w:ascii="仿宋" w:hAnsi="仿宋" w:eastAsia="仿宋"/>
          <w:spacing w:val="-12"/>
          <w:highlight w:val="none"/>
        </w:rPr>
        <w:t>发</w:t>
      </w:r>
      <w:r>
        <w:rPr>
          <w:rStyle w:val="86"/>
          <w:rFonts w:hint="eastAsia" w:ascii="仿宋" w:hAnsi="仿宋" w:eastAsia="仿宋"/>
          <w:spacing w:val="-11"/>
          <w:highlight w:val="none"/>
        </w:rPr>
        <w:t>包人： (盖单位章)</w:t>
      </w:r>
    </w:p>
    <w:p w14:paraId="43FC9245">
      <w:pPr>
        <w:pStyle w:val="22"/>
        <w:spacing w:before="204"/>
        <w:ind w:left="367"/>
        <w:rPr>
          <w:rStyle w:val="86"/>
          <w:rFonts w:hint="eastAsia" w:ascii="仿宋" w:hAnsi="仿宋" w:eastAsia="仿宋"/>
          <w:highlight w:val="none"/>
        </w:rPr>
      </w:pPr>
      <w:r>
        <w:rPr>
          <w:rStyle w:val="86"/>
          <w:rFonts w:hint="eastAsia" w:ascii="仿宋" w:hAnsi="仿宋" w:eastAsia="仿宋"/>
          <w:spacing w:val="-8"/>
          <w:highlight w:val="none"/>
        </w:rPr>
        <w:t>法定代表</w:t>
      </w:r>
      <w:r>
        <w:rPr>
          <w:rStyle w:val="86"/>
          <w:rFonts w:hint="eastAsia" w:ascii="仿宋" w:hAnsi="仿宋" w:eastAsia="仿宋"/>
          <w:spacing w:val="-4"/>
          <w:highlight w:val="none"/>
        </w:rPr>
        <w:t>人或其授权的代理人</w:t>
      </w:r>
      <w:r>
        <w:rPr>
          <w:rStyle w:val="86"/>
          <w:rFonts w:hint="eastAsia" w:ascii="仿宋" w:hAnsi="仿宋" w:eastAsia="仿宋"/>
          <w:spacing w:val="-4"/>
          <w:highlight w:val="none"/>
          <w:u w:val="single"/>
        </w:rPr>
        <w:t xml:space="preserve">：           </w:t>
      </w:r>
      <w:r>
        <w:rPr>
          <w:rStyle w:val="86"/>
          <w:rFonts w:hint="eastAsia" w:ascii="仿宋" w:hAnsi="仿宋" w:eastAsia="仿宋"/>
          <w:spacing w:val="-4"/>
          <w:highlight w:val="none"/>
        </w:rPr>
        <w:t>；</w:t>
      </w:r>
    </w:p>
    <w:p w14:paraId="7D654153">
      <w:pPr>
        <w:pStyle w:val="22"/>
        <w:spacing w:line="273" w:lineRule="auto"/>
        <w:rPr>
          <w:rStyle w:val="86"/>
          <w:rFonts w:hint="eastAsia" w:ascii="Arial" w:hAnsi="Calibri"/>
          <w:highlight w:val="none"/>
        </w:rPr>
      </w:pPr>
      <w:r>
        <w:rPr>
          <w:rStyle w:val="86"/>
          <w:rFonts w:ascii="Arial"/>
          <w:highlight w:val="none"/>
        </w:rPr>
        <w:t xml:space="preserve"> </w:t>
      </w:r>
    </w:p>
    <w:p w14:paraId="53041F4D">
      <w:pPr>
        <w:pStyle w:val="22"/>
        <w:spacing w:line="273" w:lineRule="auto"/>
        <w:rPr>
          <w:rStyle w:val="86"/>
          <w:rFonts w:ascii="Arial"/>
          <w:highlight w:val="none"/>
        </w:rPr>
      </w:pPr>
      <w:r>
        <w:rPr>
          <w:rStyle w:val="86"/>
          <w:rFonts w:ascii="Arial"/>
          <w:highlight w:val="none"/>
        </w:rPr>
        <w:t xml:space="preserve"> </w:t>
      </w:r>
    </w:p>
    <w:p w14:paraId="7638D07A">
      <w:pPr>
        <w:pStyle w:val="22"/>
        <w:spacing w:before="69" w:line="451" w:lineRule="exact"/>
        <w:ind w:left="360"/>
        <w:rPr>
          <w:rStyle w:val="86"/>
          <w:rFonts w:ascii="仿宋" w:hAnsi="仿宋" w:eastAsia="仿宋"/>
          <w:highlight w:val="none"/>
        </w:rPr>
      </w:pPr>
      <w:r>
        <w:rPr>
          <w:rStyle w:val="86"/>
          <w:rFonts w:hint="eastAsia" w:ascii="仿宋" w:hAnsi="仿宋" w:eastAsia="仿宋"/>
          <w:spacing w:val="8"/>
          <w:position w:val="18"/>
          <w:highlight w:val="none"/>
        </w:rPr>
        <w:t>承包人</w:t>
      </w:r>
      <w:r>
        <w:rPr>
          <w:rStyle w:val="86"/>
          <w:rFonts w:hint="eastAsia" w:ascii="仿宋" w:hAnsi="仿宋" w:eastAsia="仿宋"/>
          <w:spacing w:val="4"/>
          <w:position w:val="18"/>
          <w:highlight w:val="none"/>
        </w:rPr>
        <w:t>(或联合体牵头人)：  (盖单位章)</w:t>
      </w:r>
    </w:p>
    <w:p w14:paraId="56AF9849">
      <w:pPr>
        <w:pStyle w:val="22"/>
        <w:ind w:left="367"/>
        <w:rPr>
          <w:rStyle w:val="86"/>
          <w:rFonts w:hint="eastAsia" w:ascii="仿宋" w:hAnsi="仿宋" w:eastAsia="仿宋"/>
          <w:highlight w:val="none"/>
        </w:rPr>
      </w:pPr>
      <w:r>
        <w:rPr>
          <w:rStyle w:val="86"/>
          <w:rFonts w:hint="eastAsia" w:ascii="仿宋" w:hAnsi="仿宋" w:eastAsia="仿宋"/>
          <w:spacing w:val="-10"/>
          <w:highlight w:val="none"/>
        </w:rPr>
        <w:t>法</w:t>
      </w:r>
      <w:r>
        <w:rPr>
          <w:rStyle w:val="86"/>
          <w:rFonts w:hint="eastAsia" w:ascii="仿宋" w:hAnsi="仿宋" w:eastAsia="仿宋"/>
          <w:spacing w:val="-7"/>
          <w:highlight w:val="none"/>
        </w:rPr>
        <w:t>定代表人或其授权的代理人：  ；</w:t>
      </w:r>
    </w:p>
    <w:p w14:paraId="499CFE76">
      <w:pPr>
        <w:pStyle w:val="22"/>
        <w:spacing w:line="273" w:lineRule="auto"/>
        <w:rPr>
          <w:rStyle w:val="86"/>
          <w:rFonts w:hint="eastAsia" w:ascii="Arial" w:hAnsi="Calibri"/>
          <w:highlight w:val="none"/>
        </w:rPr>
      </w:pPr>
      <w:r>
        <w:rPr>
          <w:rStyle w:val="86"/>
          <w:rFonts w:ascii="Arial"/>
          <w:highlight w:val="none"/>
        </w:rPr>
        <w:t xml:space="preserve"> </w:t>
      </w:r>
    </w:p>
    <w:p w14:paraId="6E5D998D">
      <w:pPr>
        <w:pStyle w:val="22"/>
        <w:spacing w:line="273" w:lineRule="auto"/>
        <w:rPr>
          <w:rStyle w:val="86"/>
          <w:rFonts w:ascii="Arial"/>
          <w:highlight w:val="none"/>
        </w:rPr>
      </w:pPr>
      <w:r>
        <w:rPr>
          <w:rStyle w:val="86"/>
          <w:rFonts w:ascii="Arial"/>
          <w:highlight w:val="none"/>
        </w:rPr>
        <w:t xml:space="preserve"> </w:t>
      </w:r>
    </w:p>
    <w:p w14:paraId="48AFC54B">
      <w:pPr>
        <w:pStyle w:val="22"/>
        <w:spacing w:before="68" w:line="450" w:lineRule="exact"/>
        <w:ind w:left="360"/>
        <w:rPr>
          <w:rStyle w:val="86"/>
          <w:rFonts w:ascii="仿宋" w:hAnsi="仿宋" w:eastAsia="仿宋"/>
          <w:highlight w:val="none"/>
        </w:rPr>
      </w:pPr>
      <w:r>
        <w:rPr>
          <w:rStyle w:val="86"/>
          <w:rFonts w:hint="eastAsia" w:ascii="仿宋" w:hAnsi="仿宋" w:eastAsia="仿宋"/>
          <w:spacing w:val="6"/>
          <w:position w:val="18"/>
          <w:highlight w:val="none"/>
        </w:rPr>
        <w:t>承</w:t>
      </w:r>
      <w:r>
        <w:rPr>
          <w:rStyle w:val="86"/>
          <w:rFonts w:hint="eastAsia" w:ascii="仿宋" w:hAnsi="仿宋" w:eastAsia="仿宋"/>
          <w:spacing w:val="5"/>
          <w:position w:val="18"/>
          <w:highlight w:val="none"/>
        </w:rPr>
        <w:t>包人(联合体成员)：  (盖单位章)</w:t>
      </w:r>
    </w:p>
    <w:p w14:paraId="0499E4BE">
      <w:pPr>
        <w:pStyle w:val="22"/>
        <w:ind w:left="367"/>
        <w:rPr>
          <w:rStyle w:val="86"/>
          <w:rFonts w:hint="eastAsia" w:ascii="仿宋" w:hAnsi="仿宋" w:eastAsia="仿宋"/>
          <w:highlight w:val="none"/>
        </w:rPr>
      </w:pPr>
      <w:r>
        <w:rPr>
          <w:rStyle w:val="86"/>
          <w:rFonts w:hint="eastAsia" w:ascii="仿宋" w:hAnsi="仿宋" w:eastAsia="仿宋"/>
          <w:spacing w:val="-10"/>
          <w:highlight w:val="none"/>
        </w:rPr>
        <w:t>法</w:t>
      </w:r>
      <w:r>
        <w:rPr>
          <w:rStyle w:val="86"/>
          <w:rFonts w:hint="eastAsia" w:ascii="仿宋" w:hAnsi="仿宋" w:eastAsia="仿宋"/>
          <w:spacing w:val="-7"/>
          <w:highlight w:val="none"/>
        </w:rPr>
        <w:t>定代表人或其授权的代理人：  ；</w:t>
      </w:r>
    </w:p>
    <w:p w14:paraId="5AEE024F">
      <w:pPr>
        <w:pStyle w:val="22"/>
        <w:spacing w:line="273" w:lineRule="auto"/>
        <w:rPr>
          <w:rStyle w:val="86"/>
          <w:rFonts w:hint="eastAsia" w:ascii="Arial" w:hAnsi="Calibri"/>
          <w:highlight w:val="none"/>
        </w:rPr>
      </w:pPr>
      <w:r>
        <w:rPr>
          <w:rStyle w:val="86"/>
          <w:rFonts w:ascii="Arial"/>
          <w:highlight w:val="none"/>
        </w:rPr>
        <w:t xml:space="preserve"> </w:t>
      </w:r>
    </w:p>
    <w:p w14:paraId="2C10607B">
      <w:pPr>
        <w:pStyle w:val="22"/>
        <w:spacing w:line="273" w:lineRule="auto"/>
        <w:rPr>
          <w:rStyle w:val="86"/>
          <w:rFonts w:ascii="Arial"/>
          <w:highlight w:val="none"/>
        </w:rPr>
      </w:pPr>
      <w:r>
        <w:rPr>
          <w:rStyle w:val="86"/>
          <w:rFonts w:ascii="Arial"/>
          <w:highlight w:val="none"/>
        </w:rPr>
        <w:t xml:space="preserve"> </w:t>
      </w:r>
    </w:p>
    <w:p w14:paraId="592AF058">
      <w:pPr>
        <w:pStyle w:val="22"/>
        <w:spacing w:before="69"/>
        <w:ind w:left="4880"/>
        <w:rPr>
          <w:rStyle w:val="86"/>
          <w:rFonts w:ascii="仿宋" w:hAnsi="仿宋" w:eastAsia="仿宋"/>
          <w:highlight w:val="none"/>
        </w:rPr>
      </w:pPr>
      <w:r>
        <w:rPr>
          <w:rStyle w:val="86"/>
          <w:rFonts w:hint="eastAsia" w:ascii="仿宋" w:hAnsi="仿宋" w:eastAsia="仿宋"/>
          <w:spacing w:val="-12"/>
          <w:highlight w:val="none"/>
        </w:rPr>
        <w:t>日</w:t>
      </w:r>
      <w:r>
        <w:rPr>
          <w:rStyle w:val="86"/>
          <w:rFonts w:hint="eastAsia" w:ascii="仿宋" w:hAnsi="仿宋" w:eastAsia="仿宋"/>
          <w:spacing w:val="-7"/>
          <w:highlight w:val="none"/>
        </w:rPr>
        <w:t>期：</w:t>
      </w:r>
      <w:r>
        <w:rPr>
          <w:rStyle w:val="86"/>
          <w:rFonts w:hint="eastAsia" w:ascii="仿宋" w:hAnsi="仿宋" w:eastAsia="仿宋"/>
          <w:spacing w:val="-7"/>
          <w:highlight w:val="none"/>
          <w:lang w:val="en-US" w:eastAsia="zh-CN"/>
        </w:rPr>
        <w:t xml:space="preserve">   </w:t>
      </w:r>
      <w:r>
        <w:rPr>
          <w:rStyle w:val="86"/>
          <w:rFonts w:hint="eastAsia" w:ascii="仿宋" w:hAnsi="仿宋" w:eastAsia="仿宋"/>
          <w:spacing w:val="-7"/>
          <w:highlight w:val="none"/>
        </w:rPr>
        <w:t>年</w:t>
      </w:r>
      <w:r>
        <w:rPr>
          <w:rStyle w:val="86"/>
          <w:rFonts w:hint="eastAsia" w:ascii="仿宋" w:hAnsi="仿宋" w:eastAsia="仿宋"/>
          <w:spacing w:val="-7"/>
          <w:highlight w:val="none"/>
          <w:lang w:val="en-US" w:eastAsia="zh-CN"/>
        </w:rPr>
        <w:t xml:space="preserve">  </w:t>
      </w:r>
      <w:r>
        <w:rPr>
          <w:rStyle w:val="86"/>
          <w:rFonts w:hint="eastAsia" w:ascii="仿宋" w:hAnsi="仿宋" w:eastAsia="仿宋"/>
          <w:spacing w:val="-7"/>
          <w:highlight w:val="none"/>
        </w:rPr>
        <w:t>月</w:t>
      </w:r>
      <w:r>
        <w:rPr>
          <w:rStyle w:val="86"/>
          <w:rFonts w:hint="eastAsia" w:ascii="仿宋" w:hAnsi="仿宋" w:eastAsia="仿宋"/>
          <w:spacing w:val="-7"/>
          <w:highlight w:val="none"/>
          <w:lang w:val="en-US" w:eastAsia="zh-CN"/>
        </w:rPr>
        <w:t xml:space="preserve">  </w:t>
      </w:r>
      <w:r>
        <w:rPr>
          <w:rStyle w:val="86"/>
          <w:rFonts w:hint="eastAsia" w:ascii="仿宋" w:hAnsi="仿宋" w:eastAsia="仿宋"/>
          <w:spacing w:val="-7"/>
          <w:highlight w:val="none"/>
        </w:rPr>
        <w:t>日</w:t>
      </w:r>
    </w:p>
    <w:p w14:paraId="6D70049F">
      <w:pPr>
        <w:pStyle w:val="22"/>
        <w:spacing w:line="280" w:lineRule="auto"/>
        <w:rPr>
          <w:rStyle w:val="86"/>
          <w:rFonts w:hint="eastAsia" w:ascii="Arial" w:hAnsi="Calibri"/>
          <w:highlight w:val="none"/>
        </w:rPr>
      </w:pPr>
      <w:r>
        <w:rPr>
          <w:rStyle w:val="86"/>
          <w:rFonts w:ascii="Arial"/>
          <w:highlight w:val="none"/>
        </w:rPr>
        <w:t xml:space="preserve"> </w:t>
      </w:r>
    </w:p>
    <w:p w14:paraId="55827D2E">
      <w:pPr>
        <w:pStyle w:val="22"/>
        <w:spacing w:line="280" w:lineRule="auto"/>
        <w:rPr>
          <w:rStyle w:val="86"/>
          <w:rFonts w:ascii="Arial"/>
          <w:highlight w:val="none"/>
        </w:rPr>
      </w:pPr>
      <w:r>
        <w:rPr>
          <w:rStyle w:val="86"/>
          <w:rFonts w:ascii="Arial"/>
          <w:highlight w:val="none"/>
        </w:rPr>
        <w:t xml:space="preserve"> </w:t>
      </w:r>
    </w:p>
    <w:p w14:paraId="61ABD1E4">
      <w:pPr>
        <w:pStyle w:val="32"/>
        <w:ind w:firstLine="560"/>
        <w:rPr>
          <w:rStyle w:val="86"/>
          <w:rFonts w:ascii="Arial" w:eastAsia="宋体"/>
          <w:highlight w:val="none"/>
        </w:rPr>
      </w:pPr>
      <w:r>
        <w:rPr>
          <w:rStyle w:val="86"/>
          <w:rFonts w:ascii="Arial" w:eastAsia="宋体"/>
          <w:highlight w:val="none"/>
        </w:rPr>
        <w:t xml:space="preserve"> </w:t>
      </w:r>
    </w:p>
    <w:p w14:paraId="5FEA69A0">
      <w:pPr>
        <w:pStyle w:val="32"/>
        <w:ind w:firstLine="560"/>
        <w:rPr>
          <w:rStyle w:val="86"/>
          <w:rFonts w:ascii="Arial" w:eastAsia="宋体"/>
          <w:highlight w:val="none"/>
        </w:rPr>
      </w:pPr>
      <w:r>
        <w:rPr>
          <w:rStyle w:val="86"/>
          <w:rFonts w:ascii="Arial" w:eastAsia="宋体"/>
          <w:highlight w:val="none"/>
        </w:rPr>
        <w:t xml:space="preserve"> </w:t>
      </w:r>
    </w:p>
    <w:p w14:paraId="411FD7F3">
      <w:pPr>
        <w:pStyle w:val="22"/>
        <w:spacing w:before="79"/>
        <w:rPr>
          <w:rStyle w:val="86"/>
          <w:rFonts w:ascii="黑体" w:hAnsi="黑体" w:eastAsia="黑体"/>
          <w:spacing w:val="-20"/>
          <w:sz w:val="24"/>
          <w:szCs w:val="24"/>
          <w:highlight w:val="none"/>
        </w:rPr>
      </w:pPr>
      <w:r>
        <w:rPr>
          <w:rStyle w:val="86"/>
          <w:rFonts w:hint="eastAsia" w:ascii="黑体" w:hAnsi="黑体" w:eastAsia="黑体"/>
          <w:spacing w:val="-20"/>
          <w:sz w:val="24"/>
          <w:szCs w:val="24"/>
          <w:highlight w:val="none"/>
        </w:rPr>
        <w:t xml:space="preserve"> </w:t>
      </w:r>
    </w:p>
    <w:p w14:paraId="11D3631E">
      <w:pPr>
        <w:pStyle w:val="22"/>
        <w:spacing w:before="79"/>
        <w:rPr>
          <w:rStyle w:val="86"/>
          <w:rFonts w:hint="eastAsia" w:ascii="黑体" w:hAnsi="黑体" w:eastAsia="黑体"/>
          <w:spacing w:val="-20"/>
          <w:sz w:val="24"/>
          <w:szCs w:val="24"/>
          <w:highlight w:val="none"/>
        </w:rPr>
      </w:pPr>
      <w:r>
        <w:rPr>
          <w:rStyle w:val="86"/>
          <w:rFonts w:hint="eastAsia" w:ascii="黑体" w:hAnsi="黑体" w:eastAsia="黑体"/>
          <w:spacing w:val="-20"/>
          <w:sz w:val="24"/>
          <w:szCs w:val="24"/>
          <w:highlight w:val="none"/>
        </w:rPr>
        <w:t xml:space="preserve"> </w:t>
      </w:r>
    </w:p>
    <w:p w14:paraId="39368E65">
      <w:pPr>
        <w:pStyle w:val="22"/>
        <w:spacing w:before="79"/>
        <w:rPr>
          <w:rStyle w:val="86"/>
          <w:rFonts w:hint="eastAsia" w:ascii="黑体" w:hAnsi="黑体" w:eastAsia="黑体"/>
          <w:sz w:val="24"/>
          <w:szCs w:val="24"/>
          <w:highlight w:val="none"/>
        </w:rPr>
      </w:pPr>
      <w:r>
        <w:rPr>
          <w:rStyle w:val="86"/>
          <w:rFonts w:hint="eastAsia" w:ascii="黑体" w:hAnsi="黑体" w:eastAsia="黑体"/>
          <w:spacing w:val="-20"/>
          <w:sz w:val="24"/>
          <w:szCs w:val="24"/>
          <w:highlight w:val="none"/>
        </w:rPr>
        <w:br w:type="page"/>
      </w:r>
      <w:r>
        <w:rPr>
          <w:rStyle w:val="86"/>
          <w:rFonts w:hint="eastAsia" w:ascii="黑体" w:hAnsi="黑体" w:eastAsia="黑体"/>
          <w:spacing w:val="-20"/>
          <w:sz w:val="24"/>
          <w:szCs w:val="24"/>
          <w:highlight w:val="none"/>
        </w:rPr>
        <w:t>附</w:t>
      </w:r>
      <w:r>
        <w:rPr>
          <w:rStyle w:val="86"/>
          <w:rFonts w:hint="eastAsia" w:ascii="黑体" w:hAnsi="黑体" w:eastAsia="黑体"/>
          <w:spacing w:val="-18"/>
          <w:sz w:val="24"/>
          <w:szCs w:val="24"/>
          <w:highlight w:val="none"/>
        </w:rPr>
        <w:t>件8</w:t>
      </w:r>
    </w:p>
    <w:p w14:paraId="28810F49">
      <w:pPr>
        <w:pStyle w:val="22"/>
        <w:spacing w:before="27"/>
        <w:ind w:left="3510"/>
        <w:rPr>
          <w:rStyle w:val="86"/>
          <w:rFonts w:hint="eastAsia" w:ascii="黑体" w:hAnsi="黑体" w:eastAsia="黑体"/>
          <w:sz w:val="24"/>
          <w:szCs w:val="24"/>
          <w:highlight w:val="none"/>
        </w:rPr>
      </w:pPr>
      <w:r>
        <w:rPr>
          <w:rStyle w:val="86"/>
          <w:rFonts w:hint="eastAsia" w:ascii="黑体" w:hAnsi="黑体" w:eastAsia="黑体"/>
          <w:spacing w:val="15"/>
          <w:sz w:val="24"/>
          <w:szCs w:val="24"/>
          <w:highlight w:val="none"/>
        </w:rPr>
        <w:t>建</w:t>
      </w:r>
      <w:r>
        <w:rPr>
          <w:rStyle w:val="86"/>
          <w:rFonts w:hint="eastAsia" w:ascii="黑体" w:hAnsi="黑体" w:eastAsia="黑体"/>
          <w:spacing w:val="12"/>
          <w:sz w:val="24"/>
          <w:szCs w:val="24"/>
          <w:highlight w:val="none"/>
        </w:rPr>
        <w:t>设工程廉政协议</w:t>
      </w:r>
    </w:p>
    <w:p w14:paraId="1618C90E">
      <w:pPr>
        <w:pStyle w:val="22"/>
        <w:rPr>
          <w:rStyle w:val="86"/>
          <w:rFonts w:hint="eastAsia" w:ascii="Calibri" w:hAnsi="Calibri"/>
          <w:highlight w:val="none"/>
        </w:rPr>
      </w:pPr>
      <w:r>
        <w:rPr>
          <w:rStyle w:val="86"/>
          <w:highlight w:val="none"/>
        </w:rPr>
        <w:t xml:space="preserve"> </w:t>
      </w:r>
    </w:p>
    <w:p w14:paraId="73C25291">
      <w:pPr>
        <w:pStyle w:val="12"/>
        <w:spacing w:line="500" w:lineRule="exact"/>
        <w:jc w:val="left"/>
        <w:rPr>
          <w:rStyle w:val="86"/>
          <w:rFonts w:ascii="仿宋" w:hAnsi="仿宋" w:eastAsia="仿宋"/>
          <w:sz w:val="24"/>
          <w:szCs w:val="24"/>
          <w:highlight w:val="none"/>
        </w:rPr>
      </w:pPr>
      <w:r>
        <w:rPr>
          <w:rStyle w:val="86"/>
          <w:rFonts w:hint="eastAsia" w:ascii="仿宋" w:hAnsi="仿宋" w:eastAsia="仿宋"/>
          <w:sz w:val="24"/>
          <w:szCs w:val="24"/>
          <w:highlight w:val="none"/>
        </w:rPr>
        <w:t>甲方：</w:t>
      </w:r>
    </w:p>
    <w:p w14:paraId="72C05813">
      <w:pPr>
        <w:pStyle w:val="22"/>
        <w:spacing w:line="500" w:lineRule="exact"/>
        <w:ind w:firstLine="480" w:firstLineChars="200"/>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乙方：</w:t>
      </w:r>
    </w:p>
    <w:p w14:paraId="37845558">
      <w:pPr>
        <w:pStyle w:val="22"/>
        <w:spacing w:line="500" w:lineRule="exact"/>
        <w:ind w:firstLine="480" w:firstLineChars="200"/>
        <w:rPr>
          <w:rStyle w:val="86"/>
          <w:rFonts w:hint="eastAsia" w:ascii="仿宋" w:hAnsi="仿宋" w:eastAsia="仿宋"/>
          <w:sz w:val="24"/>
          <w:szCs w:val="24"/>
          <w:highlight w:val="none"/>
        </w:rPr>
      </w:pPr>
      <w:r>
        <w:rPr>
          <w:rStyle w:val="86"/>
          <w:rFonts w:hint="eastAsia" w:ascii="仿宋" w:hAnsi="仿宋" w:eastAsia="仿宋"/>
          <w:sz w:val="24"/>
          <w:szCs w:val="24"/>
          <w:highlight w:val="none"/>
        </w:rPr>
        <w:t>为了规范工程建设行为，加强资金管理，提高资金使用效益，减少浪费，充分保证双方共同利益，杜绝工程建设过程之中的不正之风，促进企业的改革和发展，根据上级有关文件精神，切实加强我司商务合作方面的廉洁建设，在双方商务合作过程中均应遵守廉洁自律方面的各项要求及行为准则，保证建设过程的公开、公平、公正、诚信、廉洁，经甲、乙双方协商一致特订立本廉洁协议，作为共同遵守的廉洁合作行为准则。</w:t>
      </w:r>
    </w:p>
    <w:p w14:paraId="54FE12EB">
      <w:pPr>
        <w:pStyle w:val="12"/>
        <w:numPr>
          <w:ilvl w:val="0"/>
          <w:numId w:val="12"/>
        </w:numPr>
        <w:spacing w:line="500" w:lineRule="exact"/>
        <w:ind w:left="239" w:leftChars="114" w:firstLine="240" w:firstLineChars="1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甲乙双方的权利和义务</w:t>
      </w:r>
    </w:p>
    <w:p w14:paraId="71ED58CC">
      <w:pPr>
        <w:pStyle w:val="12"/>
        <w:numPr>
          <w:ilvl w:val="0"/>
          <w:numId w:val="13"/>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sz w:val="24"/>
          <w:szCs w:val="24"/>
          <w:highlight w:val="none"/>
        </w:rPr>
        <w:t>严格遵守党和国家有关廉洁建设的法律法规及有关规章和制度。</w:t>
      </w:r>
    </w:p>
    <w:p w14:paraId="65E09454">
      <w:pPr>
        <w:pStyle w:val="12"/>
        <w:numPr>
          <w:ilvl w:val="0"/>
          <w:numId w:val="13"/>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严格执行本项目合同文件，自觉按合同办事。</w:t>
      </w:r>
    </w:p>
    <w:p w14:paraId="1D57B2C3">
      <w:pPr>
        <w:pStyle w:val="12"/>
        <w:numPr>
          <w:ilvl w:val="0"/>
          <w:numId w:val="13"/>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建立健全廉洁制度，开展廉洁教育，监督并认真查处违法违纪行为。</w:t>
      </w:r>
    </w:p>
    <w:p w14:paraId="2362BD7D">
      <w:pPr>
        <w:pStyle w:val="12"/>
        <w:numPr>
          <w:ilvl w:val="0"/>
          <w:numId w:val="13"/>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发现对方在业务活动中有违反廉洁规定的行为，有及时提醒对方纠正的权利和义务。</w:t>
      </w:r>
    </w:p>
    <w:p w14:paraId="79BB84D5">
      <w:pPr>
        <w:pStyle w:val="12"/>
        <w:numPr>
          <w:ilvl w:val="0"/>
          <w:numId w:val="13"/>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发现对方严重违反本合同责任条款的行为，有向其纪检监察部门或上级有关部门举报、建议给予处理并要求告知处理结果的权利。</w:t>
      </w:r>
    </w:p>
    <w:p w14:paraId="278E4935">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二、甲方及其工作人员在采购工作中必须严格遵守以下规定</w:t>
      </w:r>
    </w:p>
    <w:p w14:paraId="7F0ADDD6">
      <w:pPr>
        <w:pStyle w:val="12"/>
        <w:numPr>
          <w:ilvl w:val="0"/>
          <w:numId w:val="14"/>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不得以任何形式向乙方及其工作人员索要和收受回扣。</w:t>
      </w:r>
    </w:p>
    <w:p w14:paraId="53B0CCFE">
      <w:pPr>
        <w:pStyle w:val="12"/>
        <w:numPr>
          <w:ilvl w:val="0"/>
          <w:numId w:val="14"/>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不得接受乙方及其工作人员以任何名义赠送的“红包”、礼品等。</w:t>
      </w:r>
    </w:p>
    <w:p w14:paraId="3799AC3D">
      <w:pPr>
        <w:pStyle w:val="12"/>
        <w:numPr>
          <w:ilvl w:val="0"/>
          <w:numId w:val="14"/>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甲方工作人员应当保持与乙方的正常工作交往，不得接受乙方的礼金、有价证券和贵重物品，难以拒收的，必须按有关规定登记上交；不得向乙方索要（或接收）通讯工具、交通工具、家电及高档办公用品等物品，不得在乙方报销应由单位或个人支付的费用。</w:t>
      </w:r>
    </w:p>
    <w:p w14:paraId="57AAB083">
      <w:pPr>
        <w:pStyle w:val="12"/>
        <w:numPr>
          <w:ilvl w:val="0"/>
          <w:numId w:val="14"/>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不得参加乙方及其工作人员组织的可能对公正执行公务有影响的宴请、娱乐和旅游等一切活动。</w:t>
      </w:r>
    </w:p>
    <w:p w14:paraId="53F36942">
      <w:pPr>
        <w:pStyle w:val="12"/>
        <w:numPr>
          <w:ilvl w:val="0"/>
          <w:numId w:val="14"/>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不得要求或者接受乙方及其工作人员为其住房装修、婚丧嫁娶、家属子女的工作安排以及出国等提供方便。</w:t>
      </w:r>
    </w:p>
    <w:p w14:paraId="656042D3">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6、不得向乙方及其工作人员介绍家属、亲友从事与公司采购有关的材料设备供应等经济活动。</w:t>
      </w:r>
    </w:p>
    <w:p w14:paraId="77AE5A88">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7、不得要求乙方购买合同规定外的任何物品。</w:t>
      </w:r>
    </w:p>
    <w:p w14:paraId="30AE537A">
      <w:pPr>
        <w:pStyle w:val="12"/>
        <w:spacing w:line="500" w:lineRule="exact"/>
        <w:ind w:left="-105" w:leftChars="-50"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8、不得在家里接待乙方及其工作人员有关事项的询访。</w:t>
      </w:r>
    </w:p>
    <w:p w14:paraId="3255C7AE">
      <w:pPr>
        <w:pStyle w:val="12"/>
        <w:spacing w:line="500" w:lineRule="exact"/>
        <w:ind w:left="-105" w:leftChars="-50"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9.甲方人员参加乙方组织的各种会议和活动，须经主管领导同意；发现乙方单位有不廉洁的行为，应及时采取措施，终止其不廉洁行为的继续发生，并报告主管领导。</w:t>
      </w:r>
    </w:p>
    <w:p w14:paraId="4D30778A">
      <w:pPr>
        <w:pStyle w:val="12"/>
        <w:spacing w:line="500" w:lineRule="exact"/>
        <w:ind w:left="-105" w:leftChars="-50"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10.甲方工作人员（含家属、子女）不得以任何形式向乙方索要赞助或收受回扣等好处费。</w:t>
      </w:r>
    </w:p>
    <w:p w14:paraId="67A47E26">
      <w:pPr>
        <w:pStyle w:val="12"/>
        <w:spacing w:line="500" w:lineRule="exact"/>
        <w:ind w:left="-105" w:leftChars="-50"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11.甲方工作人员不得以考察、参观等名义参加乙方安排的国内外旅游活动。</w:t>
      </w:r>
    </w:p>
    <w:p w14:paraId="2509266E">
      <w:pPr>
        <w:pStyle w:val="12"/>
        <w:spacing w:line="500" w:lineRule="exact"/>
        <w:ind w:left="-105" w:leftChars="-50"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12.甲方工作人员（含家属、子女）不得以任何形式向乙方索要赞助或收受回扣等好处费。</w:t>
      </w:r>
    </w:p>
    <w:p w14:paraId="63DC9CE9">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三、乙方及其工作人员在合同履约过程中必须严格遵守以下规定</w:t>
      </w:r>
    </w:p>
    <w:p w14:paraId="50C25141">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1、不得以任何借口向甲方及其工作人员（含家属、子女）赠送“红包”、礼品、礼金等。</w:t>
      </w:r>
    </w:p>
    <w:p w14:paraId="3697C4AC">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2、不得为甲方及其工作人员（含家属、子女）报销和支付需由个人支付的任何费用。</w:t>
      </w:r>
    </w:p>
    <w:p w14:paraId="53098734">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3、不得邀请甲方及其工作人员（含家属、子女）参加由乙方支付的宴请、娱乐以及旅游等一切活动。</w:t>
      </w:r>
    </w:p>
    <w:p w14:paraId="44987595">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4、不得为甲方及其工作人员（含家属、子女）购置或长期无偿提供通讯工具、交通工具、家电和其他物品。</w:t>
      </w:r>
    </w:p>
    <w:p w14:paraId="4E67D0C8">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5、不得向甲方及其工作人员（含家属、子女）馈赠有价证券和贵重物品。</w:t>
      </w:r>
    </w:p>
    <w:p w14:paraId="62C58210">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6、不得到甲方及其工作人员家里询问有关事项。</w:t>
      </w:r>
    </w:p>
    <w:p w14:paraId="2C8E272E">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7、不得接受甲方及其工作人员介绍的家属或亲友从事与该项目有关的材料、设备供应或该项目分包等经济活动。</w:t>
      </w:r>
    </w:p>
    <w:p w14:paraId="7E9919BA">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8、不得以任何借口私下给予甲方工作人员回扣，无论以任何名义给予的回扣、折扣必须以明示的方式体现在合同或协议中。</w:t>
      </w:r>
    </w:p>
    <w:p w14:paraId="6778179A">
      <w:pPr>
        <w:pStyle w:val="12"/>
        <w:spacing w:line="500" w:lineRule="exact"/>
        <w:ind w:firstLine="600" w:firstLineChars="25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9、乙方不履行或不正确履行职责，在物资采购中贿赂甲方工作人员，提供的货物以次充好，或属假冒伪劣产品，一经查实，甲方有权终止物资采购合同，由此给甲方所造成的损失均由乙方承担，并负责由此发生的一切费用。</w:t>
      </w:r>
    </w:p>
    <w:p w14:paraId="7FE1B845">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10.乙方应保证乙方有关人员了解甲方单位有关廉洁合作管理的各项制度及本协议的规定，支持甲方执行有关规定和制度，并遵照执行。</w:t>
      </w:r>
    </w:p>
    <w:p w14:paraId="07095894">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11.乙方有责任对本单位项目工程相关人员进行廉洁教育（包括甲方单位制定的有关廉洁建设方面的规定），按时出席甲方召集的有关会议。</w:t>
      </w:r>
    </w:p>
    <w:p w14:paraId="036B7EDE">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12.乙方应当通过正常途径开展相关业务工作，不得为获取某些不正当利益而向甲方工作人员（含家属、子女）赠送礼金、有价证券和贵重物品等。</w:t>
      </w:r>
    </w:p>
    <w:p w14:paraId="498562C1">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13.乙方不得为谋取私利擅自与甲方工作人员就工程建设质量问题处理等进行私下商谈或者达成默契。</w:t>
      </w:r>
    </w:p>
    <w:p w14:paraId="1EEB6CC2">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14.乙方单位发现乙方人员向甲方人员有任何行贿行为，均应及时采取措施予以制止，并及时通报甲方单位领导。</w:t>
      </w:r>
    </w:p>
    <w:p w14:paraId="50C29E02">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15.乙方不得以洽谈业务、签订合同等为借口，邀请甲方工作人员外出旅游或进入营业性高档娱乐场所。</w:t>
      </w:r>
    </w:p>
    <w:p w14:paraId="3F6691F7">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16.乙方有责任接受甲方对乙方在工程建设施工期间廉洁合作管理执行情况的监督。乙方单位人员有义务就甲方人员任何形式的索贿或受贿行为及时向甲方单位领导举报。</w:t>
      </w:r>
    </w:p>
    <w:p w14:paraId="6E98F1B2">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 xml:space="preserve">  四、违规处理办法</w:t>
      </w:r>
    </w:p>
    <w:p w14:paraId="6B4FD496">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1、甲方及其工作人员有违反本协议的，一经查实，甲方纪检监察部门及上级有关部门将依法依纪严肃处理，追究有关人员的责任，触犯法律的移交司法机关处理。</w:t>
      </w:r>
    </w:p>
    <w:p w14:paraId="318EA479">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2、乙方及其工作人员有违反本协议的，一经查实，乙方监督部门须依法依纪严肃处理，追究有关人员的责任，触犯法律的移交司法机关处理。由此造成甲方的损失由乙方承担，甲方有权永久取消其供货资格。</w:t>
      </w:r>
    </w:p>
    <w:p w14:paraId="6E3C4AEE">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3、甲方发现有乙方违反本协议或者采用不正当的手段行贿甲方工作人员，甲方根据具体情节和造成的后果追究乙方工程合同造价10%的违约金，构成犯罪的，甲方将移交相关部门予以严肃处理。</w:t>
      </w:r>
    </w:p>
    <w:p w14:paraId="71AA1E5A">
      <w:pPr>
        <w:pStyle w:val="12"/>
        <w:numPr>
          <w:ilvl w:val="0"/>
          <w:numId w:val="15"/>
        </w:numPr>
        <w:spacing w:line="500" w:lineRule="exact"/>
        <w:ind w:left="420"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甲方工作人员如有索贿或变相索贿，经乙方检举查处核实后，甲方将依法依规严肃处理，且将视情况予以奖励。</w:t>
      </w:r>
    </w:p>
    <w:p w14:paraId="673C7DE4">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5.如乙方向甲方人员行贿，或甲方人员向乙方索贿，乙方满足其要求且并未向甲方举报的，一经查实，甲方除将案件移交公安机关外，此种情况还将被视为乙方的严重违约，乙方应当向甲方支付行贿金额的双倍违约金，如果给甲方造成经济损失，乙方应当就造成的损失承担全部赔偿责任。</w:t>
      </w:r>
    </w:p>
    <w:p w14:paraId="73BCD97F">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6.如因乙方单位及人员在工程项目建设期间贿赂甲方人员，被监察机关立案查处的，甲方有权取消或终止工程合同的履行，由此给甲方造成的损失由乙方负责赔偿。</w:t>
      </w:r>
    </w:p>
    <w:p w14:paraId="6BB53CD4">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7.乙方如发现甲方及其工作人员有违反上述协议者，应及时采取措施，终止其不廉洁行为的继续发生，并及时向甲方领导或甲方上级单位举报，甲方不得找任何借口对乙方进行报复或刁难、延误工作。情节严重的可向有关部门投诉或举报。甲方对举报属实和严格遵守廉洁协议的乙方，在同等条件下给予承接后续工程的优先邀请投标权。</w:t>
      </w:r>
    </w:p>
    <w:p w14:paraId="687E5349">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8.本协议适用于甲、乙双方在本工程施工全过程及合同履行期间的行为。</w:t>
      </w:r>
    </w:p>
    <w:p w14:paraId="152511F4">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 xml:space="preserve">  五、其它未尽事宜，由双方协商解决。</w:t>
      </w:r>
    </w:p>
    <w:p w14:paraId="472252DD">
      <w:pPr>
        <w:pStyle w:val="12"/>
        <w:spacing w:line="500" w:lineRule="exact"/>
        <w:ind w:firstLine="480" w:firstLineChars="200"/>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 xml:space="preserve">  六、本协议与建设工程设计合同一并签订，作为建设工程设计合同的附件，具有同等法律效力。</w:t>
      </w:r>
    </w:p>
    <w:p w14:paraId="71D67057">
      <w:pPr>
        <w:pStyle w:val="12"/>
        <w:spacing w:line="500" w:lineRule="exact"/>
        <w:jc w:val="left"/>
        <w:rPr>
          <w:rStyle w:val="86"/>
          <w:rFonts w:hint="eastAsia" w:ascii="仿宋" w:hAnsi="仿宋" w:eastAsia="仿宋"/>
          <w:bCs/>
          <w:sz w:val="24"/>
          <w:szCs w:val="24"/>
          <w:highlight w:val="none"/>
        </w:rPr>
      </w:pPr>
      <w:r>
        <w:rPr>
          <w:rStyle w:val="86"/>
          <w:rFonts w:hint="eastAsia" w:ascii="仿宋" w:hAnsi="仿宋" w:eastAsia="仿宋"/>
          <w:bCs/>
          <w:sz w:val="24"/>
          <w:szCs w:val="24"/>
          <w:highlight w:val="none"/>
        </w:rPr>
        <w:t>（以下无正文）</w:t>
      </w:r>
    </w:p>
    <w:p w14:paraId="12F6E1A6">
      <w:pPr>
        <w:pStyle w:val="22"/>
        <w:spacing w:line="600" w:lineRule="auto"/>
        <w:rPr>
          <w:rStyle w:val="86"/>
          <w:rFonts w:hint="eastAsia" w:ascii="仿宋" w:hAnsi="仿宋" w:eastAsia="仿宋"/>
          <w:bCs/>
          <w:spacing w:val="-11"/>
          <w:sz w:val="24"/>
          <w:szCs w:val="24"/>
          <w:highlight w:val="none"/>
        </w:rPr>
      </w:pPr>
      <w:r>
        <w:rPr>
          <w:rStyle w:val="86"/>
          <w:rFonts w:hint="eastAsia" w:ascii="仿宋" w:hAnsi="仿宋" w:eastAsia="仿宋"/>
          <w:bCs/>
          <w:spacing w:val="-11"/>
          <w:sz w:val="24"/>
          <w:szCs w:val="24"/>
          <w:highlight w:val="none"/>
        </w:rPr>
        <w:t>甲方（盖章）：                                乙方（盖章）：</w:t>
      </w:r>
    </w:p>
    <w:p w14:paraId="7FAA61DA">
      <w:pPr>
        <w:pStyle w:val="22"/>
        <w:spacing w:line="600" w:lineRule="auto"/>
        <w:rPr>
          <w:rStyle w:val="86"/>
          <w:rFonts w:hint="eastAsia" w:ascii="仿宋" w:hAnsi="仿宋" w:eastAsia="仿宋"/>
          <w:bCs/>
          <w:spacing w:val="-11"/>
          <w:sz w:val="24"/>
          <w:szCs w:val="24"/>
          <w:highlight w:val="none"/>
        </w:rPr>
      </w:pPr>
      <w:r>
        <w:rPr>
          <w:rStyle w:val="86"/>
          <w:rFonts w:hint="eastAsia" w:ascii="仿宋" w:hAnsi="仿宋" w:eastAsia="仿宋"/>
          <w:bCs/>
          <w:spacing w:val="-11"/>
          <w:sz w:val="24"/>
          <w:szCs w:val="24"/>
          <w:highlight w:val="none"/>
        </w:rPr>
        <w:t>代表人签字</w:t>
      </w:r>
      <w:r>
        <w:rPr>
          <w:rStyle w:val="86"/>
          <w:rFonts w:hint="eastAsia" w:ascii="仿宋" w:hAnsi="仿宋" w:eastAsia="仿宋"/>
          <w:bCs/>
          <w:sz w:val="24"/>
          <w:szCs w:val="24"/>
          <w:highlight w:val="none"/>
        </w:rPr>
        <w:t xml:space="preserve">：                           </w:t>
      </w:r>
      <w:r>
        <w:rPr>
          <w:rStyle w:val="86"/>
          <w:rFonts w:hint="eastAsia" w:ascii="仿宋" w:hAnsi="仿宋" w:eastAsia="仿宋"/>
          <w:bCs/>
          <w:spacing w:val="-11"/>
          <w:sz w:val="24"/>
          <w:szCs w:val="24"/>
          <w:highlight w:val="none"/>
        </w:rPr>
        <w:t xml:space="preserve">代表人签字： </w:t>
      </w:r>
    </w:p>
    <w:p w14:paraId="472B93B9">
      <w:pPr>
        <w:pStyle w:val="94"/>
        <w:spacing w:line="576" w:lineRule="exact"/>
        <w:rPr>
          <w:rStyle w:val="86"/>
          <w:rFonts w:hint="eastAsia" w:ascii="仿宋" w:hAnsi="仿宋" w:eastAsia="仿宋"/>
          <w:b/>
          <w:bCs/>
          <w:sz w:val="24"/>
          <w:szCs w:val="24"/>
          <w:highlight w:val="none"/>
        </w:rPr>
      </w:pPr>
      <w:r>
        <w:rPr>
          <w:rStyle w:val="86"/>
          <w:rFonts w:hint="eastAsia" w:ascii="仿宋" w:hAnsi="仿宋" w:eastAsia="仿宋"/>
          <w:b/>
          <w:bCs/>
          <w:sz w:val="24"/>
          <w:szCs w:val="24"/>
          <w:highlight w:val="none"/>
        </w:rPr>
        <w:t xml:space="preserve"> </w:t>
      </w:r>
    </w:p>
    <w:p w14:paraId="26FEDBFB">
      <w:pPr>
        <w:pStyle w:val="22"/>
        <w:spacing w:line="256" w:lineRule="auto"/>
        <w:rPr>
          <w:rStyle w:val="86"/>
          <w:rFonts w:hint="eastAsia" w:ascii="Arial" w:hAnsi="Calibri"/>
          <w:highlight w:val="none"/>
        </w:rPr>
      </w:pPr>
      <w:r>
        <w:rPr>
          <w:rStyle w:val="86"/>
          <w:rFonts w:ascii="Arial"/>
          <w:highlight w:val="none"/>
        </w:rPr>
        <w:t xml:space="preserve"> </w:t>
      </w:r>
    </w:p>
    <w:p w14:paraId="214E367B">
      <w:pPr>
        <w:pStyle w:val="22"/>
        <w:spacing w:line="256" w:lineRule="auto"/>
        <w:rPr>
          <w:rStyle w:val="86"/>
          <w:rFonts w:ascii="Arial"/>
          <w:highlight w:val="none"/>
        </w:rPr>
      </w:pPr>
      <w:r>
        <w:rPr>
          <w:rStyle w:val="86"/>
          <w:rFonts w:ascii="Arial"/>
          <w:highlight w:val="none"/>
        </w:rPr>
        <w:t xml:space="preserve"> </w:t>
      </w:r>
    </w:p>
    <w:p w14:paraId="54AC70D9">
      <w:pPr>
        <w:pStyle w:val="22"/>
        <w:spacing w:line="256" w:lineRule="auto"/>
        <w:rPr>
          <w:rStyle w:val="86"/>
          <w:rFonts w:ascii="黑体" w:hAnsi="黑体" w:eastAsia="黑体"/>
          <w:sz w:val="24"/>
          <w:szCs w:val="24"/>
          <w:highlight w:val="none"/>
        </w:rPr>
      </w:pPr>
      <w:r>
        <w:rPr>
          <w:rStyle w:val="86"/>
          <w:rFonts w:hint="eastAsia" w:ascii="黑体" w:hAnsi="黑体" w:eastAsia="黑体"/>
          <w:spacing w:val="-3"/>
          <w:sz w:val="24"/>
          <w:szCs w:val="24"/>
          <w:highlight w:val="none"/>
        </w:rPr>
        <w:br w:type="page"/>
      </w:r>
      <w:r>
        <w:rPr>
          <w:rStyle w:val="86"/>
          <w:rFonts w:hint="eastAsia" w:ascii="黑体" w:hAnsi="黑体" w:eastAsia="黑体"/>
          <w:spacing w:val="-3"/>
          <w:sz w:val="24"/>
          <w:szCs w:val="24"/>
          <w:highlight w:val="none"/>
        </w:rPr>
        <w:t>附件 9</w:t>
      </w:r>
    </w:p>
    <w:p w14:paraId="70C4079E">
      <w:pPr>
        <w:pStyle w:val="22"/>
        <w:spacing w:before="237"/>
        <w:ind w:left="3130"/>
        <w:rPr>
          <w:rStyle w:val="86"/>
          <w:rFonts w:hint="eastAsia" w:ascii="黑体" w:hAnsi="黑体" w:eastAsia="黑体"/>
          <w:sz w:val="24"/>
          <w:szCs w:val="24"/>
          <w:highlight w:val="none"/>
        </w:rPr>
      </w:pPr>
      <w:r>
        <w:rPr>
          <w:rStyle w:val="86"/>
          <w:rFonts w:hint="eastAsia" w:ascii="黑体" w:hAnsi="黑体" w:eastAsia="黑体"/>
          <w:spacing w:val="13"/>
          <w:sz w:val="24"/>
          <w:szCs w:val="24"/>
          <w:highlight w:val="none"/>
        </w:rPr>
        <w:t>安全文明施工措施费支付协</w:t>
      </w:r>
      <w:r>
        <w:rPr>
          <w:rStyle w:val="86"/>
          <w:rFonts w:hint="eastAsia" w:ascii="黑体" w:hAnsi="黑体" w:eastAsia="黑体"/>
          <w:spacing w:val="11"/>
          <w:sz w:val="24"/>
          <w:szCs w:val="24"/>
          <w:highlight w:val="none"/>
        </w:rPr>
        <w:t>议</w:t>
      </w:r>
    </w:p>
    <w:p w14:paraId="7D903FAC">
      <w:pPr>
        <w:pStyle w:val="22"/>
        <w:spacing w:before="222"/>
        <w:ind w:left="7"/>
        <w:rPr>
          <w:rStyle w:val="86"/>
          <w:rFonts w:hint="eastAsia" w:ascii="仿宋" w:hAnsi="仿宋" w:eastAsia="仿宋"/>
          <w:highlight w:val="none"/>
        </w:rPr>
      </w:pPr>
      <w:r>
        <w:rPr>
          <w:rStyle w:val="86"/>
          <w:rFonts w:hint="eastAsia" w:ascii="仿宋" w:hAnsi="仿宋" w:eastAsia="仿宋"/>
          <w:spacing w:val="20"/>
          <w:highlight w:val="none"/>
        </w:rPr>
        <w:t>发</w:t>
      </w:r>
      <w:r>
        <w:rPr>
          <w:rStyle w:val="86"/>
          <w:rFonts w:hint="eastAsia" w:ascii="仿宋" w:hAnsi="仿宋" w:eastAsia="仿宋"/>
          <w:spacing w:val="18"/>
          <w:highlight w:val="none"/>
        </w:rPr>
        <w:t>包人(全称)：</w:t>
      </w:r>
    </w:p>
    <w:p w14:paraId="05E888C2">
      <w:pPr>
        <w:pStyle w:val="22"/>
        <w:rPr>
          <w:rStyle w:val="86"/>
          <w:rFonts w:hint="eastAsia" w:ascii="Calibri" w:hAnsi="Calibri"/>
          <w:highlight w:val="none"/>
        </w:rPr>
      </w:pPr>
      <w:r>
        <w:rPr>
          <w:rStyle w:val="86"/>
          <w:highlight w:val="none"/>
        </w:rPr>
        <w:t xml:space="preserve"> </w:t>
      </w:r>
    </w:p>
    <w:p w14:paraId="45346EEF">
      <w:pPr>
        <w:pStyle w:val="22"/>
        <w:spacing w:before="68"/>
        <w:rPr>
          <w:rStyle w:val="86"/>
          <w:rFonts w:ascii="仿宋" w:hAnsi="仿宋" w:eastAsia="仿宋"/>
          <w:highlight w:val="none"/>
        </w:rPr>
      </w:pPr>
      <w:r>
        <w:rPr>
          <w:rStyle w:val="86"/>
          <w:rFonts w:hint="eastAsia" w:ascii="仿宋" w:hAnsi="仿宋" w:eastAsia="仿宋"/>
          <w:spacing w:val="23"/>
          <w:highlight w:val="none"/>
        </w:rPr>
        <w:t>承</w:t>
      </w:r>
      <w:r>
        <w:rPr>
          <w:rStyle w:val="86"/>
          <w:rFonts w:hint="eastAsia" w:ascii="仿宋" w:hAnsi="仿宋" w:eastAsia="仿宋"/>
          <w:spacing w:val="17"/>
          <w:highlight w:val="none"/>
        </w:rPr>
        <w:t>包人(全称)：(或联合体牵头人)</w:t>
      </w:r>
    </w:p>
    <w:p w14:paraId="192A7D5A">
      <w:pPr>
        <w:pStyle w:val="22"/>
        <w:spacing w:before="204" w:line="386" w:lineRule="auto"/>
        <w:ind w:firstLine="424"/>
        <w:rPr>
          <w:rStyle w:val="86"/>
          <w:rFonts w:hint="eastAsia" w:ascii="仿宋" w:hAnsi="仿宋" w:eastAsia="仿宋"/>
          <w:highlight w:val="none"/>
        </w:rPr>
      </w:pPr>
      <w:r>
        <w:rPr>
          <w:rStyle w:val="86"/>
          <w:rFonts w:hint="eastAsia" w:ascii="仿宋" w:hAnsi="仿宋" w:eastAsia="仿宋"/>
          <w:spacing w:val="-5"/>
          <w:highlight w:val="none"/>
        </w:rPr>
        <w:t>一、为保证工程安全顺利进行， 根据《四川省建设工程安全文明施工费计价管理办法》的规定</w:t>
      </w:r>
      <w:r>
        <w:rPr>
          <w:rStyle w:val="86"/>
          <w:rFonts w:hint="eastAsia" w:ascii="仿宋" w:hAnsi="仿宋" w:eastAsia="仿宋"/>
          <w:spacing w:val="-1"/>
          <w:highlight w:val="none"/>
        </w:rPr>
        <w:t>，</w:t>
      </w:r>
      <w:r>
        <w:rPr>
          <w:rStyle w:val="86"/>
          <w:rFonts w:hint="eastAsia" w:ascii="仿宋" w:hAnsi="仿宋" w:eastAsia="仿宋"/>
          <w:highlight w:val="none"/>
        </w:rPr>
        <w:t xml:space="preserve"> </w:t>
      </w:r>
      <w:r>
        <w:rPr>
          <w:rStyle w:val="86"/>
          <w:rFonts w:hint="eastAsia" w:ascii="仿宋" w:hAnsi="仿宋" w:eastAsia="仿宋"/>
          <w:spacing w:val="1"/>
          <w:highlight w:val="none"/>
        </w:rPr>
        <w:t>将《合同</w:t>
      </w:r>
      <w:r>
        <w:rPr>
          <w:rStyle w:val="86"/>
          <w:rFonts w:hint="eastAsia" w:ascii="仿宋" w:hAnsi="仿宋" w:eastAsia="仿宋"/>
          <w:highlight w:val="none"/>
        </w:rPr>
        <w:t>》中的安全文明施工费剔出单列，双方就建设工程安全文明施工费协商一致，特签订本协</w:t>
      </w:r>
      <w:r>
        <w:rPr>
          <w:rStyle w:val="86"/>
          <w:rFonts w:hint="eastAsia" w:ascii="仿宋" w:hAnsi="仿宋" w:eastAsia="仿宋"/>
          <w:spacing w:val="-9"/>
          <w:highlight w:val="none"/>
        </w:rPr>
        <w:t>议书。</w:t>
      </w:r>
    </w:p>
    <w:p w14:paraId="35081E82">
      <w:pPr>
        <w:pStyle w:val="22"/>
        <w:ind w:left="7"/>
        <w:rPr>
          <w:rStyle w:val="86"/>
          <w:rFonts w:hint="eastAsia" w:ascii="仿宋" w:hAnsi="仿宋" w:eastAsia="仿宋"/>
          <w:highlight w:val="none"/>
        </w:rPr>
      </w:pPr>
      <w:r>
        <w:rPr>
          <w:rStyle w:val="86"/>
          <w:rFonts w:hint="eastAsia" w:ascii="仿宋" w:hAnsi="仿宋" w:eastAsia="仿宋"/>
          <w:spacing w:val="-6"/>
          <w:highlight w:val="none"/>
        </w:rPr>
        <w:t>二、安</w:t>
      </w:r>
      <w:r>
        <w:rPr>
          <w:rStyle w:val="86"/>
          <w:rFonts w:hint="eastAsia" w:ascii="仿宋" w:hAnsi="仿宋" w:eastAsia="仿宋"/>
          <w:spacing w:val="-3"/>
          <w:highlight w:val="none"/>
        </w:rPr>
        <w:t>全文明施工费的计取及支付：</w:t>
      </w:r>
    </w:p>
    <w:p w14:paraId="0F396E04">
      <w:pPr>
        <w:pStyle w:val="22"/>
        <w:spacing w:before="188" w:line="388" w:lineRule="auto"/>
        <w:ind w:left="3" w:right="46" w:firstLine="426"/>
        <w:rPr>
          <w:rStyle w:val="86"/>
          <w:rFonts w:hint="eastAsia" w:ascii="仿宋" w:hAnsi="仿宋" w:eastAsia="仿宋"/>
          <w:highlight w:val="none"/>
        </w:rPr>
      </w:pPr>
      <w:r>
        <w:rPr>
          <w:rStyle w:val="86"/>
          <w:rFonts w:hint="eastAsia" w:ascii="仿宋" w:hAnsi="仿宋" w:eastAsia="仿宋"/>
          <w:spacing w:val="-6"/>
          <w:highlight w:val="none"/>
        </w:rPr>
        <w:t>1、安全文明施工费： 确定正式的施工图预算前， 安全文明施工费暂按签约合同价已标价建筑</w:t>
      </w:r>
      <w:r>
        <w:rPr>
          <w:rStyle w:val="86"/>
          <w:rFonts w:hint="eastAsia" w:ascii="仿宋" w:hAnsi="仿宋" w:eastAsia="仿宋"/>
          <w:spacing w:val="-5"/>
          <w:highlight w:val="none"/>
        </w:rPr>
        <w:t>安</w:t>
      </w:r>
      <w:r>
        <w:rPr>
          <w:rStyle w:val="86"/>
          <w:rFonts w:hint="eastAsia" w:ascii="仿宋" w:hAnsi="仿宋" w:eastAsia="仿宋"/>
          <w:spacing w:val="-3"/>
          <w:highlight w:val="none"/>
        </w:rPr>
        <w:t>装工程造价安全文明施工费基本费计算</w:t>
      </w:r>
      <w:r>
        <w:rPr>
          <w:rStyle w:val="86"/>
          <w:rFonts w:hint="eastAsia" w:ascii="仿宋" w:hAnsi="仿宋" w:eastAsia="仿宋"/>
          <w:spacing w:val="-1"/>
          <w:highlight w:val="none"/>
        </w:rPr>
        <w:t>；</w:t>
      </w:r>
    </w:p>
    <w:p w14:paraId="6699CC49">
      <w:pPr>
        <w:pStyle w:val="22"/>
        <w:ind w:left="417"/>
        <w:rPr>
          <w:rStyle w:val="86"/>
          <w:rFonts w:hint="eastAsia" w:ascii="仿宋" w:hAnsi="仿宋" w:eastAsia="仿宋"/>
          <w:highlight w:val="none"/>
        </w:rPr>
      </w:pPr>
      <w:r>
        <w:rPr>
          <w:rStyle w:val="86"/>
          <w:rFonts w:hint="eastAsia" w:ascii="仿宋" w:hAnsi="仿宋" w:eastAsia="仿宋"/>
          <w:spacing w:val="-4"/>
          <w:highlight w:val="none"/>
        </w:rPr>
        <w:t>2</w:t>
      </w:r>
      <w:r>
        <w:rPr>
          <w:rStyle w:val="86"/>
          <w:rFonts w:hint="eastAsia" w:ascii="仿宋" w:hAnsi="仿宋" w:eastAsia="仿宋"/>
          <w:spacing w:val="-3"/>
          <w:highlight w:val="none"/>
        </w:rPr>
        <w:t>、安全文明施工费的支付计划：</w:t>
      </w:r>
    </w:p>
    <w:p w14:paraId="6953AFB3">
      <w:pPr>
        <w:pStyle w:val="22"/>
        <w:spacing w:before="188" w:line="388" w:lineRule="auto"/>
        <w:ind w:left="3" w:right="46" w:firstLine="426"/>
        <w:rPr>
          <w:rStyle w:val="86"/>
          <w:rFonts w:hint="eastAsia" w:ascii="仿宋" w:hAnsi="仿宋" w:eastAsia="仿宋"/>
          <w:spacing w:val="-6"/>
          <w:highlight w:val="none"/>
        </w:rPr>
      </w:pPr>
      <w:r>
        <w:rPr>
          <w:rStyle w:val="86"/>
          <w:rFonts w:hint="eastAsia" w:ascii="仿宋" w:hAnsi="仿宋" w:eastAsia="仿宋"/>
          <w:spacing w:val="-6"/>
          <w:highlight w:val="none"/>
        </w:rPr>
        <w:t>(1)现场开工后 50 天内，合同工期在一年以内的，发包人预付安全文明施工费不得低于基本费的70%；合同工期在一年以上的（含一年），预付安全文明施工费不得低于基本费的50%，其余费用应当按照施工进度依据合同约定支付。</w:t>
      </w:r>
    </w:p>
    <w:p w14:paraId="0308EE01">
      <w:pPr>
        <w:pStyle w:val="22"/>
        <w:spacing w:before="187"/>
        <w:ind w:left="315"/>
        <w:rPr>
          <w:rStyle w:val="86"/>
          <w:rFonts w:hint="eastAsia" w:ascii="仿宋" w:hAnsi="仿宋" w:eastAsia="仿宋"/>
          <w:highlight w:val="none"/>
        </w:rPr>
      </w:pPr>
      <w:r>
        <w:rPr>
          <w:rStyle w:val="86"/>
          <w:rFonts w:hint="eastAsia" w:ascii="仿宋" w:hAnsi="仿宋" w:eastAsia="仿宋"/>
          <w:spacing w:val="8"/>
          <w:highlight w:val="none"/>
        </w:rPr>
        <w:t>(2)</w:t>
      </w:r>
      <w:r>
        <w:rPr>
          <w:rStyle w:val="86"/>
          <w:rFonts w:hint="eastAsia" w:ascii="仿宋" w:hAnsi="仿宋" w:eastAsia="仿宋"/>
          <w:spacing w:val="6"/>
          <w:highlight w:val="none"/>
        </w:rPr>
        <w:t>工</w:t>
      </w:r>
      <w:r>
        <w:rPr>
          <w:rStyle w:val="86"/>
          <w:rFonts w:hint="eastAsia" w:ascii="仿宋" w:hAnsi="仿宋" w:eastAsia="仿宋"/>
          <w:spacing w:val="4"/>
          <w:highlight w:val="none"/>
        </w:rPr>
        <w:t>程竣工验收合格后，承包人凭《建设工程安全文明施工措施评价及费率测定表》及招、</w:t>
      </w:r>
      <w:r>
        <w:rPr>
          <w:rStyle w:val="86"/>
          <w:rFonts w:hint="eastAsia" w:ascii="仿宋" w:hAnsi="仿宋" w:eastAsia="仿宋"/>
          <w:spacing w:val="-1"/>
          <w:highlight w:val="none"/>
        </w:rPr>
        <w:t>投</w:t>
      </w:r>
      <w:r>
        <w:rPr>
          <w:rStyle w:val="86"/>
          <w:rFonts w:hint="eastAsia" w:ascii="仿宋" w:hAnsi="仿宋" w:eastAsia="仿宋"/>
          <w:highlight w:val="none"/>
        </w:rPr>
        <w:t xml:space="preserve">标文件的规定办理竣工结算；承包人不能出具《建设工程安全文明施工措施评价及费率测定表》 </w:t>
      </w:r>
      <w:r>
        <w:rPr>
          <w:rStyle w:val="86"/>
          <w:rFonts w:hint="eastAsia" w:ascii="仿宋" w:hAnsi="仿宋" w:eastAsia="仿宋"/>
          <w:spacing w:val="-12"/>
          <w:highlight w:val="none"/>
        </w:rPr>
        <w:t>的，</w:t>
      </w:r>
      <w:r>
        <w:rPr>
          <w:rStyle w:val="86"/>
          <w:rFonts w:hint="eastAsia" w:ascii="仿宋" w:hAnsi="仿宋" w:eastAsia="仿宋"/>
          <w:spacing w:val="-10"/>
          <w:highlight w:val="none"/>
        </w:rPr>
        <w:t xml:space="preserve"> </w:t>
      </w:r>
      <w:r>
        <w:rPr>
          <w:rStyle w:val="86"/>
          <w:rFonts w:hint="eastAsia" w:ascii="仿宋" w:hAnsi="仿宋" w:eastAsia="仿宋"/>
          <w:spacing w:val="-6"/>
          <w:highlight w:val="none"/>
        </w:rPr>
        <w:t>承包人只能收取安全文明施工费的基本费。</w:t>
      </w:r>
    </w:p>
    <w:p w14:paraId="4F6724AB">
      <w:pPr>
        <w:pStyle w:val="22"/>
        <w:ind w:left="427"/>
        <w:rPr>
          <w:rStyle w:val="86"/>
          <w:rFonts w:hint="eastAsia" w:ascii="仿宋" w:hAnsi="仿宋" w:eastAsia="仿宋"/>
          <w:highlight w:val="none"/>
        </w:rPr>
      </w:pPr>
      <w:r>
        <w:rPr>
          <w:rStyle w:val="86"/>
          <w:rFonts w:hint="eastAsia" w:ascii="仿宋" w:hAnsi="仿宋" w:eastAsia="仿宋"/>
          <w:spacing w:val="-2"/>
          <w:highlight w:val="none"/>
        </w:rPr>
        <w:t>三、本协议与《合同》，具有同等法律效</w:t>
      </w:r>
      <w:r>
        <w:rPr>
          <w:rStyle w:val="86"/>
          <w:rFonts w:hint="eastAsia" w:ascii="仿宋" w:hAnsi="仿宋" w:eastAsia="仿宋"/>
          <w:spacing w:val="-1"/>
          <w:highlight w:val="none"/>
        </w:rPr>
        <w:t>应</w:t>
      </w:r>
      <w:r>
        <w:rPr>
          <w:rStyle w:val="86"/>
          <w:rFonts w:hint="eastAsia" w:ascii="仿宋" w:hAnsi="仿宋" w:eastAsia="仿宋"/>
          <w:highlight w:val="none"/>
        </w:rPr>
        <w:t>。</w:t>
      </w:r>
    </w:p>
    <w:p w14:paraId="3C3C0656">
      <w:pPr>
        <w:pStyle w:val="22"/>
        <w:spacing w:line="244" w:lineRule="auto"/>
        <w:rPr>
          <w:rStyle w:val="86"/>
          <w:rFonts w:hint="eastAsia" w:ascii="Arial" w:hAnsi="Calibri"/>
          <w:highlight w:val="none"/>
        </w:rPr>
      </w:pPr>
      <w:r>
        <w:rPr>
          <w:rStyle w:val="86"/>
          <w:rFonts w:ascii="Arial"/>
          <w:highlight w:val="none"/>
        </w:rPr>
        <w:t xml:space="preserve"> </w:t>
      </w:r>
    </w:p>
    <w:p w14:paraId="694EB386">
      <w:pPr>
        <w:pStyle w:val="22"/>
        <w:spacing w:line="244" w:lineRule="auto"/>
        <w:rPr>
          <w:rStyle w:val="86"/>
          <w:rFonts w:ascii="Arial"/>
          <w:highlight w:val="none"/>
        </w:rPr>
      </w:pPr>
      <w:r>
        <w:rPr>
          <w:rStyle w:val="86"/>
          <w:rFonts w:ascii="Arial"/>
          <w:highlight w:val="none"/>
        </w:rPr>
        <w:t xml:space="preserve"> </w:t>
      </w:r>
    </w:p>
    <w:p w14:paraId="356D8D07">
      <w:pPr>
        <w:pStyle w:val="22"/>
        <w:spacing w:before="69"/>
        <w:ind w:left="1057"/>
        <w:rPr>
          <w:rStyle w:val="86"/>
          <w:rFonts w:ascii="仿宋" w:hAnsi="仿宋" w:eastAsia="仿宋"/>
          <w:highlight w:val="none"/>
        </w:rPr>
      </w:pPr>
      <w:r>
        <w:rPr>
          <w:rStyle w:val="86"/>
          <w:rFonts w:hint="eastAsia" w:ascii="仿宋" w:hAnsi="仿宋" w:eastAsia="仿宋"/>
          <w:spacing w:val="-12"/>
          <w:highlight w:val="none"/>
        </w:rPr>
        <w:t>发包人：   (公章)</w:t>
      </w:r>
    </w:p>
    <w:p w14:paraId="1C184BA5">
      <w:pPr>
        <w:pStyle w:val="22"/>
        <w:spacing w:line="312" w:lineRule="auto"/>
        <w:rPr>
          <w:rStyle w:val="86"/>
          <w:rFonts w:hint="eastAsia" w:ascii="Arial" w:hAnsi="Calibri"/>
          <w:highlight w:val="none"/>
        </w:rPr>
      </w:pPr>
      <w:r>
        <w:rPr>
          <w:rStyle w:val="86"/>
          <w:rFonts w:ascii="Arial"/>
          <w:highlight w:val="none"/>
        </w:rPr>
        <w:t xml:space="preserve"> </w:t>
      </w:r>
    </w:p>
    <w:p w14:paraId="62EFACEF">
      <w:pPr>
        <w:pStyle w:val="22"/>
        <w:spacing w:before="68"/>
        <w:ind w:left="1058"/>
        <w:rPr>
          <w:rStyle w:val="86"/>
          <w:rFonts w:ascii="仿宋" w:hAnsi="仿宋" w:eastAsia="仿宋"/>
          <w:highlight w:val="none"/>
        </w:rPr>
      </w:pPr>
      <w:r>
        <w:rPr>
          <w:rStyle w:val="86"/>
          <w:rFonts w:hint="eastAsia" w:ascii="仿宋" w:hAnsi="仿宋" w:eastAsia="仿宋"/>
          <w:spacing w:val="-2"/>
          <w:highlight w:val="none"/>
        </w:rPr>
        <w:t>法定代表人或其</w:t>
      </w:r>
      <w:r>
        <w:rPr>
          <w:rStyle w:val="86"/>
          <w:rFonts w:hint="eastAsia" w:ascii="仿宋" w:hAnsi="仿宋" w:eastAsia="仿宋"/>
          <w:spacing w:val="-1"/>
          <w:highlight w:val="none"/>
        </w:rPr>
        <w:t>委托代理人: (签字)</w:t>
      </w:r>
    </w:p>
    <w:p w14:paraId="3FDF70F9">
      <w:pPr>
        <w:pStyle w:val="22"/>
        <w:spacing w:line="304" w:lineRule="auto"/>
        <w:rPr>
          <w:rStyle w:val="86"/>
          <w:rFonts w:hint="eastAsia" w:ascii="Arial" w:hAnsi="Calibri"/>
          <w:highlight w:val="none"/>
        </w:rPr>
      </w:pPr>
      <w:r>
        <w:rPr>
          <w:rStyle w:val="86"/>
          <w:rFonts w:ascii="Arial"/>
          <w:highlight w:val="none"/>
        </w:rPr>
        <w:t xml:space="preserve"> </w:t>
      </w:r>
    </w:p>
    <w:p w14:paraId="517AC8FC">
      <w:pPr>
        <w:pStyle w:val="22"/>
        <w:spacing w:line="304" w:lineRule="auto"/>
        <w:rPr>
          <w:rStyle w:val="86"/>
          <w:rFonts w:ascii="Arial"/>
          <w:highlight w:val="none"/>
        </w:rPr>
      </w:pPr>
      <w:r>
        <w:rPr>
          <w:rStyle w:val="86"/>
          <w:rFonts w:ascii="Arial"/>
          <w:highlight w:val="none"/>
        </w:rPr>
        <w:t xml:space="preserve"> </w:t>
      </w:r>
    </w:p>
    <w:p w14:paraId="0B9EB184">
      <w:pPr>
        <w:pStyle w:val="22"/>
        <w:spacing w:before="68" w:line="631" w:lineRule="exact"/>
        <w:ind w:left="1051"/>
        <w:rPr>
          <w:rStyle w:val="86"/>
          <w:rFonts w:ascii="仿宋" w:hAnsi="仿宋" w:eastAsia="仿宋"/>
          <w:highlight w:val="none"/>
        </w:rPr>
      </w:pPr>
      <w:r>
        <w:rPr>
          <w:rStyle w:val="86"/>
          <w:rFonts w:hint="eastAsia" w:ascii="仿宋" w:hAnsi="仿宋" w:eastAsia="仿宋"/>
          <w:spacing w:val="23"/>
          <w:position w:val="32"/>
          <w:highlight w:val="none"/>
        </w:rPr>
        <w:t>承</w:t>
      </w:r>
      <w:r>
        <w:rPr>
          <w:rStyle w:val="86"/>
          <w:rFonts w:hint="eastAsia" w:ascii="仿宋" w:hAnsi="仿宋" w:eastAsia="仿宋"/>
          <w:spacing w:val="17"/>
          <w:position w:val="32"/>
          <w:highlight w:val="none"/>
        </w:rPr>
        <w:t>包人(或联合体牵头人)：(公章)</w:t>
      </w:r>
    </w:p>
    <w:p w14:paraId="47897A7E">
      <w:pPr>
        <w:pStyle w:val="22"/>
        <w:spacing w:before="1"/>
        <w:ind w:left="1058"/>
        <w:rPr>
          <w:rStyle w:val="86"/>
          <w:rFonts w:ascii="仿宋" w:hAnsi="仿宋" w:eastAsia="仿宋"/>
          <w:highlight w:val="none"/>
        </w:rPr>
      </w:pPr>
      <w:r>
        <w:rPr>
          <w:rStyle w:val="86"/>
          <w:rFonts w:hint="eastAsia" w:ascii="仿宋" w:hAnsi="仿宋" w:eastAsia="仿宋"/>
          <w:spacing w:val="8"/>
          <w:highlight w:val="none"/>
        </w:rPr>
        <w:t>法定</w:t>
      </w:r>
      <w:r>
        <w:rPr>
          <w:rStyle w:val="86"/>
          <w:rFonts w:hint="eastAsia" w:ascii="仿宋" w:hAnsi="仿宋" w:eastAsia="仿宋"/>
          <w:spacing w:val="6"/>
          <w:highlight w:val="none"/>
        </w:rPr>
        <w:t>代</w:t>
      </w:r>
      <w:r>
        <w:rPr>
          <w:rStyle w:val="86"/>
          <w:rFonts w:hint="eastAsia" w:ascii="仿宋" w:hAnsi="仿宋" w:eastAsia="仿宋"/>
          <w:spacing w:val="4"/>
          <w:highlight w:val="none"/>
        </w:rPr>
        <w:t>表人或其委托代理人：(签字)</w:t>
      </w:r>
    </w:p>
    <w:p w14:paraId="4269C38E">
      <w:pPr>
        <w:pStyle w:val="22"/>
        <w:spacing w:line="244" w:lineRule="auto"/>
        <w:rPr>
          <w:rStyle w:val="86"/>
          <w:rFonts w:ascii="Arial"/>
          <w:highlight w:val="none"/>
        </w:rPr>
      </w:pPr>
      <w:r>
        <w:rPr>
          <w:rStyle w:val="86"/>
          <w:rFonts w:ascii="Arial"/>
          <w:highlight w:val="none"/>
        </w:rPr>
        <w:t xml:space="preserve"> </w:t>
      </w:r>
    </w:p>
    <w:p w14:paraId="1870A741">
      <w:pPr>
        <w:pStyle w:val="22"/>
        <w:spacing w:before="68"/>
        <w:ind w:left="6522"/>
        <w:rPr>
          <w:rStyle w:val="86"/>
          <w:rFonts w:hint="eastAsia" w:ascii="Calibri" w:eastAsia="仿宋"/>
          <w:highlight w:val="none"/>
        </w:rPr>
      </w:pPr>
      <w:r>
        <w:rPr>
          <w:rStyle w:val="86"/>
          <w:rFonts w:hint="eastAsia" w:ascii="仿宋" w:hAnsi="仿宋" w:eastAsia="仿宋"/>
          <w:spacing w:val="-6"/>
          <w:highlight w:val="none"/>
        </w:rPr>
        <w:t xml:space="preserve">年   </w:t>
      </w:r>
      <w:r>
        <w:rPr>
          <w:rStyle w:val="86"/>
          <w:rFonts w:hint="eastAsia" w:ascii="仿宋" w:hAnsi="仿宋" w:eastAsia="仿宋"/>
          <w:spacing w:val="-3"/>
          <w:highlight w:val="none"/>
        </w:rPr>
        <w:t>月   日</w:t>
      </w:r>
    </w:p>
    <w:p w14:paraId="57FB9D0B">
      <w:pPr>
        <w:pStyle w:val="22"/>
        <w:spacing w:before="95"/>
        <w:rPr>
          <w:rStyle w:val="86"/>
          <w:rFonts w:ascii="黑体" w:hAnsi="黑体" w:eastAsia="黑体"/>
          <w:sz w:val="24"/>
          <w:szCs w:val="24"/>
          <w:highlight w:val="none"/>
        </w:rPr>
      </w:pPr>
      <w:r>
        <w:rPr>
          <w:rStyle w:val="86"/>
          <w:rFonts w:hint="eastAsia" w:ascii="黑体" w:hAnsi="黑体" w:eastAsia="黑体"/>
          <w:spacing w:val="-19"/>
          <w:sz w:val="24"/>
          <w:szCs w:val="24"/>
          <w:highlight w:val="none"/>
        </w:rPr>
        <w:br w:type="page"/>
      </w:r>
      <w:r>
        <w:rPr>
          <w:rStyle w:val="86"/>
          <w:rFonts w:hint="eastAsia" w:ascii="黑体" w:hAnsi="黑体" w:eastAsia="黑体"/>
          <w:spacing w:val="-19"/>
          <w:sz w:val="24"/>
          <w:szCs w:val="24"/>
          <w:highlight w:val="none"/>
        </w:rPr>
        <w:t>附件 10</w:t>
      </w:r>
    </w:p>
    <w:p w14:paraId="136562B5">
      <w:pPr>
        <w:pStyle w:val="22"/>
        <w:spacing w:before="188" w:line="466" w:lineRule="exact"/>
        <w:ind w:left="6"/>
        <w:rPr>
          <w:rStyle w:val="86"/>
          <w:rFonts w:hint="eastAsia" w:ascii="仿宋" w:hAnsi="仿宋" w:eastAsia="仿宋"/>
          <w:highlight w:val="none"/>
        </w:rPr>
      </w:pPr>
      <w:r>
        <w:rPr>
          <w:rStyle w:val="86"/>
          <w:rFonts w:hint="eastAsia" w:ascii="仿宋" w:hAnsi="仿宋" w:eastAsia="仿宋"/>
          <w:spacing w:val="20"/>
          <w:position w:val="19"/>
          <w:highlight w:val="none"/>
        </w:rPr>
        <w:t>发</w:t>
      </w:r>
      <w:r>
        <w:rPr>
          <w:rStyle w:val="86"/>
          <w:rFonts w:hint="eastAsia" w:ascii="仿宋" w:hAnsi="仿宋" w:eastAsia="仿宋"/>
          <w:spacing w:val="18"/>
          <w:position w:val="19"/>
          <w:highlight w:val="none"/>
        </w:rPr>
        <w:t>包人(甲方)：</w:t>
      </w:r>
    </w:p>
    <w:p w14:paraId="7ABEB3A6">
      <w:pPr>
        <w:pStyle w:val="22"/>
        <w:spacing w:before="1"/>
        <w:rPr>
          <w:rStyle w:val="86"/>
          <w:rFonts w:hint="eastAsia" w:ascii="仿宋" w:hAnsi="仿宋" w:eastAsia="仿宋"/>
          <w:highlight w:val="none"/>
        </w:rPr>
      </w:pPr>
      <w:r>
        <w:rPr>
          <w:rStyle w:val="86"/>
          <w:rFonts w:hint="eastAsia" w:ascii="仿宋" w:hAnsi="仿宋" w:eastAsia="仿宋"/>
          <w:spacing w:val="19"/>
          <w:highlight w:val="none"/>
        </w:rPr>
        <w:t>承包人(乙方)：</w:t>
      </w:r>
    </w:p>
    <w:p w14:paraId="3E04C264">
      <w:pPr>
        <w:pStyle w:val="22"/>
        <w:rPr>
          <w:rStyle w:val="86"/>
          <w:rFonts w:hint="eastAsia" w:ascii="Arial" w:hAnsi="Calibri"/>
          <w:sz w:val="2"/>
          <w:szCs w:val="2"/>
          <w:highlight w:val="none"/>
        </w:rPr>
      </w:pPr>
    </w:p>
    <w:p w14:paraId="462B9504">
      <w:pPr>
        <w:pStyle w:val="22"/>
        <w:spacing w:before="56"/>
        <w:jc w:val="center"/>
        <w:outlineLvl w:val="1"/>
        <w:rPr>
          <w:rStyle w:val="86"/>
          <w:rFonts w:ascii="黑体" w:hAnsi="黑体" w:eastAsia="黑体"/>
          <w:sz w:val="28"/>
          <w:szCs w:val="28"/>
          <w:highlight w:val="none"/>
        </w:rPr>
      </w:pPr>
      <w:r>
        <w:rPr>
          <w:rStyle w:val="86"/>
          <w:rFonts w:hint="eastAsia" w:ascii="黑体" w:hAnsi="黑体" w:eastAsia="黑体"/>
          <w:spacing w:val="5"/>
          <w:sz w:val="28"/>
          <w:szCs w:val="28"/>
          <w:highlight w:val="none"/>
        </w:rPr>
        <w:t>民工工资支付协</w:t>
      </w:r>
      <w:r>
        <w:rPr>
          <w:rStyle w:val="86"/>
          <w:rFonts w:hint="eastAsia" w:ascii="黑体" w:hAnsi="黑体" w:eastAsia="黑体"/>
          <w:spacing w:val="3"/>
          <w:sz w:val="28"/>
          <w:szCs w:val="28"/>
          <w:highlight w:val="none"/>
        </w:rPr>
        <w:t>议</w:t>
      </w:r>
    </w:p>
    <w:p w14:paraId="368E54F6">
      <w:pPr>
        <w:pStyle w:val="22"/>
        <w:spacing w:before="225" w:line="421" w:lineRule="exact"/>
        <w:ind w:firstLine="400" w:firstLineChars="200"/>
        <w:rPr>
          <w:rStyle w:val="86"/>
          <w:rFonts w:hint="eastAsia" w:ascii="仿宋" w:hAnsi="仿宋" w:eastAsia="仿宋"/>
          <w:highlight w:val="none"/>
        </w:rPr>
      </w:pPr>
      <w:r>
        <w:rPr>
          <w:rStyle w:val="86"/>
          <w:rFonts w:hint="eastAsia" w:ascii="仿宋" w:hAnsi="仿宋" w:eastAsia="仿宋"/>
          <w:spacing w:val="-5"/>
          <w:position w:val="16"/>
          <w:highlight w:val="none"/>
        </w:rPr>
        <w:t>根</w:t>
      </w:r>
      <w:r>
        <w:rPr>
          <w:rStyle w:val="86"/>
          <w:rFonts w:hint="eastAsia" w:ascii="仿宋" w:hAnsi="仿宋" w:eastAsia="仿宋"/>
          <w:spacing w:val="-4"/>
          <w:position w:val="16"/>
          <w:highlight w:val="none"/>
        </w:rPr>
        <w:t>据绵阳市人民政府办公室《关于全面治理拖欠农民工工资问题的实施意见》(绵府办发[2017]3</w:t>
      </w:r>
      <w:r>
        <w:rPr>
          <w:rStyle w:val="86"/>
          <w:rFonts w:hint="eastAsia" w:ascii="仿宋" w:hAnsi="仿宋" w:eastAsia="仿宋"/>
          <w:spacing w:val="-2"/>
          <w:highlight w:val="none"/>
        </w:rPr>
        <w:t>号)和绵阳市住房和城乡建设局《关于全面落实农</w:t>
      </w:r>
      <w:r>
        <w:rPr>
          <w:rStyle w:val="86"/>
          <w:rFonts w:hint="eastAsia" w:ascii="仿宋" w:hAnsi="仿宋" w:eastAsia="仿宋"/>
          <w:spacing w:val="-1"/>
          <w:highlight w:val="none"/>
        </w:rPr>
        <w:t>民工工资专用账户管理和银行代发农民工工资制度</w:t>
      </w:r>
      <w:r>
        <w:rPr>
          <w:rStyle w:val="86"/>
          <w:rFonts w:hint="eastAsia" w:ascii="仿宋" w:hAnsi="仿宋" w:eastAsia="仿宋"/>
          <w:spacing w:val="2"/>
          <w:highlight w:val="none"/>
        </w:rPr>
        <w:t>的通知》(绵建局函) [2018]394 号文件精神，并依照《中华人民共和合同法》、《中华人民共</w:t>
      </w:r>
      <w:r>
        <w:rPr>
          <w:rStyle w:val="86"/>
          <w:rFonts w:hint="eastAsia" w:ascii="仿宋" w:hAnsi="仿宋" w:eastAsia="仿宋"/>
          <w:highlight w:val="none"/>
        </w:rPr>
        <w:t xml:space="preserve">和 </w:t>
      </w:r>
      <w:r>
        <w:rPr>
          <w:rStyle w:val="86"/>
          <w:rFonts w:hint="eastAsia" w:ascii="仿宋" w:hAnsi="仿宋" w:eastAsia="仿宋"/>
          <w:spacing w:val="-6"/>
          <w:highlight w:val="none"/>
        </w:rPr>
        <w:t>国建筑法》等法律法规规定以及发承包各方签定的《XX</w:t>
      </w:r>
      <w:r>
        <w:rPr>
          <w:rStyle w:val="86"/>
          <w:rFonts w:hint="eastAsia" w:ascii="仿宋" w:hAnsi="仿宋" w:eastAsia="仿宋"/>
          <w:highlight w:val="none"/>
        </w:rPr>
        <w:t>X</w:t>
      </w:r>
      <w:r>
        <w:rPr>
          <w:rStyle w:val="86"/>
          <w:rFonts w:hint="eastAsia" w:ascii="仿宋" w:hAnsi="仿宋" w:eastAsia="仿宋"/>
          <w:spacing w:val="-6"/>
          <w:highlight w:val="none"/>
        </w:rPr>
        <w:t xml:space="preserve"> 设计施工总承包合同》 (以下简称“原合</w:t>
      </w:r>
      <w:r>
        <w:rPr>
          <w:rStyle w:val="86"/>
          <w:rFonts w:hint="eastAsia" w:ascii="仿宋" w:hAnsi="仿宋" w:eastAsia="仿宋"/>
          <w:spacing w:val="-2"/>
          <w:highlight w:val="none"/>
        </w:rPr>
        <w:t>同”)约定，经发承包各方协商一致，就该</w:t>
      </w:r>
      <w:r>
        <w:rPr>
          <w:rStyle w:val="86"/>
          <w:rFonts w:hint="eastAsia" w:ascii="仿宋" w:hAnsi="仿宋" w:eastAsia="仿宋"/>
          <w:spacing w:val="-1"/>
          <w:highlight w:val="none"/>
        </w:rPr>
        <w:t>项目有关事宜，签订本协议。</w:t>
      </w:r>
    </w:p>
    <w:p w14:paraId="046EE123">
      <w:pPr>
        <w:pStyle w:val="22"/>
        <w:spacing w:before="3" w:line="367" w:lineRule="auto"/>
        <w:ind w:right="141" w:firstLine="423"/>
        <w:rPr>
          <w:rStyle w:val="86"/>
          <w:rFonts w:hint="eastAsia" w:ascii="仿宋" w:hAnsi="仿宋" w:eastAsia="仿宋"/>
          <w:highlight w:val="none"/>
        </w:rPr>
      </w:pPr>
      <w:r>
        <w:rPr>
          <w:rStyle w:val="86"/>
          <w:rFonts w:hint="eastAsia" w:ascii="仿宋" w:hAnsi="仿宋" w:eastAsia="仿宋"/>
          <w:spacing w:val="1"/>
          <w:highlight w:val="none"/>
        </w:rPr>
        <w:t>一、</w:t>
      </w:r>
      <w:r>
        <w:rPr>
          <w:rStyle w:val="86"/>
          <w:rFonts w:hint="eastAsia" w:ascii="仿宋" w:hAnsi="仿宋" w:eastAsia="仿宋"/>
          <w:highlight w:val="none"/>
        </w:rPr>
        <w:t xml:space="preserve">承包人按原合同向发包人进行每次民工工资支付申请时，承包人应在本次支付总额中明确 </w:t>
      </w:r>
      <w:r>
        <w:rPr>
          <w:rStyle w:val="86"/>
          <w:rFonts w:hint="eastAsia" w:ascii="仿宋" w:hAnsi="仿宋" w:eastAsia="仿宋"/>
          <w:spacing w:val="1"/>
          <w:highlight w:val="none"/>
        </w:rPr>
        <w:t>本次应支付的农</w:t>
      </w:r>
      <w:r>
        <w:rPr>
          <w:rStyle w:val="86"/>
          <w:rFonts w:hint="eastAsia" w:ascii="仿宋" w:hAnsi="仿宋" w:eastAsia="仿宋"/>
          <w:highlight w:val="none"/>
        </w:rPr>
        <w:t xml:space="preserve">民工工资总额。监理单位、第三方咨询单位、发包人对报送进度款审核时，应支付 </w:t>
      </w:r>
      <w:r>
        <w:rPr>
          <w:rStyle w:val="86"/>
          <w:rFonts w:hint="eastAsia" w:ascii="仿宋" w:hAnsi="仿宋" w:eastAsia="仿宋"/>
          <w:spacing w:val="-1"/>
          <w:highlight w:val="none"/>
        </w:rPr>
        <w:t>的农</w:t>
      </w:r>
      <w:r>
        <w:rPr>
          <w:rStyle w:val="86"/>
          <w:rFonts w:hint="eastAsia" w:ascii="仿宋" w:hAnsi="仿宋" w:eastAsia="仿宋"/>
          <w:highlight w:val="none"/>
        </w:rPr>
        <w:t xml:space="preserve">民工工资总额按承包人申请金额进行确认，其它部分工程款支付金额按审核的工程款支付总额 </w:t>
      </w:r>
      <w:r>
        <w:rPr>
          <w:rStyle w:val="86"/>
          <w:rFonts w:hint="eastAsia" w:ascii="仿宋" w:hAnsi="仿宋" w:eastAsia="仿宋"/>
          <w:spacing w:val="1"/>
          <w:highlight w:val="none"/>
        </w:rPr>
        <w:t>扣减农民工工资</w:t>
      </w:r>
      <w:r>
        <w:rPr>
          <w:rStyle w:val="86"/>
          <w:rFonts w:hint="eastAsia" w:ascii="仿宋" w:hAnsi="仿宋" w:eastAsia="仿宋"/>
          <w:highlight w:val="none"/>
        </w:rPr>
        <w:t xml:space="preserve">金额计算。承包人报送资料具体要求除按原合同执行外，还需按国家和发包人要求 </w:t>
      </w:r>
      <w:r>
        <w:rPr>
          <w:rStyle w:val="86"/>
          <w:rFonts w:hint="eastAsia" w:ascii="仿宋" w:hAnsi="仿宋" w:eastAsia="仿宋"/>
          <w:spacing w:val="-4"/>
          <w:highlight w:val="none"/>
        </w:rPr>
        <w:t>报</w:t>
      </w:r>
      <w:r>
        <w:rPr>
          <w:rStyle w:val="86"/>
          <w:rFonts w:hint="eastAsia" w:ascii="仿宋" w:hAnsi="仿宋" w:eastAsia="仿宋"/>
          <w:spacing w:val="-3"/>
          <w:highlight w:val="none"/>
        </w:rPr>
        <w:t>送</w:t>
      </w:r>
      <w:r>
        <w:rPr>
          <w:rStyle w:val="86"/>
          <w:rFonts w:hint="eastAsia" w:ascii="仿宋" w:hAnsi="仿宋" w:eastAsia="仿宋"/>
          <w:spacing w:val="-2"/>
          <w:highlight w:val="none"/>
        </w:rPr>
        <w:t>农民工工资支付的相关资料。</w:t>
      </w:r>
    </w:p>
    <w:p w14:paraId="7C67EF05">
      <w:pPr>
        <w:pStyle w:val="22"/>
        <w:spacing w:before="1" w:line="367" w:lineRule="auto"/>
        <w:ind w:left="1" w:right="191" w:firstLine="425"/>
        <w:rPr>
          <w:rStyle w:val="86"/>
          <w:rFonts w:hint="eastAsia" w:ascii="仿宋" w:hAnsi="仿宋" w:eastAsia="仿宋"/>
          <w:highlight w:val="none"/>
        </w:rPr>
      </w:pPr>
      <w:r>
        <w:rPr>
          <w:rStyle w:val="86"/>
          <w:rFonts w:hint="eastAsia" w:ascii="仿宋" w:hAnsi="仿宋" w:eastAsia="仿宋"/>
          <w:spacing w:val="2"/>
          <w:highlight w:val="none"/>
        </w:rPr>
        <w:t>二、发包人将上月进度款</w:t>
      </w:r>
      <w:r>
        <w:rPr>
          <w:rStyle w:val="86"/>
          <w:rFonts w:hint="eastAsia" w:ascii="仿宋" w:hAnsi="仿宋" w:eastAsia="仿宋"/>
          <w:spacing w:val="1"/>
          <w:highlight w:val="none"/>
        </w:rPr>
        <w:t xml:space="preserve">实际拨付的 </w:t>
      </w:r>
      <w:r>
        <w:rPr>
          <w:rStyle w:val="86"/>
          <w:rFonts w:hint="eastAsia" w:ascii="仿宋" w:hAnsi="仿宋" w:eastAsia="仿宋"/>
          <w:spacing w:val="1"/>
          <w:highlight w:val="none"/>
          <w:u w:val="single"/>
        </w:rPr>
        <w:t xml:space="preserve">   %</w:t>
      </w:r>
      <w:r>
        <w:rPr>
          <w:rStyle w:val="86"/>
          <w:rFonts w:hint="eastAsia" w:ascii="仿宋" w:hAnsi="仿宋" w:eastAsia="仿宋"/>
          <w:spacing w:val="1"/>
          <w:highlight w:val="none"/>
        </w:rPr>
        <w:t>支付至承包人开设的农民工工资支付专用账户(开户</w:t>
      </w:r>
      <w:r>
        <w:rPr>
          <w:rStyle w:val="86"/>
          <w:rFonts w:hint="eastAsia" w:ascii="仿宋" w:hAnsi="仿宋" w:eastAsia="仿宋"/>
          <w:highlight w:val="none"/>
        </w:rPr>
        <w:t xml:space="preserve"> </w:t>
      </w:r>
      <w:r>
        <w:rPr>
          <w:rStyle w:val="86"/>
          <w:rFonts w:hint="eastAsia" w:ascii="仿宋" w:hAnsi="仿宋" w:eastAsia="仿宋"/>
          <w:spacing w:val="-5"/>
          <w:highlight w:val="none"/>
        </w:rPr>
        <w:t>行</w:t>
      </w:r>
      <w:r>
        <w:rPr>
          <w:rStyle w:val="86"/>
          <w:rFonts w:hint="eastAsia" w:ascii="仿宋" w:hAnsi="仿宋" w:eastAsia="仿宋"/>
          <w:spacing w:val="-4"/>
          <w:highlight w:val="none"/>
        </w:rPr>
        <w:t>：  ；账号：)。</w:t>
      </w:r>
    </w:p>
    <w:p w14:paraId="45F68F38">
      <w:pPr>
        <w:pStyle w:val="22"/>
        <w:spacing w:before="2" w:line="367" w:lineRule="auto"/>
        <w:ind w:right="141" w:firstLine="426"/>
        <w:rPr>
          <w:rStyle w:val="86"/>
          <w:rFonts w:hint="eastAsia" w:ascii="仿宋" w:hAnsi="仿宋" w:eastAsia="仿宋"/>
          <w:highlight w:val="none"/>
        </w:rPr>
      </w:pPr>
      <w:r>
        <w:rPr>
          <w:rStyle w:val="86"/>
          <w:rFonts w:hint="eastAsia" w:ascii="仿宋" w:hAnsi="仿宋" w:eastAsia="仿宋"/>
          <w:highlight w:val="none"/>
        </w:rPr>
        <w:t xml:space="preserve">三、若承包人已垫付当期应支付的农民工工资，在申请工程款支付时，承包人不再申请支付当 </w:t>
      </w:r>
      <w:r>
        <w:rPr>
          <w:rStyle w:val="86"/>
          <w:rFonts w:hint="eastAsia" w:ascii="仿宋" w:hAnsi="仿宋" w:eastAsia="仿宋"/>
          <w:spacing w:val="1"/>
          <w:highlight w:val="none"/>
        </w:rPr>
        <w:t>期已垫付的农民</w:t>
      </w:r>
      <w:r>
        <w:rPr>
          <w:rStyle w:val="86"/>
          <w:rFonts w:hint="eastAsia" w:ascii="仿宋" w:hAnsi="仿宋" w:eastAsia="仿宋"/>
          <w:highlight w:val="none"/>
        </w:rPr>
        <w:t xml:space="preserve">工工资，但须向发包人提交已垫付的支付农民工工资转账凭证及相关资料。经发包 </w:t>
      </w:r>
      <w:r>
        <w:rPr>
          <w:rStyle w:val="86"/>
          <w:rFonts w:hint="eastAsia" w:ascii="仿宋" w:hAnsi="仿宋" w:eastAsia="仿宋"/>
          <w:spacing w:val="10"/>
          <w:highlight w:val="none"/>
        </w:rPr>
        <w:t>人确认资</w:t>
      </w:r>
      <w:r>
        <w:rPr>
          <w:rStyle w:val="86"/>
          <w:rFonts w:hint="eastAsia" w:ascii="仿宋" w:hAnsi="仿宋" w:eastAsia="仿宋"/>
          <w:spacing w:val="8"/>
          <w:highlight w:val="none"/>
        </w:rPr>
        <w:t>料</w:t>
      </w:r>
      <w:r>
        <w:rPr>
          <w:rStyle w:val="86"/>
          <w:rFonts w:hint="eastAsia" w:ascii="仿宋" w:hAnsi="仿宋" w:eastAsia="仿宋"/>
          <w:spacing w:val="5"/>
          <w:highlight w:val="none"/>
        </w:rPr>
        <w:t>齐全后，再支付当期工程款(含承包人垫付的农民工工资)。</w:t>
      </w:r>
    </w:p>
    <w:p w14:paraId="2B5424DE">
      <w:pPr>
        <w:pStyle w:val="22"/>
        <w:spacing w:before="2" w:line="367" w:lineRule="auto"/>
        <w:ind w:firstLine="445"/>
        <w:rPr>
          <w:rStyle w:val="86"/>
          <w:rFonts w:hint="eastAsia" w:ascii="仿宋" w:hAnsi="仿宋" w:eastAsia="仿宋"/>
          <w:highlight w:val="none"/>
        </w:rPr>
      </w:pPr>
      <w:r>
        <w:rPr>
          <w:rStyle w:val="86"/>
          <w:rFonts w:hint="eastAsia" w:ascii="仿宋" w:hAnsi="仿宋" w:eastAsia="仿宋"/>
          <w:spacing w:val="-1"/>
          <w:highlight w:val="none"/>
        </w:rPr>
        <w:t>四、发包人按原合同约定时间支付每期工程款时，承包</w:t>
      </w:r>
      <w:r>
        <w:rPr>
          <w:rStyle w:val="86"/>
          <w:rFonts w:hint="eastAsia" w:ascii="仿宋" w:hAnsi="仿宋" w:eastAsia="仿宋"/>
          <w:highlight w:val="none"/>
        </w:rPr>
        <w:t xml:space="preserve">人承诺报送给发包人的农民工工资金额 </w:t>
      </w:r>
      <w:r>
        <w:rPr>
          <w:rStyle w:val="86"/>
          <w:rFonts w:hint="eastAsia" w:ascii="仿宋" w:hAnsi="仿宋" w:eastAsia="仿宋"/>
          <w:spacing w:val="-2"/>
          <w:highlight w:val="none"/>
        </w:rPr>
        <w:t>已足额考虑当期农民工工资总额。承包人</w:t>
      </w:r>
      <w:r>
        <w:rPr>
          <w:rStyle w:val="86"/>
          <w:rFonts w:hint="eastAsia" w:ascii="仿宋" w:hAnsi="仿宋" w:eastAsia="仿宋"/>
          <w:spacing w:val="-1"/>
          <w:highlight w:val="none"/>
        </w:rPr>
        <w:t>应严格按照国家相关规定和《保证支付农民工工资承诺书》</w:t>
      </w:r>
      <w:r>
        <w:rPr>
          <w:rStyle w:val="86"/>
          <w:rFonts w:hint="eastAsia" w:ascii="仿宋" w:hAnsi="仿宋" w:eastAsia="仿宋"/>
          <w:highlight w:val="none"/>
        </w:rPr>
        <w:t xml:space="preserve"> </w:t>
      </w:r>
      <w:r>
        <w:rPr>
          <w:rStyle w:val="86"/>
          <w:rFonts w:hint="eastAsia" w:ascii="仿宋" w:hAnsi="仿宋" w:eastAsia="仿宋"/>
          <w:spacing w:val="7"/>
          <w:highlight w:val="none"/>
        </w:rPr>
        <w:t>的</w:t>
      </w:r>
      <w:r>
        <w:rPr>
          <w:rStyle w:val="86"/>
          <w:rFonts w:hint="eastAsia" w:ascii="仿宋" w:hAnsi="仿宋" w:eastAsia="仿宋"/>
          <w:spacing w:val="5"/>
          <w:highlight w:val="none"/>
        </w:rPr>
        <w:t>规定，及时足额支付工人(含农民工)工资，并负责妥善处理与各债权人关系，承担因人工费支</w:t>
      </w:r>
      <w:r>
        <w:rPr>
          <w:rStyle w:val="86"/>
          <w:rFonts w:hint="eastAsia" w:ascii="仿宋" w:hAnsi="仿宋" w:eastAsia="仿宋"/>
          <w:highlight w:val="none"/>
        </w:rPr>
        <w:t xml:space="preserve"> </w:t>
      </w:r>
      <w:r>
        <w:rPr>
          <w:rStyle w:val="86"/>
          <w:rFonts w:hint="eastAsia" w:ascii="仿宋" w:hAnsi="仿宋" w:eastAsia="仿宋"/>
          <w:spacing w:val="1"/>
          <w:highlight w:val="none"/>
        </w:rPr>
        <w:t>付原因导致纠纷</w:t>
      </w:r>
      <w:r>
        <w:rPr>
          <w:rStyle w:val="86"/>
          <w:rFonts w:hint="eastAsia" w:ascii="仿宋" w:hAnsi="仿宋" w:eastAsia="仿宋"/>
          <w:highlight w:val="none"/>
        </w:rPr>
        <w:t xml:space="preserve">与不稳定事件的违约责任，并按照《保证支付农民工工资承诺书》的约定承担违约 </w:t>
      </w:r>
      <w:r>
        <w:rPr>
          <w:rStyle w:val="86"/>
          <w:rFonts w:hint="eastAsia" w:ascii="仿宋" w:hAnsi="仿宋" w:eastAsia="仿宋"/>
          <w:spacing w:val="-10"/>
          <w:highlight w:val="none"/>
        </w:rPr>
        <w:t>责</w:t>
      </w:r>
      <w:r>
        <w:rPr>
          <w:rStyle w:val="86"/>
          <w:rFonts w:hint="eastAsia" w:ascii="仿宋" w:hAnsi="仿宋" w:eastAsia="仿宋"/>
          <w:spacing w:val="-9"/>
          <w:highlight w:val="none"/>
        </w:rPr>
        <w:t>任。</w:t>
      </w:r>
    </w:p>
    <w:p w14:paraId="49835BD0">
      <w:pPr>
        <w:pStyle w:val="22"/>
        <w:spacing w:before="1" w:line="367" w:lineRule="auto"/>
        <w:ind w:left="27" w:right="141" w:firstLine="396"/>
        <w:rPr>
          <w:rStyle w:val="86"/>
          <w:rFonts w:hint="eastAsia" w:ascii="仿宋" w:hAnsi="仿宋" w:eastAsia="仿宋"/>
          <w:highlight w:val="none"/>
        </w:rPr>
      </w:pPr>
      <w:r>
        <w:rPr>
          <w:rStyle w:val="86"/>
          <w:rFonts w:hint="eastAsia" w:ascii="仿宋" w:hAnsi="仿宋" w:eastAsia="仿宋"/>
          <w:spacing w:val="1"/>
          <w:highlight w:val="none"/>
        </w:rPr>
        <w:t>五、</w:t>
      </w:r>
      <w:r>
        <w:rPr>
          <w:rStyle w:val="86"/>
          <w:rFonts w:hint="eastAsia" w:ascii="仿宋" w:hAnsi="仿宋" w:eastAsia="仿宋"/>
          <w:highlight w:val="none"/>
        </w:rPr>
        <w:t xml:space="preserve">承包人应对工资支付表等工资发放资料的真实性负责，如因资料弄虚作假产生的相关责任 </w:t>
      </w:r>
      <w:r>
        <w:rPr>
          <w:rStyle w:val="86"/>
          <w:rFonts w:hint="eastAsia" w:ascii="仿宋" w:hAnsi="仿宋" w:eastAsia="仿宋"/>
          <w:spacing w:val="-9"/>
          <w:highlight w:val="none"/>
        </w:rPr>
        <w:t>由</w:t>
      </w:r>
      <w:r>
        <w:rPr>
          <w:rStyle w:val="86"/>
          <w:rFonts w:hint="eastAsia" w:ascii="仿宋" w:hAnsi="仿宋" w:eastAsia="仿宋"/>
          <w:spacing w:val="-8"/>
          <w:highlight w:val="none"/>
        </w:rPr>
        <w:t>承包人承担。</w:t>
      </w:r>
    </w:p>
    <w:p w14:paraId="4757365E">
      <w:pPr>
        <w:pStyle w:val="22"/>
        <w:spacing w:before="1" w:line="367" w:lineRule="auto"/>
        <w:ind w:right="141" w:firstLine="422"/>
        <w:rPr>
          <w:rStyle w:val="86"/>
          <w:rFonts w:hint="eastAsia" w:ascii="仿宋" w:hAnsi="仿宋" w:eastAsia="仿宋"/>
          <w:highlight w:val="none"/>
        </w:rPr>
      </w:pPr>
      <w:r>
        <w:rPr>
          <w:rStyle w:val="86"/>
          <w:rFonts w:hint="eastAsia" w:ascii="仿宋" w:hAnsi="仿宋" w:eastAsia="仿宋"/>
          <w:spacing w:val="1"/>
          <w:highlight w:val="none"/>
        </w:rPr>
        <w:t>六、发包</w:t>
      </w:r>
      <w:r>
        <w:rPr>
          <w:rStyle w:val="86"/>
          <w:rFonts w:hint="eastAsia" w:ascii="仿宋" w:hAnsi="仿宋" w:eastAsia="仿宋"/>
          <w:highlight w:val="none"/>
        </w:rPr>
        <w:t xml:space="preserve">人拨付上述款项后，无论承包人因何种原因未按时足额发放农民工工资导致的工程停 </w:t>
      </w:r>
      <w:r>
        <w:rPr>
          <w:rStyle w:val="86"/>
          <w:rFonts w:hint="eastAsia" w:ascii="仿宋" w:hAnsi="仿宋" w:eastAsia="仿宋"/>
          <w:spacing w:val="-4"/>
          <w:highlight w:val="none"/>
        </w:rPr>
        <w:t>工、延期、信</w:t>
      </w:r>
      <w:r>
        <w:rPr>
          <w:rStyle w:val="86"/>
          <w:rFonts w:hint="eastAsia" w:ascii="仿宋" w:hAnsi="仿宋" w:eastAsia="仿宋"/>
          <w:spacing w:val="-3"/>
          <w:highlight w:val="none"/>
        </w:rPr>
        <w:t>访</w:t>
      </w:r>
      <w:r>
        <w:rPr>
          <w:rStyle w:val="86"/>
          <w:rFonts w:hint="eastAsia" w:ascii="仿宋" w:hAnsi="仿宋" w:eastAsia="仿宋"/>
          <w:spacing w:val="-2"/>
          <w:highlight w:val="none"/>
        </w:rPr>
        <w:t>等， 承包人除应向发包人承担违约责任外，发包人有权直接在未付清工程款范围内</w:t>
      </w:r>
      <w:r>
        <w:rPr>
          <w:rStyle w:val="86"/>
          <w:rFonts w:hint="eastAsia" w:ascii="仿宋" w:hAnsi="仿宋" w:eastAsia="仿宋"/>
          <w:highlight w:val="none"/>
        </w:rPr>
        <w:t xml:space="preserve"> </w:t>
      </w:r>
      <w:r>
        <w:rPr>
          <w:rStyle w:val="86"/>
          <w:rFonts w:hint="eastAsia" w:ascii="仿宋" w:hAnsi="仿宋" w:eastAsia="仿宋"/>
          <w:spacing w:val="-4"/>
          <w:highlight w:val="none"/>
        </w:rPr>
        <w:t>直</w:t>
      </w:r>
      <w:r>
        <w:rPr>
          <w:rStyle w:val="86"/>
          <w:rFonts w:hint="eastAsia" w:ascii="仿宋" w:hAnsi="仿宋" w:eastAsia="仿宋"/>
          <w:spacing w:val="-3"/>
          <w:highlight w:val="none"/>
        </w:rPr>
        <w:t>接扣除代承包人支付。</w:t>
      </w:r>
    </w:p>
    <w:p w14:paraId="7D104419">
      <w:pPr>
        <w:pStyle w:val="22"/>
        <w:spacing w:before="1" w:line="374" w:lineRule="auto"/>
        <w:ind w:left="4" w:right="141" w:firstLine="420"/>
        <w:rPr>
          <w:rStyle w:val="86"/>
          <w:rFonts w:hint="eastAsia" w:ascii="仿宋" w:hAnsi="仿宋" w:eastAsia="仿宋"/>
          <w:highlight w:val="none"/>
        </w:rPr>
      </w:pPr>
      <w:r>
        <w:rPr>
          <w:rStyle w:val="86"/>
          <w:rFonts w:hint="eastAsia" w:ascii="仿宋" w:hAnsi="仿宋" w:eastAsia="仿宋"/>
          <w:spacing w:val="1"/>
          <w:highlight w:val="none"/>
        </w:rPr>
        <w:t>七</w:t>
      </w:r>
      <w:r>
        <w:rPr>
          <w:rStyle w:val="86"/>
          <w:rFonts w:hint="eastAsia" w:ascii="仿宋" w:hAnsi="仿宋" w:eastAsia="仿宋"/>
          <w:highlight w:val="none"/>
        </w:rPr>
        <w:t xml:space="preserve">、本补充协议是对原合同补充，与原合同不一致之处，以本补充协议为准。本补充协议未约 </w:t>
      </w:r>
      <w:r>
        <w:rPr>
          <w:rStyle w:val="86"/>
          <w:rFonts w:hint="eastAsia" w:ascii="仿宋" w:hAnsi="仿宋" w:eastAsia="仿宋"/>
          <w:spacing w:val="-6"/>
          <w:highlight w:val="none"/>
        </w:rPr>
        <w:t>定的</w:t>
      </w:r>
      <w:r>
        <w:rPr>
          <w:rStyle w:val="86"/>
          <w:rFonts w:hint="eastAsia" w:ascii="仿宋" w:hAnsi="仿宋" w:eastAsia="仿宋"/>
          <w:spacing w:val="-5"/>
          <w:highlight w:val="none"/>
        </w:rPr>
        <w:t>，</w:t>
      </w:r>
      <w:r>
        <w:rPr>
          <w:rStyle w:val="86"/>
          <w:rFonts w:hint="eastAsia" w:ascii="仿宋" w:hAnsi="仿宋" w:eastAsia="仿宋"/>
          <w:spacing w:val="-3"/>
          <w:highlight w:val="none"/>
        </w:rPr>
        <w:t>按原合同执行。</w:t>
      </w:r>
    </w:p>
    <w:p w14:paraId="590138CB">
      <w:pPr>
        <w:pStyle w:val="22"/>
        <w:spacing w:before="1"/>
        <w:ind w:left="419"/>
        <w:rPr>
          <w:rStyle w:val="86"/>
          <w:rFonts w:hint="eastAsia" w:ascii="仿宋" w:hAnsi="仿宋" w:eastAsia="仿宋"/>
          <w:highlight w:val="none"/>
        </w:rPr>
      </w:pPr>
      <w:r>
        <w:rPr>
          <w:rStyle w:val="86"/>
          <w:rFonts w:hint="eastAsia" w:ascii="仿宋" w:hAnsi="仿宋" w:eastAsia="仿宋"/>
          <w:spacing w:val="-1"/>
          <w:highlight w:val="none"/>
        </w:rPr>
        <w:t>八、本补协议经发承包各方法定代表人或委托代理人签</w:t>
      </w:r>
      <w:r>
        <w:rPr>
          <w:rStyle w:val="86"/>
          <w:rFonts w:hint="eastAsia" w:ascii="仿宋" w:hAnsi="仿宋" w:eastAsia="仿宋"/>
          <w:highlight w:val="none"/>
        </w:rPr>
        <w:t>字并加盖公章之日起生效。</w:t>
      </w:r>
    </w:p>
    <w:p w14:paraId="27F6387F">
      <w:pPr>
        <w:pStyle w:val="22"/>
        <w:spacing w:line="162" w:lineRule="exact"/>
        <w:rPr>
          <w:rStyle w:val="86"/>
          <w:rFonts w:hint="eastAsia" w:ascii="Calibri" w:hAnsi="Calibri"/>
          <w:highlight w:val="none"/>
        </w:rPr>
      </w:pPr>
      <w:r>
        <w:rPr>
          <w:rStyle w:val="86"/>
          <w:highlight w:val="none"/>
        </w:rPr>
        <w:t xml:space="preserve"> </w:t>
      </w:r>
    </w:p>
    <w:p w14:paraId="419E772B">
      <w:pPr>
        <w:pStyle w:val="22"/>
        <w:spacing w:before="42"/>
        <w:ind w:left="426"/>
        <w:rPr>
          <w:rStyle w:val="86"/>
          <w:rFonts w:ascii="仿宋" w:hAnsi="仿宋" w:eastAsia="仿宋"/>
          <w:highlight w:val="none"/>
        </w:rPr>
      </w:pPr>
      <w:r>
        <w:rPr>
          <w:rStyle w:val="86"/>
          <w:rFonts w:hint="eastAsia" w:ascii="仿宋" w:hAnsi="仿宋" w:eastAsia="仿宋"/>
          <w:spacing w:val="21"/>
          <w:highlight w:val="none"/>
        </w:rPr>
        <w:t>发</w:t>
      </w:r>
      <w:r>
        <w:rPr>
          <w:rStyle w:val="86"/>
          <w:rFonts w:hint="eastAsia" w:ascii="仿宋" w:hAnsi="仿宋" w:eastAsia="仿宋"/>
          <w:spacing w:val="14"/>
          <w:highlight w:val="none"/>
        </w:rPr>
        <w:t>包人(盖单位章)：</w:t>
      </w:r>
    </w:p>
    <w:p w14:paraId="2D75936D">
      <w:pPr>
        <w:pStyle w:val="22"/>
        <w:spacing w:before="189"/>
        <w:ind w:left="427"/>
        <w:rPr>
          <w:rStyle w:val="86"/>
          <w:rFonts w:hint="eastAsia" w:ascii="仿宋" w:hAnsi="仿宋" w:eastAsia="仿宋"/>
          <w:highlight w:val="none"/>
        </w:rPr>
      </w:pPr>
      <w:r>
        <w:rPr>
          <w:rStyle w:val="86"/>
          <w:rFonts w:hint="eastAsia" w:ascii="仿宋" w:hAnsi="仿宋" w:eastAsia="仿宋"/>
          <w:spacing w:val="-3"/>
          <w:highlight w:val="none"/>
        </w:rPr>
        <w:t>法定代表人</w:t>
      </w:r>
    </w:p>
    <w:p w14:paraId="0636AADD">
      <w:pPr>
        <w:pStyle w:val="22"/>
        <w:spacing w:before="186"/>
        <w:ind w:left="423"/>
        <w:rPr>
          <w:rStyle w:val="86"/>
          <w:rFonts w:hint="eastAsia" w:ascii="仿宋" w:hAnsi="仿宋" w:eastAsia="仿宋"/>
          <w:highlight w:val="none"/>
        </w:rPr>
      </w:pPr>
      <w:r>
        <w:rPr>
          <w:rStyle w:val="86"/>
          <w:rFonts w:hint="eastAsia" w:ascii="仿宋" w:hAnsi="仿宋" w:eastAsia="仿宋"/>
          <w:spacing w:val="19"/>
          <w:highlight w:val="none"/>
        </w:rPr>
        <w:t>或</w:t>
      </w:r>
      <w:r>
        <w:rPr>
          <w:rStyle w:val="86"/>
          <w:rFonts w:hint="eastAsia" w:ascii="仿宋" w:hAnsi="仿宋" w:eastAsia="仿宋"/>
          <w:spacing w:val="12"/>
          <w:highlight w:val="none"/>
        </w:rPr>
        <w:t>其委托代理人(签字)：</w:t>
      </w:r>
    </w:p>
    <w:p w14:paraId="7BBB0F5C">
      <w:pPr>
        <w:pStyle w:val="22"/>
        <w:ind w:right="3790" w:rightChars="1805"/>
        <w:rPr>
          <w:rStyle w:val="86"/>
          <w:rFonts w:hint="eastAsia" w:ascii="Arial" w:hAnsi="Calibri"/>
          <w:sz w:val="2"/>
          <w:szCs w:val="2"/>
          <w:highlight w:val="none"/>
        </w:rPr>
      </w:pPr>
    </w:p>
    <w:p w14:paraId="2131AE42">
      <w:pPr>
        <w:pStyle w:val="22"/>
        <w:spacing w:before="41"/>
        <w:rPr>
          <w:rStyle w:val="86"/>
          <w:rFonts w:ascii="仿宋" w:hAnsi="仿宋" w:eastAsia="仿宋"/>
          <w:highlight w:val="none"/>
        </w:rPr>
      </w:pPr>
      <w:r>
        <w:rPr>
          <w:rStyle w:val="86"/>
          <w:rFonts w:hint="eastAsia" w:ascii="仿宋" w:hAnsi="仿宋" w:eastAsia="仿宋"/>
          <w:spacing w:val="18"/>
          <w:highlight w:val="none"/>
        </w:rPr>
        <w:t>承</w:t>
      </w:r>
      <w:r>
        <w:rPr>
          <w:rStyle w:val="86"/>
          <w:rFonts w:hint="eastAsia" w:ascii="仿宋" w:hAnsi="仿宋" w:eastAsia="仿宋"/>
          <w:spacing w:val="15"/>
          <w:highlight w:val="none"/>
        </w:rPr>
        <w:t>包人(盖单位章)：</w:t>
      </w:r>
    </w:p>
    <w:p w14:paraId="76A2BB3B">
      <w:pPr>
        <w:pStyle w:val="22"/>
        <w:spacing w:before="189"/>
        <w:ind w:left="6"/>
        <w:rPr>
          <w:rStyle w:val="86"/>
          <w:rFonts w:hint="eastAsia" w:ascii="仿宋" w:hAnsi="仿宋" w:eastAsia="仿宋"/>
          <w:highlight w:val="none"/>
        </w:rPr>
      </w:pPr>
      <w:r>
        <w:rPr>
          <w:rStyle w:val="86"/>
          <w:rFonts w:hint="eastAsia" w:ascii="仿宋" w:hAnsi="仿宋" w:eastAsia="仿宋"/>
          <w:spacing w:val="-3"/>
          <w:highlight w:val="none"/>
        </w:rPr>
        <w:t>法定代表人</w:t>
      </w:r>
    </w:p>
    <w:p w14:paraId="56A97F8A">
      <w:pPr>
        <w:pStyle w:val="22"/>
        <w:spacing w:before="186"/>
        <w:ind w:left="3"/>
        <w:rPr>
          <w:rStyle w:val="86"/>
          <w:rFonts w:hint="eastAsia" w:ascii="仿宋" w:hAnsi="仿宋" w:eastAsia="仿宋"/>
          <w:spacing w:val="12"/>
          <w:highlight w:val="none"/>
        </w:rPr>
      </w:pPr>
      <w:r>
        <w:rPr>
          <w:rStyle w:val="86"/>
          <w:rFonts w:hint="eastAsia" w:ascii="仿宋" w:hAnsi="仿宋" w:eastAsia="仿宋"/>
          <w:spacing w:val="19"/>
          <w:highlight w:val="none"/>
        </w:rPr>
        <w:t>或</w:t>
      </w:r>
      <w:r>
        <w:rPr>
          <w:rStyle w:val="86"/>
          <w:rFonts w:hint="eastAsia" w:ascii="仿宋" w:hAnsi="仿宋" w:eastAsia="仿宋"/>
          <w:spacing w:val="12"/>
          <w:highlight w:val="none"/>
        </w:rPr>
        <w:t>其委托代理人(签字)：</w:t>
      </w:r>
    </w:p>
    <w:p w14:paraId="479A5FD9">
      <w:pPr>
        <w:pStyle w:val="22"/>
        <w:spacing w:before="186"/>
        <w:rPr>
          <w:rStyle w:val="86"/>
          <w:rFonts w:hint="eastAsia" w:ascii="仿宋" w:hAnsi="仿宋" w:eastAsia="仿宋"/>
          <w:highlight w:val="none"/>
        </w:rPr>
      </w:pPr>
      <w:r>
        <w:rPr>
          <w:rStyle w:val="86"/>
          <w:rFonts w:hint="eastAsia" w:ascii="仿宋" w:hAnsi="仿宋" w:eastAsia="仿宋"/>
          <w:spacing w:val="-1"/>
          <w:highlight w:val="none"/>
        </w:rPr>
        <w:t xml:space="preserve">年      月     日                      </w:t>
      </w:r>
      <w:r>
        <w:rPr>
          <w:rStyle w:val="86"/>
          <w:rFonts w:hint="eastAsia" w:ascii="仿宋" w:hAnsi="仿宋" w:eastAsia="仿宋"/>
          <w:highlight w:val="none"/>
        </w:rPr>
        <w:t xml:space="preserve">    </w:t>
      </w:r>
    </w:p>
    <w:p w14:paraId="48D5994C">
      <w:pPr>
        <w:pStyle w:val="22"/>
        <w:spacing w:before="191"/>
        <w:outlineLvl w:val="1"/>
        <w:rPr>
          <w:rStyle w:val="86"/>
          <w:rFonts w:hint="eastAsia" w:ascii="黑体" w:hAnsi="黑体" w:eastAsia="黑体"/>
          <w:sz w:val="24"/>
          <w:szCs w:val="24"/>
          <w:highlight w:val="none"/>
        </w:rPr>
      </w:pPr>
      <w:r>
        <w:rPr>
          <w:rStyle w:val="86"/>
          <w:rFonts w:hint="eastAsia" w:ascii="黑体" w:hAnsi="黑体" w:eastAsia="黑体"/>
          <w:spacing w:val="-9"/>
          <w:sz w:val="24"/>
          <w:szCs w:val="24"/>
          <w:highlight w:val="none"/>
        </w:rPr>
        <w:br w:type="page"/>
      </w:r>
      <w:r>
        <w:rPr>
          <w:rStyle w:val="86"/>
          <w:rFonts w:hint="eastAsia" w:ascii="黑体" w:hAnsi="黑体" w:eastAsia="黑体"/>
          <w:spacing w:val="-9"/>
          <w:sz w:val="24"/>
          <w:szCs w:val="24"/>
          <w:highlight w:val="none"/>
        </w:rPr>
        <w:t>附</w:t>
      </w:r>
      <w:r>
        <w:rPr>
          <w:rStyle w:val="86"/>
          <w:rFonts w:hint="eastAsia" w:ascii="黑体" w:hAnsi="黑体" w:eastAsia="黑体"/>
          <w:spacing w:val="-7"/>
          <w:sz w:val="24"/>
          <w:szCs w:val="24"/>
          <w:highlight w:val="none"/>
        </w:rPr>
        <w:t>件11</w:t>
      </w:r>
    </w:p>
    <w:p w14:paraId="7555D219">
      <w:pPr>
        <w:pStyle w:val="22"/>
        <w:spacing w:before="168"/>
        <w:ind w:left="2878"/>
        <w:rPr>
          <w:rStyle w:val="86"/>
          <w:rFonts w:hint="eastAsia" w:ascii="黑体" w:hAnsi="黑体" w:eastAsia="黑体"/>
          <w:spacing w:val="18"/>
          <w:sz w:val="28"/>
          <w:szCs w:val="28"/>
          <w:highlight w:val="none"/>
        </w:rPr>
      </w:pPr>
      <w:r>
        <w:rPr>
          <w:rStyle w:val="86"/>
          <w:rFonts w:hint="eastAsia" w:ascii="黑体" w:hAnsi="黑体" w:eastAsia="黑体"/>
          <w:spacing w:val="21"/>
          <w:sz w:val="28"/>
          <w:szCs w:val="28"/>
          <w:highlight w:val="none"/>
        </w:rPr>
        <w:t>保</w:t>
      </w:r>
      <w:r>
        <w:rPr>
          <w:rStyle w:val="86"/>
          <w:rFonts w:hint="eastAsia" w:ascii="黑体" w:hAnsi="黑体" w:eastAsia="黑体"/>
          <w:spacing w:val="18"/>
          <w:sz w:val="28"/>
          <w:szCs w:val="28"/>
          <w:highlight w:val="none"/>
        </w:rPr>
        <w:t>证支付民工工资承诺书</w:t>
      </w:r>
    </w:p>
    <w:p w14:paraId="4CE5CEC2">
      <w:pPr>
        <w:pStyle w:val="32"/>
        <w:ind w:left="0" w:leftChars="0" w:firstLine="0" w:firstLineChars="0"/>
        <w:rPr>
          <w:rStyle w:val="86"/>
          <w:rFonts w:hint="eastAsia" w:ascii="黑体" w:hAnsi="黑体" w:eastAsia="黑体"/>
          <w:spacing w:val="18"/>
          <w:szCs w:val="28"/>
          <w:highlight w:val="none"/>
        </w:rPr>
      </w:pPr>
      <w:r>
        <w:rPr>
          <w:rStyle w:val="86"/>
          <w:rFonts w:hint="eastAsia" w:ascii="黑体" w:hAnsi="黑体" w:eastAsia="黑体"/>
          <w:spacing w:val="18"/>
          <w:szCs w:val="28"/>
          <w:highlight w:val="none"/>
        </w:rPr>
        <w:t xml:space="preserve"> </w:t>
      </w:r>
    </w:p>
    <w:p w14:paraId="0F6A03FE">
      <w:pPr>
        <w:pStyle w:val="22"/>
        <w:spacing w:before="68"/>
        <w:ind w:left="91"/>
        <w:rPr>
          <w:rStyle w:val="86"/>
          <w:rFonts w:hint="eastAsia" w:ascii="仿宋" w:hAnsi="仿宋" w:eastAsia="仿宋"/>
          <w:highlight w:val="none"/>
        </w:rPr>
      </w:pPr>
      <w:r>
        <w:rPr>
          <w:rStyle w:val="86"/>
          <w:rFonts w:hint="eastAsia" w:ascii="仿宋" w:hAnsi="仿宋" w:eastAsia="仿宋"/>
          <w:spacing w:val="-17"/>
          <w:highlight w:val="none"/>
        </w:rPr>
        <w:t>致</w:t>
      </w:r>
      <w:r>
        <w:rPr>
          <w:rStyle w:val="86"/>
          <w:rFonts w:hint="eastAsia" w:ascii="仿宋" w:hAnsi="仿宋" w:eastAsia="仿宋"/>
          <w:spacing w:val="-15"/>
          <w:highlight w:val="none"/>
        </w:rPr>
        <w:t>：</w:t>
      </w:r>
    </w:p>
    <w:p w14:paraId="63DA0F6B">
      <w:pPr>
        <w:pStyle w:val="22"/>
        <w:spacing w:before="232" w:line="420" w:lineRule="auto"/>
        <w:ind w:left="94" w:right="69" w:firstLine="423"/>
        <w:rPr>
          <w:rStyle w:val="86"/>
          <w:rFonts w:hint="eastAsia" w:ascii="仿宋" w:hAnsi="仿宋" w:eastAsia="仿宋"/>
          <w:highlight w:val="none"/>
        </w:rPr>
      </w:pPr>
      <w:r>
        <w:rPr>
          <w:rStyle w:val="86"/>
          <w:rFonts w:hint="eastAsia" w:ascii="仿宋" w:hAnsi="仿宋" w:eastAsia="仿宋"/>
          <w:spacing w:val="-1"/>
          <w:highlight w:val="none"/>
        </w:rPr>
        <w:t>我公</w:t>
      </w:r>
      <w:r>
        <w:rPr>
          <w:rStyle w:val="86"/>
          <w:rFonts w:hint="eastAsia" w:ascii="仿宋" w:hAnsi="仿宋" w:eastAsia="仿宋"/>
          <w:highlight w:val="none"/>
        </w:rPr>
        <w:t xml:space="preserve">司承诺：保证足够的流动资金用于本工程，及时支付工人工资、材料款等费用。并在合同 </w:t>
      </w:r>
      <w:r>
        <w:rPr>
          <w:rStyle w:val="86"/>
          <w:rFonts w:hint="eastAsia" w:ascii="仿宋" w:hAnsi="仿宋" w:eastAsia="仿宋"/>
          <w:spacing w:val="-2"/>
          <w:highlight w:val="none"/>
        </w:rPr>
        <w:t>签订后7个工作日内， 按当地人民政</w:t>
      </w:r>
      <w:r>
        <w:rPr>
          <w:rStyle w:val="86"/>
          <w:rFonts w:hint="eastAsia" w:ascii="仿宋" w:hAnsi="仿宋" w:eastAsia="仿宋"/>
          <w:spacing w:val="-1"/>
          <w:highlight w:val="none"/>
        </w:rPr>
        <w:t>府规定提交民工工资支付担保。我公司若未能及时支付工人(含</w:t>
      </w:r>
      <w:r>
        <w:rPr>
          <w:rStyle w:val="86"/>
          <w:rFonts w:hint="eastAsia" w:ascii="仿宋" w:hAnsi="仿宋" w:eastAsia="仿宋"/>
          <w:highlight w:val="none"/>
        </w:rPr>
        <w:t xml:space="preserve"> </w:t>
      </w:r>
      <w:r>
        <w:rPr>
          <w:rStyle w:val="86"/>
          <w:rFonts w:hint="eastAsia" w:ascii="仿宋" w:hAnsi="仿宋" w:eastAsia="仿宋"/>
          <w:spacing w:val="6"/>
          <w:highlight w:val="none"/>
        </w:rPr>
        <w:t>民</w:t>
      </w:r>
      <w:r>
        <w:rPr>
          <w:rStyle w:val="86"/>
          <w:rFonts w:hint="eastAsia" w:ascii="仿宋" w:hAnsi="仿宋" w:eastAsia="仿宋"/>
          <w:spacing w:val="5"/>
          <w:highlight w:val="none"/>
        </w:rPr>
        <w:t>工</w:t>
      </w:r>
      <w:r>
        <w:rPr>
          <w:rStyle w:val="86"/>
          <w:rFonts w:hint="eastAsia" w:ascii="仿宋" w:hAnsi="仿宋" w:eastAsia="仿宋"/>
          <w:spacing w:val="3"/>
          <w:highlight w:val="none"/>
        </w:rPr>
        <w:t>)工资、材料款等，发包人不负任何责任。</w:t>
      </w:r>
    </w:p>
    <w:p w14:paraId="2A51ADC3">
      <w:pPr>
        <w:pStyle w:val="22"/>
        <w:spacing w:line="420" w:lineRule="auto"/>
        <w:ind w:left="89" w:right="110" w:firstLine="428"/>
        <w:rPr>
          <w:rStyle w:val="86"/>
          <w:rFonts w:hint="eastAsia" w:ascii="仿宋" w:hAnsi="仿宋" w:eastAsia="仿宋"/>
          <w:highlight w:val="none"/>
        </w:rPr>
      </w:pPr>
      <w:r>
        <w:rPr>
          <w:rStyle w:val="86"/>
          <w:rFonts w:hint="eastAsia" w:ascii="仿宋" w:hAnsi="仿宋" w:eastAsia="仿宋"/>
          <w:spacing w:val="11"/>
          <w:highlight w:val="none"/>
        </w:rPr>
        <w:t>我</w:t>
      </w:r>
      <w:r>
        <w:rPr>
          <w:rStyle w:val="86"/>
          <w:rFonts w:hint="eastAsia" w:ascii="仿宋" w:hAnsi="仿宋" w:eastAsia="仿宋"/>
          <w:spacing w:val="10"/>
          <w:highlight w:val="none"/>
        </w:rPr>
        <w:t>方同意并接受，由于未能及时支付工人(含民工)工资或材料款造成相关单位(人员)集体</w:t>
      </w:r>
      <w:r>
        <w:rPr>
          <w:rStyle w:val="86"/>
          <w:rFonts w:hint="eastAsia" w:ascii="仿宋" w:hAnsi="仿宋" w:eastAsia="仿宋"/>
          <w:spacing w:val="1"/>
          <w:highlight w:val="none"/>
        </w:rPr>
        <w:t>上访发包人或相</w:t>
      </w:r>
      <w:r>
        <w:rPr>
          <w:rStyle w:val="86"/>
          <w:rFonts w:hint="eastAsia" w:ascii="仿宋" w:hAnsi="仿宋" w:eastAsia="仿宋"/>
          <w:highlight w:val="none"/>
        </w:rPr>
        <w:t>关行政主管部门，或造成停工、阻塞交通等现象时，按照合同相关约定承担违约责</w:t>
      </w:r>
      <w:r>
        <w:rPr>
          <w:rStyle w:val="86"/>
          <w:rFonts w:hint="eastAsia" w:ascii="仿宋" w:hAnsi="仿宋" w:eastAsia="仿宋"/>
          <w:spacing w:val="-11"/>
          <w:highlight w:val="none"/>
        </w:rPr>
        <w:t>任</w:t>
      </w:r>
      <w:r>
        <w:rPr>
          <w:rStyle w:val="86"/>
          <w:rFonts w:hint="eastAsia" w:ascii="仿宋" w:hAnsi="仿宋" w:eastAsia="仿宋"/>
          <w:spacing w:val="-10"/>
          <w:highlight w:val="none"/>
        </w:rPr>
        <w:t>。</w:t>
      </w:r>
    </w:p>
    <w:p w14:paraId="5D8480DA">
      <w:pPr>
        <w:pStyle w:val="22"/>
        <w:spacing w:before="1"/>
        <w:ind w:left="509"/>
        <w:rPr>
          <w:rStyle w:val="86"/>
          <w:rFonts w:hint="eastAsia" w:ascii="仿宋" w:hAnsi="仿宋" w:eastAsia="仿宋"/>
          <w:highlight w:val="none"/>
        </w:rPr>
      </w:pPr>
      <w:r>
        <w:rPr>
          <w:rStyle w:val="86"/>
          <w:rFonts w:hint="eastAsia" w:ascii="仿宋" w:hAnsi="仿宋" w:eastAsia="仿宋"/>
          <w:spacing w:val="-8"/>
          <w:highlight w:val="none"/>
        </w:rPr>
        <w:t>特</w:t>
      </w:r>
      <w:r>
        <w:rPr>
          <w:rStyle w:val="86"/>
          <w:rFonts w:hint="eastAsia" w:ascii="仿宋" w:hAnsi="仿宋" w:eastAsia="仿宋"/>
          <w:spacing w:val="-6"/>
          <w:highlight w:val="none"/>
        </w:rPr>
        <w:t>此承诺。</w:t>
      </w:r>
    </w:p>
    <w:p w14:paraId="7FD25CCB">
      <w:pPr>
        <w:pStyle w:val="22"/>
        <w:spacing w:line="278" w:lineRule="auto"/>
        <w:rPr>
          <w:rStyle w:val="86"/>
          <w:rFonts w:hint="eastAsia" w:ascii="Arial" w:hAnsi="Calibri"/>
          <w:highlight w:val="none"/>
        </w:rPr>
      </w:pPr>
      <w:r>
        <w:rPr>
          <w:rStyle w:val="86"/>
          <w:rFonts w:ascii="Arial"/>
          <w:highlight w:val="none"/>
        </w:rPr>
        <w:t xml:space="preserve"> </w:t>
      </w:r>
    </w:p>
    <w:p w14:paraId="49D83200">
      <w:pPr>
        <w:pStyle w:val="22"/>
        <w:spacing w:line="278" w:lineRule="auto"/>
        <w:rPr>
          <w:rStyle w:val="86"/>
          <w:rFonts w:ascii="Arial"/>
          <w:highlight w:val="none"/>
        </w:rPr>
      </w:pPr>
      <w:r>
        <w:rPr>
          <w:rStyle w:val="86"/>
          <w:rFonts w:ascii="Arial"/>
          <w:highlight w:val="none"/>
        </w:rPr>
        <w:t xml:space="preserve"> </w:t>
      </w:r>
    </w:p>
    <w:p w14:paraId="5107F8C5">
      <w:pPr>
        <w:pStyle w:val="22"/>
        <w:spacing w:line="278" w:lineRule="auto"/>
        <w:rPr>
          <w:rStyle w:val="86"/>
          <w:rFonts w:ascii="Arial"/>
          <w:highlight w:val="none"/>
        </w:rPr>
      </w:pPr>
      <w:r>
        <w:rPr>
          <w:rStyle w:val="86"/>
          <w:rFonts w:ascii="Arial"/>
          <w:highlight w:val="none"/>
        </w:rPr>
        <w:t xml:space="preserve"> </w:t>
      </w:r>
    </w:p>
    <w:p w14:paraId="41354BE5">
      <w:pPr>
        <w:pStyle w:val="22"/>
        <w:spacing w:line="278" w:lineRule="auto"/>
        <w:rPr>
          <w:rStyle w:val="86"/>
          <w:rFonts w:ascii="Arial"/>
          <w:highlight w:val="none"/>
        </w:rPr>
      </w:pPr>
      <w:r>
        <w:rPr>
          <w:rStyle w:val="86"/>
          <w:rFonts w:ascii="Arial"/>
          <w:highlight w:val="none"/>
        </w:rPr>
        <w:t xml:space="preserve"> </w:t>
      </w:r>
    </w:p>
    <w:p w14:paraId="5FF2AD30">
      <w:pPr>
        <w:pStyle w:val="22"/>
        <w:spacing w:before="69"/>
        <w:ind w:left="4084"/>
        <w:rPr>
          <w:rStyle w:val="86"/>
          <w:rFonts w:ascii="仿宋" w:hAnsi="仿宋" w:eastAsia="仿宋"/>
          <w:highlight w:val="none"/>
        </w:rPr>
      </w:pPr>
      <w:r>
        <w:rPr>
          <w:rStyle w:val="86"/>
          <w:rFonts w:hint="eastAsia" w:ascii="仿宋" w:hAnsi="仿宋" w:eastAsia="仿宋"/>
          <w:spacing w:val="10"/>
          <w:highlight w:val="none"/>
        </w:rPr>
        <w:t>承包人：(盖章)</w:t>
      </w:r>
    </w:p>
    <w:p w14:paraId="6B286749">
      <w:pPr>
        <w:pStyle w:val="22"/>
        <w:spacing w:line="319" w:lineRule="auto"/>
        <w:rPr>
          <w:rStyle w:val="86"/>
          <w:rFonts w:hint="eastAsia" w:ascii="Arial" w:hAnsi="Calibri"/>
          <w:highlight w:val="none"/>
        </w:rPr>
      </w:pPr>
      <w:r>
        <w:rPr>
          <w:rStyle w:val="86"/>
          <w:rFonts w:ascii="Arial"/>
          <w:highlight w:val="none"/>
        </w:rPr>
        <w:t xml:space="preserve"> </w:t>
      </w:r>
    </w:p>
    <w:p w14:paraId="6635A53A">
      <w:pPr>
        <w:pStyle w:val="22"/>
        <w:spacing w:line="319" w:lineRule="auto"/>
        <w:rPr>
          <w:rStyle w:val="86"/>
          <w:rFonts w:ascii="Arial"/>
          <w:highlight w:val="none"/>
        </w:rPr>
      </w:pPr>
      <w:r>
        <w:rPr>
          <w:rStyle w:val="86"/>
          <w:rFonts w:ascii="Arial"/>
          <w:highlight w:val="none"/>
        </w:rPr>
        <w:t xml:space="preserve"> </w:t>
      </w:r>
    </w:p>
    <w:p w14:paraId="23CC00A0">
      <w:pPr>
        <w:pStyle w:val="22"/>
        <w:spacing w:before="68"/>
        <w:ind w:left="4091"/>
        <w:rPr>
          <w:rStyle w:val="86"/>
          <w:rFonts w:ascii="仿宋" w:hAnsi="仿宋" w:eastAsia="仿宋"/>
          <w:highlight w:val="none"/>
        </w:rPr>
      </w:pPr>
      <w:r>
        <w:rPr>
          <w:rStyle w:val="86"/>
          <w:rFonts w:hint="eastAsia" w:ascii="仿宋" w:hAnsi="仿宋" w:eastAsia="仿宋"/>
          <w:spacing w:val="5"/>
          <w:highlight w:val="none"/>
        </w:rPr>
        <w:t>法定代表人或委托代理人：(签章</w:t>
      </w:r>
      <w:r>
        <w:rPr>
          <w:rStyle w:val="86"/>
          <w:rFonts w:hint="eastAsia" w:ascii="仿宋" w:hAnsi="仿宋" w:eastAsia="仿宋"/>
          <w:spacing w:val="3"/>
          <w:highlight w:val="none"/>
        </w:rPr>
        <w:t>)</w:t>
      </w:r>
    </w:p>
    <w:p w14:paraId="361EBFB3">
      <w:pPr>
        <w:pStyle w:val="22"/>
        <w:spacing w:line="276" w:lineRule="auto"/>
        <w:rPr>
          <w:rStyle w:val="86"/>
          <w:rFonts w:hint="eastAsia" w:ascii="Arial" w:hAnsi="Calibri"/>
          <w:highlight w:val="none"/>
        </w:rPr>
      </w:pPr>
      <w:r>
        <w:rPr>
          <w:rStyle w:val="86"/>
          <w:rFonts w:ascii="Arial"/>
          <w:highlight w:val="none"/>
        </w:rPr>
        <w:t xml:space="preserve"> </w:t>
      </w:r>
    </w:p>
    <w:p w14:paraId="27197240">
      <w:pPr>
        <w:pStyle w:val="22"/>
        <w:spacing w:line="276" w:lineRule="auto"/>
        <w:rPr>
          <w:rStyle w:val="86"/>
          <w:rFonts w:ascii="Arial"/>
          <w:highlight w:val="none"/>
        </w:rPr>
      </w:pPr>
      <w:r>
        <w:rPr>
          <w:rStyle w:val="86"/>
          <w:rFonts w:ascii="Arial"/>
          <w:highlight w:val="none"/>
        </w:rPr>
        <w:t xml:space="preserve"> </w:t>
      </w:r>
    </w:p>
    <w:p w14:paraId="4EBB419B">
      <w:pPr>
        <w:pStyle w:val="83"/>
        <w:widowControl/>
        <w:adjustRightInd w:val="0"/>
        <w:snapToGrid w:val="0"/>
        <w:spacing w:after="50" w:line="360" w:lineRule="auto"/>
        <w:jc w:val="center"/>
        <w:outlineLvl w:val="0"/>
        <w:rPr>
          <w:rFonts w:hint="eastAsia" w:ascii="宋体" w:hAnsi="宋体"/>
          <w:b/>
          <w:bCs/>
          <w:kern w:val="44"/>
          <w:sz w:val="28"/>
          <w:szCs w:val="28"/>
          <w:highlight w:val="none"/>
        </w:rPr>
      </w:pPr>
      <w:r>
        <w:rPr>
          <w:rStyle w:val="86"/>
          <w:rFonts w:hint="eastAsia" w:ascii="仿宋" w:hAnsi="仿宋" w:eastAsia="仿宋"/>
          <w:spacing w:val="-35"/>
          <w:sz w:val="28"/>
          <w:szCs w:val="28"/>
          <w:highlight w:val="none"/>
        </w:rPr>
        <w:t>年  月  日</w:t>
      </w:r>
    </w:p>
    <w:p w14:paraId="37B3924E">
      <w:pPr>
        <w:rPr>
          <w:rFonts w:hint="eastAsia"/>
        </w:rPr>
      </w:pPr>
    </w:p>
    <w:p w14:paraId="25980F4E">
      <w:pPr>
        <w:rPr>
          <w:rFonts w:hint="eastAsia"/>
        </w:rPr>
      </w:pPr>
    </w:p>
    <w:p w14:paraId="7EE3AC29">
      <w:pPr>
        <w:rPr>
          <w:rFonts w:hint="eastAsia"/>
        </w:rPr>
      </w:pPr>
    </w:p>
    <w:p w14:paraId="6BFA420C">
      <w:pPr>
        <w:rPr>
          <w:rFonts w:hint="eastAsia"/>
        </w:rPr>
      </w:pPr>
    </w:p>
    <w:p w14:paraId="7FC958DA">
      <w:pPr>
        <w:rPr>
          <w:rFonts w:hint="eastAsia"/>
        </w:rPr>
      </w:pPr>
    </w:p>
    <w:p w14:paraId="25130266">
      <w:pPr>
        <w:rPr>
          <w:rFonts w:hint="eastAsia"/>
        </w:rPr>
      </w:pPr>
    </w:p>
    <w:p w14:paraId="0F72D1BF">
      <w:pPr>
        <w:rPr>
          <w:rFonts w:hint="eastAsia"/>
        </w:rPr>
      </w:pPr>
    </w:p>
    <w:p w14:paraId="2B731B4D">
      <w:pPr>
        <w:rPr>
          <w:rFonts w:hint="eastAsia"/>
        </w:rPr>
      </w:pPr>
      <w:r>
        <w:rPr>
          <w:rFonts w:hint="eastAsia"/>
        </w:rPr>
        <w:br w:type="page"/>
      </w:r>
    </w:p>
    <w:p w14:paraId="00A59849">
      <w:pPr>
        <w:pStyle w:val="2"/>
        <w:jc w:val="center"/>
        <w:rPr>
          <w:rFonts w:hint="eastAsia"/>
        </w:rPr>
      </w:pPr>
      <w:bookmarkStart w:id="228" w:name="_Toc256000338"/>
      <w:r>
        <w:rPr>
          <w:rFonts w:hint="eastAsia"/>
          <w:highlight w:val="white"/>
        </w:rPr>
        <w:t>第二卷</w:t>
      </w:r>
      <w:bookmarkEnd w:id="228"/>
    </w:p>
    <w:p w14:paraId="2FC77AE8">
      <w:pPr>
        <w:pStyle w:val="2"/>
        <w:jc w:val="center"/>
        <w:rPr>
          <w:rFonts w:hint="eastAsia" w:ascii="宋体" w:hAnsi="宋体" w:cs="宋体"/>
          <w:bCs w:val="0"/>
          <w:sz w:val="32"/>
          <w:szCs w:val="32"/>
        </w:rPr>
      </w:pPr>
      <w:r>
        <w:rPr>
          <w:rFonts w:hint="eastAsia"/>
          <w:highlight w:val="white"/>
        </w:rPr>
        <w:br w:type="page"/>
      </w:r>
      <w:bookmarkStart w:id="229" w:name="_Toc256000339"/>
      <w:r>
        <w:rPr>
          <w:rFonts w:hint="eastAsia" w:ascii="宋体" w:hAnsi="宋体" w:cs="宋体"/>
          <w:bCs w:val="0"/>
          <w:sz w:val="32"/>
          <w:szCs w:val="32"/>
          <w:highlight w:val="white"/>
        </w:rPr>
        <w:t>第五章  发包人要求</w:t>
      </w:r>
      <w:bookmarkEnd w:id="229"/>
    </w:p>
    <w:p w14:paraId="2D584B15">
      <w:pPr>
        <w:rPr>
          <w:rFonts w:hint="eastAsia"/>
          <w:highlight w:val="red"/>
        </w:rPr>
      </w:pPr>
      <w:bookmarkStart w:id="230" w:name="EBa8867a196af34d03b9c4b2e90055dc8e"/>
    </w:p>
    <w:p w14:paraId="46CC1293">
      <w:pPr>
        <w:spacing w:line="400" w:lineRule="exact"/>
        <w:jc w:val="center"/>
        <w:rPr>
          <w:rFonts w:hint="eastAsia" w:ascii="Times New Roman" w:hAnsi="Times New Roman"/>
          <w:b/>
          <w:sz w:val="32"/>
          <w:szCs w:val="32"/>
        </w:rPr>
      </w:pPr>
      <w:r>
        <w:rPr>
          <w:rFonts w:hint="eastAsia" w:ascii="Times New Roman" w:hAnsi="Times New Roman"/>
          <w:b/>
          <w:sz w:val="32"/>
          <w:szCs w:val="32"/>
        </w:rPr>
        <w:t>发包人要求</w:t>
      </w:r>
    </w:p>
    <w:p w14:paraId="7CEEC6E9">
      <w:pPr>
        <w:spacing w:line="400" w:lineRule="exact"/>
        <w:rPr>
          <w:rFonts w:hint="eastAsia" w:ascii="Times New Roman" w:hAnsi="Times New Roman"/>
          <w:szCs w:val="24"/>
        </w:rPr>
      </w:pPr>
    </w:p>
    <w:p w14:paraId="1B827DA0">
      <w:pPr>
        <w:spacing w:line="440" w:lineRule="exact"/>
        <w:ind w:firstLine="410" w:firstLineChars="171"/>
        <w:rPr>
          <w:rFonts w:hint="eastAsia" w:ascii="Times New Roman" w:hAnsi="Times New Roman"/>
          <w:sz w:val="24"/>
          <w:szCs w:val="24"/>
        </w:rPr>
      </w:pPr>
      <w:r>
        <w:rPr>
          <w:rFonts w:hint="eastAsia" w:ascii="Times New Roman" w:hAnsi="Times New Roman"/>
          <w:sz w:val="24"/>
          <w:szCs w:val="24"/>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0BAEE56D">
      <w:pPr>
        <w:spacing w:line="360" w:lineRule="auto"/>
        <w:ind w:firstLine="240" w:firstLineChars="100"/>
        <w:rPr>
          <w:rFonts w:hint="eastAsia" w:ascii="宋体" w:hAnsi="宋体"/>
          <w:sz w:val="24"/>
          <w:szCs w:val="24"/>
        </w:rPr>
      </w:pPr>
      <w:r>
        <w:rPr>
          <w:rFonts w:hint="eastAsia" w:ascii="Times New Roman" w:hAnsi="Times New Roman"/>
          <w:sz w:val="24"/>
          <w:szCs w:val="24"/>
        </w:rPr>
        <w:t>附件：</w:t>
      </w:r>
    </w:p>
    <w:p w14:paraId="3AE3DD3E">
      <w:pPr>
        <w:rPr>
          <w:rFonts w:hint="eastAsia"/>
          <w:color w:val="000080"/>
          <w:sz w:val="20"/>
          <w:highlight w:val="white"/>
        </w:rPr>
      </w:pPr>
      <w:r>
        <w:rPr>
          <w:rFonts w:hint="eastAsia"/>
          <w:color w:val="000080"/>
          <w:sz w:val="20"/>
          <w:highlight w:val="white"/>
        </w:rPr>
        <w:t xml:space="preserve"> </w:t>
      </w:r>
      <w:bookmarkEnd w:id="230"/>
      <w:r>
        <w:rPr>
          <w:rFonts w:hint="eastAsia"/>
          <w:highlight w:val="white"/>
        </w:rPr>
        <w:br w:type="page"/>
      </w:r>
    </w:p>
    <w:p w14:paraId="5E682338">
      <w:pPr>
        <w:pStyle w:val="2"/>
        <w:jc w:val="center"/>
      </w:pPr>
      <w:bookmarkStart w:id="231" w:name="_Toc256000340"/>
      <w:r>
        <w:rPr>
          <w:rFonts w:hint="eastAsia" w:ascii="宋体" w:hAnsi="宋体" w:cs="宋体"/>
          <w:bCs w:val="0"/>
          <w:sz w:val="32"/>
          <w:szCs w:val="32"/>
          <w:highlight w:val="white"/>
        </w:rPr>
        <w:t>第六章  发包人提供的资料</w:t>
      </w:r>
      <w:bookmarkEnd w:id="231"/>
    </w:p>
    <w:p w14:paraId="75169AE7">
      <w:pPr>
        <w:rPr>
          <w:highlight w:val="red"/>
        </w:rPr>
      </w:pPr>
      <w:bookmarkStart w:id="232" w:name="EB0f1198d5774d4e12b96ab919f9406fa7"/>
    </w:p>
    <w:p w14:paraId="6CAC9710">
      <w:pPr>
        <w:spacing w:line="400" w:lineRule="exact"/>
        <w:jc w:val="center"/>
        <w:rPr>
          <w:rFonts w:hint="eastAsia" w:ascii="Times New Roman" w:hAnsi="Times New Roman"/>
          <w:b/>
          <w:sz w:val="32"/>
          <w:szCs w:val="32"/>
        </w:rPr>
      </w:pPr>
      <w:r>
        <w:rPr>
          <w:rFonts w:hint="eastAsia" w:ascii="Times New Roman" w:hAnsi="Times New Roman"/>
          <w:b/>
          <w:sz w:val="32"/>
          <w:szCs w:val="32"/>
        </w:rPr>
        <w:t>发包人提供的资料</w:t>
      </w:r>
    </w:p>
    <w:p w14:paraId="3D5FD2E2">
      <w:pPr>
        <w:rPr>
          <w:rFonts w:hint="eastAsia" w:ascii="Times New Roman" w:hAnsi="Times New Roman"/>
          <w:b/>
          <w:sz w:val="30"/>
          <w:szCs w:val="30"/>
        </w:rPr>
      </w:pPr>
    </w:p>
    <w:p w14:paraId="1112D035">
      <w:pPr>
        <w:spacing w:line="360" w:lineRule="auto"/>
        <w:ind w:firstLine="480" w:firstLineChars="200"/>
        <w:rPr>
          <w:rFonts w:hint="eastAsia" w:ascii="黑体" w:hAnsi="宋体" w:eastAsia="黑体"/>
          <w:sz w:val="24"/>
          <w:szCs w:val="24"/>
        </w:rPr>
      </w:pPr>
      <w:r>
        <w:rPr>
          <w:rFonts w:hint="eastAsia" w:ascii="黑体" w:hAnsi="宋体" w:eastAsia="黑体"/>
          <w:sz w:val="24"/>
          <w:szCs w:val="24"/>
        </w:rPr>
        <w:t>一、项目概况</w:t>
      </w:r>
    </w:p>
    <w:p w14:paraId="5E8C856E">
      <w:pPr>
        <w:spacing w:line="360" w:lineRule="auto"/>
        <w:ind w:firstLine="480" w:firstLineChars="200"/>
        <w:rPr>
          <w:rFonts w:hint="eastAsia" w:ascii="黑体" w:hAnsi="宋体" w:eastAsia="黑体"/>
          <w:sz w:val="24"/>
          <w:szCs w:val="24"/>
        </w:rPr>
      </w:pPr>
      <w:r>
        <w:rPr>
          <w:rFonts w:hint="eastAsia" w:ascii="黑体" w:hAnsi="宋体" w:eastAsia="黑体"/>
          <w:sz w:val="24"/>
          <w:szCs w:val="24"/>
        </w:rPr>
        <w:t>二、发包人提供的资料</w:t>
      </w:r>
    </w:p>
    <w:p w14:paraId="77AA7A38">
      <w:pPr>
        <w:spacing w:line="360" w:lineRule="auto"/>
        <w:ind w:firstLine="480" w:firstLineChars="200"/>
        <w:rPr>
          <w:rFonts w:hint="eastAsia" w:ascii="宋体" w:hAnsi="宋体"/>
          <w:sz w:val="24"/>
          <w:szCs w:val="24"/>
        </w:rPr>
      </w:pPr>
      <w:r>
        <w:rPr>
          <w:rFonts w:hint="eastAsia" w:ascii="宋体" w:hAnsi="宋体"/>
          <w:sz w:val="24"/>
          <w:szCs w:val="24"/>
        </w:rPr>
        <w:t>1. 施工场地及毗邻区域内的供水、排水、供电、供气、供热、通信、广播电视等地下管线资料、气象和水文观测资料，相邻建筑物和构筑物、地下工程的有关资料，以及其他与建设工程有关的原始资料。</w:t>
      </w:r>
    </w:p>
    <w:p w14:paraId="03F72A7B">
      <w:pPr>
        <w:spacing w:line="360" w:lineRule="auto"/>
        <w:ind w:firstLine="480" w:firstLineChars="200"/>
        <w:rPr>
          <w:rFonts w:hint="eastAsia" w:ascii="宋体" w:hAnsi="宋体"/>
          <w:sz w:val="24"/>
          <w:szCs w:val="24"/>
        </w:rPr>
      </w:pPr>
      <w:r>
        <w:rPr>
          <w:rFonts w:hint="eastAsia" w:ascii="宋体" w:hAnsi="宋体"/>
          <w:sz w:val="24"/>
          <w:szCs w:val="24"/>
        </w:rPr>
        <w:t>2. 定位放线的基准点、基准线和基准标高。</w:t>
      </w:r>
    </w:p>
    <w:p w14:paraId="659FDDCB">
      <w:pPr>
        <w:spacing w:line="360" w:lineRule="auto"/>
        <w:ind w:firstLine="480" w:firstLineChars="200"/>
        <w:rPr>
          <w:rFonts w:hint="eastAsia" w:ascii="宋体" w:hAnsi="宋体"/>
          <w:sz w:val="24"/>
          <w:szCs w:val="24"/>
        </w:rPr>
      </w:pPr>
      <w:r>
        <w:rPr>
          <w:rFonts w:hint="eastAsia" w:ascii="宋体" w:hAnsi="宋体"/>
          <w:sz w:val="24"/>
          <w:szCs w:val="24"/>
        </w:rPr>
        <w:t>3. 发包人取得的有关审批、核准和备案材料，如规划许可证。</w:t>
      </w:r>
    </w:p>
    <w:p w14:paraId="104C308E">
      <w:pPr>
        <w:spacing w:line="360" w:lineRule="auto"/>
        <w:ind w:firstLine="480" w:firstLineChars="200"/>
        <w:rPr>
          <w:rFonts w:hint="eastAsia" w:ascii="宋体" w:hAnsi="宋体"/>
          <w:sz w:val="24"/>
          <w:szCs w:val="24"/>
        </w:rPr>
      </w:pPr>
      <w:r>
        <w:rPr>
          <w:rFonts w:hint="eastAsia" w:ascii="宋体" w:hAnsi="宋体"/>
          <w:sz w:val="24"/>
          <w:szCs w:val="24"/>
        </w:rPr>
        <w:t>4．其他资料。</w:t>
      </w:r>
    </w:p>
    <w:p w14:paraId="502C9263">
      <w:pPr>
        <w:rPr>
          <w:rFonts w:hint="eastAsia"/>
          <w:color w:val="000080"/>
          <w:sz w:val="20"/>
          <w:highlight w:val="white"/>
        </w:rPr>
      </w:pPr>
      <w:r>
        <w:rPr>
          <w:rFonts w:hint="eastAsia"/>
          <w:color w:val="000080"/>
          <w:sz w:val="20"/>
          <w:highlight w:val="white"/>
        </w:rPr>
        <w:t xml:space="preserve"> </w:t>
      </w:r>
      <w:bookmarkEnd w:id="232"/>
      <w:r>
        <w:rPr>
          <w:highlight w:val="white"/>
        </w:rPr>
        <w:br w:type="page"/>
      </w:r>
    </w:p>
    <w:p w14:paraId="545EAFE5">
      <w:pPr>
        <w:spacing w:line="400" w:lineRule="exact"/>
      </w:pPr>
    </w:p>
    <w:p w14:paraId="4A0A729D">
      <w:pPr>
        <w:spacing w:line="400" w:lineRule="exact"/>
      </w:pPr>
    </w:p>
    <w:p w14:paraId="6F455EF3">
      <w:pPr>
        <w:spacing w:line="400" w:lineRule="exact"/>
      </w:pPr>
    </w:p>
    <w:p w14:paraId="6F7AC869">
      <w:pPr>
        <w:spacing w:line="400" w:lineRule="exact"/>
      </w:pPr>
    </w:p>
    <w:p w14:paraId="41D26BB0">
      <w:pPr>
        <w:pStyle w:val="2"/>
        <w:jc w:val="center"/>
      </w:pPr>
      <w:bookmarkStart w:id="233" w:name="_Toc256000341"/>
      <w:r>
        <w:rPr>
          <w:rFonts w:hint="eastAsia"/>
          <w:highlight w:val="white"/>
        </w:rPr>
        <w:t>第三卷</w:t>
      </w:r>
      <w:bookmarkEnd w:id="233"/>
    </w:p>
    <w:p w14:paraId="28D52195">
      <w:pPr>
        <w:spacing w:line="400" w:lineRule="exact"/>
        <w:rPr>
          <w:rFonts w:hint="eastAsia"/>
        </w:rPr>
      </w:pPr>
      <w:r>
        <w:rPr>
          <w:rFonts w:ascii="黑体" w:hAnsi="黑体" w:eastAsia="黑体"/>
          <w:b/>
          <w:bCs/>
          <w:sz w:val="32"/>
          <w:highlight w:val="white"/>
        </w:rPr>
        <w:br w:type="page"/>
      </w:r>
    </w:p>
    <w:p w14:paraId="4F06636B">
      <w:pPr>
        <w:pStyle w:val="2"/>
        <w:jc w:val="center"/>
        <w:rPr>
          <w:rFonts w:hint="eastAsia" w:ascii="宋体" w:hAnsi="宋体" w:cs="宋体"/>
          <w:bCs w:val="0"/>
          <w:sz w:val="32"/>
          <w:szCs w:val="32"/>
        </w:rPr>
      </w:pPr>
      <w:bookmarkStart w:id="234" w:name="_Toc256000342"/>
      <w:r>
        <w:rPr>
          <w:rFonts w:hint="eastAsia" w:ascii="宋体" w:hAnsi="宋体" w:cs="宋体"/>
          <w:bCs w:val="0"/>
          <w:sz w:val="32"/>
          <w:szCs w:val="32"/>
          <w:highlight w:val="white"/>
        </w:rPr>
        <w:t>第七章  投标文件格式</w:t>
      </w:r>
      <w:bookmarkEnd w:id="234"/>
    </w:p>
    <w:p w14:paraId="7FAF68F8">
      <w:pPr>
        <w:spacing w:line="400" w:lineRule="exact"/>
      </w:pPr>
    </w:p>
    <w:p w14:paraId="64404326">
      <w:pPr>
        <w:spacing w:line="400" w:lineRule="exact"/>
        <w:rPr>
          <w:sz w:val="24"/>
        </w:rPr>
      </w:pPr>
      <w:r>
        <w:rPr>
          <w:sz w:val="24"/>
          <w:highlight w:val="white"/>
        </w:rPr>
        <w:t xml:space="preserve"> </w:t>
      </w:r>
    </w:p>
    <w:p w14:paraId="058B71FF">
      <w:pPr>
        <w:spacing w:line="400" w:lineRule="exact"/>
        <w:rPr>
          <w:sz w:val="24"/>
        </w:rPr>
      </w:pPr>
    </w:p>
    <w:p w14:paraId="56ABB4CC">
      <w:pPr>
        <w:spacing w:line="400" w:lineRule="exact"/>
        <w:rPr>
          <w:sz w:val="24"/>
        </w:rPr>
      </w:pPr>
    </w:p>
    <w:p w14:paraId="7D51170E">
      <w:pPr>
        <w:spacing w:line="400" w:lineRule="exact"/>
        <w:rPr>
          <w:sz w:val="24"/>
        </w:rPr>
      </w:pPr>
    </w:p>
    <w:p w14:paraId="7DB73750">
      <w:pPr>
        <w:spacing w:line="400" w:lineRule="exact"/>
        <w:rPr>
          <w:sz w:val="24"/>
        </w:rPr>
      </w:pPr>
    </w:p>
    <w:p w14:paraId="2410D72E">
      <w:pPr>
        <w:spacing w:line="400" w:lineRule="exact"/>
        <w:rPr>
          <w:sz w:val="24"/>
        </w:rPr>
      </w:pPr>
    </w:p>
    <w:p w14:paraId="01782468">
      <w:pPr>
        <w:spacing w:line="400" w:lineRule="exact"/>
        <w:rPr>
          <w:sz w:val="24"/>
        </w:rPr>
      </w:pPr>
    </w:p>
    <w:p w14:paraId="1FFEBBE7">
      <w:pPr>
        <w:spacing w:line="400" w:lineRule="exact"/>
        <w:rPr>
          <w:sz w:val="24"/>
        </w:rPr>
      </w:pPr>
    </w:p>
    <w:p w14:paraId="5671F0FD">
      <w:pPr>
        <w:spacing w:line="400" w:lineRule="exact"/>
        <w:rPr>
          <w:sz w:val="24"/>
        </w:rPr>
      </w:pPr>
    </w:p>
    <w:p w14:paraId="4AAFA1D9">
      <w:pPr>
        <w:spacing w:line="400" w:lineRule="exact"/>
        <w:rPr>
          <w:sz w:val="24"/>
        </w:rPr>
      </w:pPr>
    </w:p>
    <w:p w14:paraId="6C3610CA">
      <w:pPr>
        <w:spacing w:line="400" w:lineRule="exact"/>
        <w:rPr>
          <w:sz w:val="24"/>
        </w:rPr>
      </w:pPr>
    </w:p>
    <w:p w14:paraId="650170B5">
      <w:pPr>
        <w:spacing w:line="400" w:lineRule="exact"/>
        <w:rPr>
          <w:sz w:val="24"/>
        </w:rPr>
      </w:pPr>
    </w:p>
    <w:p w14:paraId="2845513F">
      <w:pPr>
        <w:spacing w:line="400" w:lineRule="exact"/>
        <w:rPr>
          <w:sz w:val="24"/>
        </w:rPr>
      </w:pPr>
    </w:p>
    <w:p w14:paraId="068F3BC5">
      <w:pPr>
        <w:spacing w:line="400" w:lineRule="exact"/>
        <w:rPr>
          <w:sz w:val="24"/>
        </w:rPr>
      </w:pPr>
    </w:p>
    <w:p w14:paraId="6C509C85">
      <w:pPr>
        <w:spacing w:line="400" w:lineRule="exact"/>
        <w:rPr>
          <w:sz w:val="24"/>
        </w:rPr>
      </w:pPr>
    </w:p>
    <w:p w14:paraId="62E8FC85">
      <w:pPr>
        <w:spacing w:line="400" w:lineRule="exact"/>
        <w:rPr>
          <w:sz w:val="24"/>
        </w:rPr>
      </w:pPr>
    </w:p>
    <w:p w14:paraId="3B4961D2">
      <w:pPr>
        <w:spacing w:line="400" w:lineRule="exact"/>
        <w:rPr>
          <w:sz w:val="24"/>
        </w:rPr>
      </w:pPr>
    </w:p>
    <w:p w14:paraId="47158F4A">
      <w:pPr>
        <w:spacing w:line="400" w:lineRule="exact"/>
        <w:rPr>
          <w:sz w:val="24"/>
        </w:rPr>
      </w:pPr>
    </w:p>
    <w:p w14:paraId="6353F270">
      <w:pPr>
        <w:spacing w:line="400" w:lineRule="exact"/>
        <w:rPr>
          <w:sz w:val="24"/>
        </w:rPr>
      </w:pPr>
    </w:p>
    <w:p w14:paraId="6A90E0EE">
      <w:pPr>
        <w:spacing w:line="400" w:lineRule="exact"/>
        <w:rPr>
          <w:sz w:val="24"/>
        </w:rPr>
      </w:pPr>
    </w:p>
    <w:p w14:paraId="6D2F742B">
      <w:pPr>
        <w:spacing w:line="400" w:lineRule="exact"/>
        <w:rPr>
          <w:sz w:val="24"/>
        </w:rPr>
      </w:pPr>
    </w:p>
    <w:p w14:paraId="2448C607">
      <w:pPr>
        <w:spacing w:line="400" w:lineRule="exact"/>
        <w:rPr>
          <w:rFonts w:eastAsia="黑体"/>
          <w:sz w:val="20"/>
          <w:szCs w:val="20"/>
        </w:rPr>
      </w:pPr>
      <w:r>
        <w:rPr>
          <w:rFonts w:hint="eastAsia" w:ascii="宋体" w:hAnsi="宋体"/>
          <w:sz w:val="24"/>
          <w:highlight w:val="white"/>
        </w:rPr>
        <w:t>注：“_______（盖单位章）”的，下划线上填写单位全称（法定名称），在单位全称上加盖单位章，单位全称应与单位章一致，联合体投标的，投标人名称应填写联合体牵头人名称。</w:t>
      </w:r>
      <w:r>
        <w:rPr>
          <w:highlight w:val="white"/>
        </w:rPr>
        <w:br w:type="page"/>
      </w:r>
    </w:p>
    <w:p w14:paraId="1BA65465">
      <w:pPr>
        <w:jc w:val="center"/>
        <w:rPr>
          <w:rFonts w:eastAsia="黑体"/>
          <w:sz w:val="28"/>
          <w:szCs w:val="28"/>
        </w:rPr>
      </w:pPr>
      <w:r>
        <w:rPr>
          <w:rFonts w:hint="eastAsia" w:eastAsia="黑体"/>
          <w:sz w:val="28"/>
          <w:szCs w:val="28"/>
          <w:highlight w:val="white"/>
          <w:u w:val="single"/>
        </w:rPr>
        <w:t xml:space="preserve">        </w:t>
      </w:r>
      <w:r>
        <w:rPr>
          <w:rFonts w:eastAsia="黑体"/>
          <w:sz w:val="28"/>
          <w:szCs w:val="28"/>
          <w:highlight w:val="white"/>
        </w:rPr>
        <w:t>（项目名称）</w:t>
      </w:r>
      <w:r>
        <w:rPr>
          <w:rFonts w:hint="eastAsia" w:eastAsia="黑体"/>
          <w:sz w:val="28"/>
          <w:szCs w:val="28"/>
          <w:highlight w:val="white"/>
        </w:rPr>
        <w:t>设计施工总承包</w:t>
      </w:r>
      <w:r>
        <w:rPr>
          <w:rFonts w:hint="eastAsia" w:ascii="宋体" w:hAnsi="宋体"/>
          <w:b/>
          <w:sz w:val="28"/>
          <w:szCs w:val="28"/>
          <w:highlight w:val="white"/>
          <w:u w:val="single"/>
        </w:rPr>
        <w:t xml:space="preserve">    </w:t>
      </w:r>
      <w:r>
        <w:rPr>
          <w:rFonts w:hint="eastAsia" w:ascii="宋体" w:hAnsi="宋体"/>
          <w:b/>
          <w:sz w:val="28"/>
          <w:szCs w:val="28"/>
          <w:highlight w:val="white"/>
        </w:rPr>
        <w:t xml:space="preserve"> </w:t>
      </w:r>
      <w:r>
        <w:rPr>
          <w:rFonts w:hint="eastAsia" w:eastAsia="黑体"/>
          <w:sz w:val="28"/>
          <w:szCs w:val="28"/>
          <w:highlight w:val="white"/>
        </w:rPr>
        <w:t>标段</w:t>
      </w:r>
      <w:r>
        <w:rPr>
          <w:rFonts w:eastAsia="黑体"/>
          <w:sz w:val="28"/>
          <w:szCs w:val="28"/>
          <w:highlight w:val="white"/>
        </w:rPr>
        <w:t>招标</w:t>
      </w:r>
    </w:p>
    <w:p w14:paraId="4F27C40F">
      <w:pPr>
        <w:rPr>
          <w:rFonts w:eastAsia="黑体"/>
          <w:sz w:val="20"/>
          <w:szCs w:val="20"/>
        </w:rPr>
      </w:pPr>
    </w:p>
    <w:p w14:paraId="78D6B887">
      <w:pPr>
        <w:rPr>
          <w:rFonts w:eastAsia="黑体"/>
          <w:sz w:val="20"/>
          <w:szCs w:val="20"/>
        </w:rPr>
      </w:pPr>
    </w:p>
    <w:p w14:paraId="46B220EC">
      <w:pPr>
        <w:rPr>
          <w:rFonts w:eastAsia="黑体"/>
          <w:sz w:val="20"/>
          <w:szCs w:val="20"/>
        </w:rPr>
      </w:pPr>
    </w:p>
    <w:p w14:paraId="3B2CD184">
      <w:pPr>
        <w:rPr>
          <w:rFonts w:eastAsia="黑体"/>
          <w:sz w:val="20"/>
          <w:szCs w:val="20"/>
        </w:rPr>
      </w:pPr>
    </w:p>
    <w:p w14:paraId="00E001E2">
      <w:pPr>
        <w:rPr>
          <w:rFonts w:eastAsia="黑体"/>
          <w:sz w:val="20"/>
          <w:szCs w:val="20"/>
        </w:rPr>
      </w:pPr>
    </w:p>
    <w:p w14:paraId="23462841">
      <w:pPr>
        <w:rPr>
          <w:rFonts w:eastAsia="黑体"/>
          <w:sz w:val="20"/>
          <w:szCs w:val="20"/>
        </w:rPr>
      </w:pPr>
    </w:p>
    <w:p w14:paraId="4F6EAF0D">
      <w:pPr>
        <w:jc w:val="center"/>
        <w:rPr>
          <w:rFonts w:eastAsia="黑体"/>
          <w:sz w:val="44"/>
          <w:szCs w:val="44"/>
        </w:rPr>
      </w:pPr>
    </w:p>
    <w:p w14:paraId="61C8DEE1">
      <w:pPr>
        <w:jc w:val="center"/>
        <w:rPr>
          <w:rFonts w:eastAsia="黑体"/>
          <w:sz w:val="44"/>
          <w:szCs w:val="44"/>
        </w:rPr>
      </w:pPr>
    </w:p>
    <w:p w14:paraId="341E9C07">
      <w:pPr>
        <w:jc w:val="center"/>
        <w:rPr>
          <w:rFonts w:eastAsia="黑体"/>
          <w:sz w:val="44"/>
          <w:szCs w:val="44"/>
        </w:rPr>
      </w:pPr>
      <w:r>
        <w:rPr>
          <w:rFonts w:eastAsia="黑体"/>
          <w:sz w:val="44"/>
          <w:szCs w:val="44"/>
          <w:highlight w:val="white"/>
        </w:rPr>
        <w:t>投  标  文  件</w:t>
      </w:r>
    </w:p>
    <w:p w14:paraId="5D8C486C">
      <w:pPr>
        <w:rPr>
          <w:rFonts w:eastAsia="黑体"/>
          <w:sz w:val="28"/>
          <w:szCs w:val="28"/>
        </w:rPr>
      </w:pPr>
    </w:p>
    <w:p w14:paraId="406EB1B5">
      <w:pPr>
        <w:rPr>
          <w:rFonts w:eastAsia="黑体"/>
          <w:sz w:val="28"/>
          <w:szCs w:val="28"/>
        </w:rPr>
      </w:pPr>
    </w:p>
    <w:p w14:paraId="12B0C90A">
      <w:pPr>
        <w:rPr>
          <w:rFonts w:eastAsia="黑体"/>
          <w:sz w:val="28"/>
          <w:szCs w:val="28"/>
        </w:rPr>
      </w:pPr>
    </w:p>
    <w:p w14:paraId="0B0DA654">
      <w:pPr>
        <w:rPr>
          <w:rFonts w:eastAsia="黑体"/>
          <w:sz w:val="28"/>
          <w:szCs w:val="28"/>
        </w:rPr>
      </w:pPr>
    </w:p>
    <w:p w14:paraId="786011C9">
      <w:pPr>
        <w:rPr>
          <w:rFonts w:eastAsia="黑体"/>
          <w:sz w:val="28"/>
          <w:szCs w:val="28"/>
        </w:rPr>
      </w:pPr>
    </w:p>
    <w:p w14:paraId="63C563D5">
      <w:pPr>
        <w:rPr>
          <w:rFonts w:eastAsia="黑体"/>
          <w:sz w:val="28"/>
          <w:szCs w:val="28"/>
        </w:rPr>
      </w:pPr>
    </w:p>
    <w:p w14:paraId="4576F056">
      <w:pPr>
        <w:rPr>
          <w:rFonts w:eastAsia="黑体"/>
          <w:sz w:val="28"/>
          <w:szCs w:val="28"/>
        </w:rPr>
      </w:pPr>
    </w:p>
    <w:p w14:paraId="23570F0B">
      <w:pPr>
        <w:rPr>
          <w:rFonts w:eastAsia="黑体"/>
          <w:sz w:val="28"/>
          <w:szCs w:val="28"/>
        </w:rPr>
      </w:pPr>
    </w:p>
    <w:p w14:paraId="53AEF4C6">
      <w:pPr>
        <w:rPr>
          <w:rFonts w:eastAsia="黑体"/>
          <w:sz w:val="28"/>
          <w:szCs w:val="28"/>
        </w:rPr>
      </w:pPr>
    </w:p>
    <w:p w14:paraId="63678520">
      <w:pPr>
        <w:rPr>
          <w:rFonts w:eastAsia="黑体"/>
          <w:sz w:val="28"/>
          <w:szCs w:val="28"/>
        </w:rPr>
      </w:pPr>
    </w:p>
    <w:p w14:paraId="7CD3D40A">
      <w:pPr>
        <w:jc w:val="center"/>
        <w:rPr>
          <w:rFonts w:eastAsia="黑体"/>
          <w:sz w:val="28"/>
          <w:szCs w:val="28"/>
          <w:u w:val="single"/>
        </w:rPr>
      </w:pPr>
      <w:r>
        <w:rPr>
          <w:rFonts w:eastAsia="黑体"/>
          <w:sz w:val="28"/>
          <w:szCs w:val="28"/>
          <w:highlight w:val="white"/>
        </w:rPr>
        <w:t>投标人：</w:t>
      </w:r>
      <w:r>
        <w:rPr>
          <w:rFonts w:eastAsia="黑体"/>
          <w:sz w:val="28"/>
          <w:szCs w:val="28"/>
          <w:highlight w:val="white"/>
          <w:u w:val="single"/>
        </w:rPr>
        <w:t xml:space="preserve">                     </w:t>
      </w:r>
      <w:r>
        <w:rPr>
          <w:rFonts w:hint="eastAsia" w:eastAsia="黑体"/>
          <w:sz w:val="28"/>
          <w:szCs w:val="28"/>
          <w:highlight w:val="white"/>
          <w:u w:val="single"/>
        </w:rPr>
        <w:t xml:space="preserve">  </w:t>
      </w:r>
      <w:r>
        <w:rPr>
          <w:rFonts w:eastAsia="黑体"/>
          <w:sz w:val="28"/>
          <w:szCs w:val="28"/>
          <w:highlight w:val="white"/>
          <w:u w:val="single"/>
        </w:rPr>
        <w:t xml:space="preserve">       </w:t>
      </w:r>
      <w:r>
        <w:rPr>
          <w:rFonts w:eastAsia="黑体"/>
          <w:sz w:val="28"/>
          <w:szCs w:val="28"/>
          <w:highlight w:val="white"/>
        </w:rPr>
        <w:t>（盖单位章）</w:t>
      </w:r>
    </w:p>
    <w:p w14:paraId="618C78A1">
      <w:pPr>
        <w:jc w:val="center"/>
        <w:rPr>
          <w:rFonts w:eastAsia="黑体"/>
          <w:sz w:val="28"/>
          <w:szCs w:val="28"/>
        </w:rPr>
      </w:pPr>
      <w:r>
        <w:rPr>
          <w:rFonts w:eastAsia="黑体"/>
          <w:sz w:val="28"/>
          <w:szCs w:val="28"/>
          <w:highlight w:val="white"/>
        </w:rPr>
        <w:t>法定代表人或其委托代理人：</w:t>
      </w:r>
      <w:r>
        <w:rPr>
          <w:rFonts w:eastAsia="黑体"/>
          <w:sz w:val="28"/>
          <w:szCs w:val="28"/>
          <w:highlight w:val="white"/>
          <w:u w:val="single"/>
        </w:rPr>
        <w:t xml:space="preserve">                </w:t>
      </w:r>
      <w:r>
        <w:rPr>
          <w:rFonts w:eastAsia="黑体"/>
          <w:sz w:val="28"/>
          <w:szCs w:val="28"/>
          <w:highlight w:val="white"/>
        </w:rPr>
        <w:t>（签字）</w:t>
      </w:r>
    </w:p>
    <w:p w14:paraId="102A042C">
      <w:pPr>
        <w:jc w:val="center"/>
        <w:rPr>
          <w:rFonts w:eastAsia="黑体"/>
          <w:sz w:val="28"/>
          <w:szCs w:val="28"/>
        </w:rPr>
      </w:pPr>
      <w:r>
        <w:rPr>
          <w:rFonts w:eastAsia="黑体"/>
          <w:sz w:val="28"/>
          <w:szCs w:val="28"/>
          <w:highlight w:val="white"/>
          <w:u w:val="single"/>
        </w:rPr>
        <w:t xml:space="preserve">        </w:t>
      </w:r>
      <w:r>
        <w:rPr>
          <w:rFonts w:eastAsia="黑体"/>
          <w:sz w:val="28"/>
          <w:szCs w:val="28"/>
          <w:highlight w:val="white"/>
        </w:rPr>
        <w:t>年</w:t>
      </w:r>
      <w:r>
        <w:rPr>
          <w:rFonts w:eastAsia="黑体"/>
          <w:sz w:val="28"/>
          <w:szCs w:val="28"/>
          <w:highlight w:val="white"/>
          <w:u w:val="single"/>
        </w:rPr>
        <w:t xml:space="preserve">        </w:t>
      </w:r>
      <w:r>
        <w:rPr>
          <w:rFonts w:eastAsia="黑体"/>
          <w:sz w:val="28"/>
          <w:szCs w:val="28"/>
          <w:highlight w:val="white"/>
        </w:rPr>
        <w:t>月</w:t>
      </w:r>
      <w:r>
        <w:rPr>
          <w:rFonts w:eastAsia="黑体"/>
          <w:sz w:val="28"/>
          <w:szCs w:val="28"/>
          <w:highlight w:val="white"/>
          <w:u w:val="single"/>
        </w:rPr>
        <w:t xml:space="preserve">         </w:t>
      </w:r>
      <w:r>
        <w:rPr>
          <w:rFonts w:eastAsia="黑体"/>
          <w:sz w:val="28"/>
          <w:szCs w:val="28"/>
          <w:highlight w:val="white"/>
        </w:rPr>
        <w:t>日</w:t>
      </w:r>
    </w:p>
    <w:p w14:paraId="1F440DB6">
      <w:pPr>
        <w:spacing w:line="440" w:lineRule="exact"/>
        <w:rPr>
          <w:rFonts w:eastAsia="黑体"/>
          <w:sz w:val="20"/>
          <w:szCs w:val="20"/>
        </w:rPr>
      </w:pPr>
    </w:p>
    <w:p w14:paraId="64F47778">
      <w:pPr>
        <w:spacing w:line="400" w:lineRule="exact"/>
      </w:pPr>
      <w:r>
        <w:rPr>
          <w:highlight w:val="white"/>
        </w:rPr>
        <w:br w:type="page"/>
      </w:r>
    </w:p>
    <w:p w14:paraId="6C02F774">
      <w:pPr>
        <w:pStyle w:val="3"/>
        <w:jc w:val="center"/>
      </w:pPr>
      <w:bookmarkStart w:id="235" w:name="_Toc256000343"/>
      <w:r>
        <w:rPr>
          <w:rFonts w:hint="eastAsia"/>
          <w:highlight w:val="white"/>
        </w:rPr>
        <w:t>目    录</w:t>
      </w:r>
      <w:bookmarkEnd w:id="235"/>
    </w:p>
    <w:p w14:paraId="4D821089">
      <w:pPr>
        <w:spacing w:line="540" w:lineRule="exact"/>
        <w:rPr>
          <w:rFonts w:hint="eastAsia"/>
        </w:rPr>
      </w:pPr>
    </w:p>
    <w:p w14:paraId="4D326E25">
      <w:pPr>
        <w:spacing w:line="540" w:lineRule="exact"/>
      </w:pPr>
      <w:r>
        <w:rPr>
          <w:rFonts w:hint="eastAsia"/>
          <w:highlight w:val="white"/>
        </w:rPr>
        <w:t>一、投标函及投标函附录</w:t>
      </w:r>
    </w:p>
    <w:p w14:paraId="68AED0B9">
      <w:pPr>
        <w:spacing w:line="540" w:lineRule="exact"/>
      </w:pPr>
      <w:r>
        <w:rPr>
          <w:rFonts w:hint="eastAsia"/>
          <w:highlight w:val="white"/>
        </w:rPr>
        <w:t>二、法定代表人身份证明或授权委托书</w:t>
      </w:r>
    </w:p>
    <w:p w14:paraId="78CE2F63">
      <w:pPr>
        <w:spacing w:line="540" w:lineRule="exact"/>
      </w:pPr>
      <w:r>
        <w:rPr>
          <w:rFonts w:hint="eastAsia"/>
          <w:highlight w:val="white"/>
        </w:rPr>
        <w:t>三、联合体协议书</w:t>
      </w:r>
    </w:p>
    <w:p w14:paraId="167F11B0">
      <w:pPr>
        <w:spacing w:line="540" w:lineRule="exact"/>
      </w:pPr>
      <w:r>
        <w:rPr>
          <w:rFonts w:hint="eastAsia"/>
          <w:highlight w:val="white"/>
        </w:rPr>
        <w:t xml:space="preserve">四、投标保证金 </w:t>
      </w:r>
    </w:p>
    <w:p w14:paraId="02664E96">
      <w:pPr>
        <w:spacing w:line="540" w:lineRule="exact"/>
      </w:pPr>
      <w:r>
        <w:rPr>
          <w:rFonts w:hint="eastAsia"/>
          <w:highlight w:val="white"/>
        </w:rPr>
        <w:t>五、价格清单</w:t>
      </w:r>
    </w:p>
    <w:p w14:paraId="7EF1EA6D">
      <w:pPr>
        <w:spacing w:line="540" w:lineRule="exact"/>
      </w:pPr>
      <w:r>
        <w:rPr>
          <w:rFonts w:hint="eastAsia"/>
          <w:highlight w:val="white"/>
        </w:rPr>
        <w:t>六、承包人建议书</w:t>
      </w:r>
    </w:p>
    <w:p w14:paraId="357599BA">
      <w:pPr>
        <w:spacing w:line="540" w:lineRule="exact"/>
        <w:rPr>
          <w:rFonts w:hint="eastAsia"/>
        </w:rPr>
      </w:pPr>
      <w:r>
        <w:rPr>
          <w:rFonts w:hint="eastAsia"/>
          <w:highlight w:val="white"/>
        </w:rPr>
        <w:t>七、承包人实施方案</w:t>
      </w:r>
    </w:p>
    <w:p w14:paraId="01602D22">
      <w:pPr>
        <w:spacing w:line="540" w:lineRule="exact"/>
      </w:pPr>
      <w:r>
        <w:rPr>
          <w:rFonts w:hint="eastAsia"/>
          <w:highlight w:val="white"/>
        </w:rPr>
        <w:t>八、资格审查资料</w:t>
      </w:r>
    </w:p>
    <w:p w14:paraId="74025880">
      <w:pPr>
        <w:spacing w:line="540" w:lineRule="exact"/>
      </w:pPr>
      <w:r>
        <w:rPr>
          <w:rFonts w:hint="eastAsia"/>
          <w:highlight w:val="white"/>
        </w:rPr>
        <w:t>九、其他资料</w:t>
      </w:r>
    </w:p>
    <w:p w14:paraId="2CFBFD26">
      <w:pPr>
        <w:spacing w:line="540" w:lineRule="exact"/>
      </w:pPr>
      <w:r>
        <w:rPr>
          <w:highlight w:val="white"/>
        </w:rPr>
        <w:t xml:space="preserve"> </w:t>
      </w:r>
    </w:p>
    <w:p w14:paraId="182CFB0D">
      <w:pPr>
        <w:spacing w:line="540" w:lineRule="exact"/>
        <w:rPr>
          <w:rFonts w:hint="eastAsia" w:ascii="宋体" w:hAnsi="宋体"/>
          <w:sz w:val="24"/>
        </w:rPr>
      </w:pPr>
      <w:r>
        <w:rPr>
          <w:rFonts w:hint="eastAsia" w:ascii="宋体" w:hAnsi="宋体"/>
          <w:sz w:val="24"/>
          <w:highlight w:val="white"/>
        </w:rPr>
        <w:t>注：投标文件不需要编制页码。</w:t>
      </w:r>
    </w:p>
    <w:p w14:paraId="135B2440">
      <w:pPr>
        <w:pStyle w:val="3"/>
        <w:pageBreakBefore/>
        <w:spacing w:line="360" w:lineRule="auto"/>
        <w:jc w:val="center"/>
        <w:rPr>
          <w:sz w:val="20"/>
          <w:szCs w:val="20"/>
        </w:rPr>
      </w:pPr>
      <w:bookmarkStart w:id="236" w:name="_Toc256000344"/>
      <w:r>
        <w:rPr>
          <w:rFonts w:hint="eastAsia" w:ascii="宋体" w:hAnsi="宋体" w:eastAsia="宋体"/>
          <w:bCs w:val="0"/>
          <w:kern w:val="44"/>
          <w:sz w:val="28"/>
          <w:szCs w:val="28"/>
          <w:highlight w:val="white"/>
        </w:rPr>
        <w:t>一、投标函及投标函附录（适用于总价合同方式）</w:t>
      </w:r>
      <w:bookmarkEnd w:id="236"/>
    </w:p>
    <w:p w14:paraId="1DDD597E">
      <w:pPr>
        <w:pStyle w:val="4"/>
        <w:spacing w:line="360" w:lineRule="auto"/>
        <w:ind w:firstLine="3245" w:firstLineChars="1347"/>
        <w:rPr>
          <w:sz w:val="20"/>
          <w:szCs w:val="20"/>
        </w:rPr>
      </w:pPr>
      <w:bookmarkStart w:id="237" w:name="_Toc256000345"/>
      <w:r>
        <w:rPr>
          <w:rFonts w:ascii="宋体" w:eastAsia="宋体"/>
          <w:b/>
          <w:kern w:val="0"/>
          <w:sz w:val="24"/>
          <w:szCs w:val="24"/>
          <w:highlight w:val="white"/>
        </w:rPr>
        <w:t>（一）投标函</w:t>
      </w:r>
      <w:bookmarkEnd w:id="237"/>
    </w:p>
    <w:p w14:paraId="5D5778DA">
      <w:pPr>
        <w:spacing w:line="360" w:lineRule="auto"/>
        <w:rPr>
          <w:szCs w:val="21"/>
        </w:rPr>
      </w:pPr>
      <w:r>
        <w:rPr>
          <w:szCs w:val="21"/>
          <w:highlight w:val="white"/>
          <w:u w:val="single"/>
        </w:rPr>
        <w:t xml:space="preserve">                        </w:t>
      </w:r>
      <w:r>
        <w:rPr>
          <w:szCs w:val="21"/>
          <w:highlight w:val="white"/>
        </w:rPr>
        <w:t>（招标人名称）：</w:t>
      </w:r>
    </w:p>
    <w:p w14:paraId="5A6A6389">
      <w:pPr>
        <w:spacing w:line="440" w:lineRule="exact"/>
        <w:rPr>
          <w:rFonts w:hint="eastAsia" w:ascii="宋体" w:hAnsi="宋体" w:cs="宋体"/>
          <w:szCs w:val="21"/>
        </w:rPr>
      </w:pPr>
      <w:r>
        <w:rPr>
          <w:szCs w:val="21"/>
          <w:highlight w:val="white"/>
        </w:rPr>
        <w:t>1．我方已仔细研究了</w:t>
      </w:r>
      <w:r>
        <w:rPr>
          <w:szCs w:val="21"/>
          <w:highlight w:val="white"/>
          <w:u w:val="single"/>
        </w:rPr>
        <w:t xml:space="preserve">       </w:t>
      </w:r>
      <w:r>
        <w:rPr>
          <w:rFonts w:hint="eastAsia"/>
          <w:szCs w:val="21"/>
          <w:highlight w:val="white"/>
          <w:u w:val="single"/>
        </w:rPr>
        <w:t xml:space="preserve">     </w:t>
      </w:r>
      <w:r>
        <w:rPr>
          <w:szCs w:val="21"/>
          <w:highlight w:val="white"/>
          <w:u w:val="single"/>
        </w:rPr>
        <w:t xml:space="preserve">   </w:t>
      </w:r>
      <w:r>
        <w:rPr>
          <w:szCs w:val="21"/>
          <w:highlight w:val="white"/>
        </w:rPr>
        <w:t>（项目名称）</w:t>
      </w:r>
      <w:r>
        <w:rPr>
          <w:rFonts w:hint="eastAsia"/>
          <w:szCs w:val="21"/>
          <w:highlight w:val="white"/>
        </w:rPr>
        <w:t>设计施工总承包</w:t>
      </w:r>
      <w:r>
        <w:rPr>
          <w:rFonts w:hint="eastAsia"/>
          <w:szCs w:val="21"/>
          <w:highlight w:val="white"/>
          <w:u w:val="single"/>
        </w:rPr>
        <w:t xml:space="preserve">    </w:t>
      </w:r>
      <w:r>
        <w:rPr>
          <w:rFonts w:hint="eastAsia"/>
          <w:szCs w:val="21"/>
          <w:highlight w:val="white"/>
        </w:rPr>
        <w:t>标段</w:t>
      </w:r>
      <w:r>
        <w:rPr>
          <w:szCs w:val="21"/>
          <w:highlight w:val="white"/>
        </w:rPr>
        <w:t>招标文件的全部内容，</w:t>
      </w:r>
      <w:r>
        <w:rPr>
          <w:rFonts w:hint="eastAsia"/>
          <w:szCs w:val="21"/>
          <w:highlight w:val="white"/>
        </w:rPr>
        <w:t>愿意以：</w:t>
      </w:r>
      <w:r>
        <w:rPr>
          <w:rFonts w:hint="eastAsia"/>
          <w:szCs w:val="21"/>
          <w:highlight w:val="white"/>
          <w:u w:val="single"/>
        </w:rPr>
        <w:t xml:space="preserve">       </w:t>
      </w:r>
      <w:r>
        <w:rPr>
          <w:rFonts w:hint="eastAsia"/>
          <w:szCs w:val="21"/>
          <w:highlight w:val="white"/>
        </w:rPr>
        <w:t>的投标报价</w:t>
      </w:r>
      <w:r>
        <w:rPr>
          <w:rFonts w:hint="eastAsia" w:ascii="宋体" w:hAnsi="宋体" w:cs="宋体"/>
          <w:szCs w:val="21"/>
          <w:highlight w:val="white"/>
        </w:rPr>
        <w:t>，</w:t>
      </w:r>
      <w:r>
        <w:rPr>
          <w:rFonts w:hint="eastAsia"/>
          <w:szCs w:val="21"/>
          <w:highlight w:val="white"/>
        </w:rPr>
        <w:t>工期</w:t>
      </w:r>
      <w:r>
        <w:rPr>
          <w:rFonts w:hint="eastAsia"/>
          <w:szCs w:val="21"/>
          <w:highlight w:val="white"/>
          <w:u w:val="single"/>
        </w:rPr>
        <w:t xml:space="preserve">          </w:t>
      </w:r>
      <w:r>
        <w:rPr>
          <w:rFonts w:hint="eastAsia"/>
          <w:szCs w:val="21"/>
          <w:highlight w:val="white"/>
        </w:rPr>
        <w:t xml:space="preserve"> ，</w:t>
      </w:r>
      <w:r>
        <w:rPr>
          <w:rFonts w:hint="eastAsia" w:ascii="宋体" w:hAnsi="宋体" w:cs="宋体"/>
          <w:szCs w:val="21"/>
          <w:highlight w:val="white"/>
        </w:rPr>
        <w:t>设计质量标准：</w:t>
      </w:r>
      <w:r>
        <w:rPr>
          <w:rFonts w:hint="eastAsia" w:ascii="宋体" w:hAnsi="宋体" w:cs="宋体"/>
          <w:bCs/>
          <w:szCs w:val="21"/>
          <w:highlight w:val="white"/>
          <w:u w:val="single"/>
        </w:rPr>
        <w:t xml:space="preserve">           </w:t>
      </w:r>
      <w:r>
        <w:rPr>
          <w:rFonts w:hint="eastAsia" w:ascii="宋体" w:hAnsi="宋体" w:cs="宋体"/>
          <w:bCs/>
          <w:szCs w:val="21"/>
          <w:highlight w:val="white"/>
        </w:rPr>
        <w:t>，</w:t>
      </w:r>
      <w:r>
        <w:rPr>
          <w:rFonts w:hint="eastAsia" w:ascii="宋体" w:hAnsi="宋体" w:cs="宋体"/>
          <w:szCs w:val="21"/>
          <w:highlight w:val="white"/>
        </w:rPr>
        <w:t>施工质量标准：</w:t>
      </w:r>
      <w:r>
        <w:rPr>
          <w:rFonts w:hint="eastAsia" w:ascii="宋体" w:hAnsi="宋体" w:cs="宋体"/>
          <w:bCs/>
          <w:szCs w:val="21"/>
          <w:highlight w:val="white"/>
          <w:u w:val="single"/>
        </w:rPr>
        <w:t xml:space="preserve">           </w:t>
      </w:r>
      <w:r>
        <w:rPr>
          <w:rFonts w:hint="eastAsia" w:ascii="宋体" w:hAnsi="宋体" w:cs="宋体"/>
          <w:bCs/>
          <w:szCs w:val="21"/>
          <w:highlight w:val="white"/>
        </w:rPr>
        <w:t>，</w:t>
      </w:r>
      <w:r>
        <w:rPr>
          <w:rFonts w:hint="eastAsia" w:ascii="宋体" w:hAnsi="宋体" w:cs="宋体"/>
          <w:szCs w:val="21"/>
          <w:highlight w:val="white"/>
        </w:rPr>
        <w:t>按合同约定进行设计、实施和竣工承包工程，修补工程中的任何缺陷，实现工程目的。</w:t>
      </w:r>
    </w:p>
    <w:p w14:paraId="77E4C585">
      <w:pPr>
        <w:spacing w:line="360" w:lineRule="auto"/>
        <w:ind w:firstLine="420" w:firstLineChars="200"/>
        <w:rPr>
          <w:szCs w:val="21"/>
        </w:rPr>
      </w:pPr>
      <w:r>
        <w:rPr>
          <w:szCs w:val="21"/>
          <w:highlight w:val="white"/>
        </w:rPr>
        <w:t>2．我方承诺在</w:t>
      </w:r>
      <w:r>
        <w:rPr>
          <w:rFonts w:hint="eastAsia"/>
          <w:szCs w:val="21"/>
          <w:highlight w:val="white"/>
        </w:rPr>
        <w:t>招标文件规定的</w:t>
      </w:r>
      <w:r>
        <w:rPr>
          <w:szCs w:val="21"/>
          <w:highlight w:val="white"/>
        </w:rPr>
        <w:t>投标有效期内不修改、撤销投标文件</w:t>
      </w:r>
      <w:r>
        <w:rPr>
          <w:rFonts w:hint="eastAsia"/>
          <w:szCs w:val="21"/>
          <w:highlight w:val="white"/>
        </w:rPr>
        <w:t>。</w:t>
      </w:r>
    </w:p>
    <w:p w14:paraId="125512A7">
      <w:pPr>
        <w:spacing w:line="360" w:lineRule="auto"/>
        <w:ind w:firstLine="420" w:firstLineChars="200"/>
        <w:rPr>
          <w:szCs w:val="21"/>
        </w:rPr>
      </w:pPr>
      <w:r>
        <w:rPr>
          <w:szCs w:val="21"/>
          <w:highlight w:val="white"/>
        </w:rPr>
        <w:t>3．随同本投标函提交投标保证金一份，金额为人民币（大写）</w:t>
      </w:r>
      <w:r>
        <w:rPr>
          <w:szCs w:val="21"/>
          <w:highlight w:val="white"/>
          <w:u w:val="single"/>
        </w:rPr>
        <w:t xml:space="preserve">        </w:t>
      </w:r>
      <w:r>
        <w:rPr>
          <w:szCs w:val="21"/>
          <w:highlight w:val="white"/>
        </w:rPr>
        <w:t>（¥</w:t>
      </w:r>
      <w:r>
        <w:rPr>
          <w:szCs w:val="21"/>
          <w:highlight w:val="white"/>
          <w:u w:val="single"/>
        </w:rPr>
        <w:t xml:space="preserve">  </w:t>
      </w:r>
      <w:r>
        <w:rPr>
          <w:rFonts w:hint="eastAsia"/>
          <w:szCs w:val="21"/>
          <w:highlight w:val="white"/>
          <w:u w:val="single"/>
        </w:rPr>
        <w:t xml:space="preserve">   </w:t>
      </w:r>
      <w:r>
        <w:rPr>
          <w:szCs w:val="21"/>
          <w:highlight w:val="white"/>
          <w:u w:val="single"/>
        </w:rPr>
        <w:t xml:space="preserve"> </w:t>
      </w:r>
      <w:r>
        <w:rPr>
          <w:szCs w:val="21"/>
          <w:highlight w:val="white"/>
        </w:rPr>
        <w:t xml:space="preserve"> ）。</w:t>
      </w:r>
    </w:p>
    <w:p w14:paraId="6E640E0C">
      <w:pPr>
        <w:spacing w:line="360" w:lineRule="auto"/>
        <w:ind w:firstLine="420" w:firstLineChars="200"/>
        <w:rPr>
          <w:szCs w:val="21"/>
        </w:rPr>
      </w:pPr>
      <w:r>
        <w:rPr>
          <w:szCs w:val="21"/>
          <w:highlight w:val="white"/>
        </w:rPr>
        <w:t>4．如我方中标：</w:t>
      </w:r>
    </w:p>
    <w:p w14:paraId="51B6E727">
      <w:pPr>
        <w:spacing w:line="360" w:lineRule="auto"/>
        <w:ind w:firstLine="718" w:firstLineChars="342"/>
        <w:rPr>
          <w:szCs w:val="21"/>
        </w:rPr>
      </w:pPr>
      <w:r>
        <w:rPr>
          <w:szCs w:val="21"/>
          <w:highlight w:val="white"/>
        </w:rPr>
        <w:t>（1）我方承诺在收到中标通知书后，在中标通知书规定的期限内与你方签订合同。</w:t>
      </w:r>
    </w:p>
    <w:p w14:paraId="6EBFABB8">
      <w:pPr>
        <w:spacing w:line="360" w:lineRule="auto"/>
        <w:ind w:firstLine="718" w:firstLineChars="342"/>
        <w:rPr>
          <w:szCs w:val="21"/>
        </w:rPr>
      </w:pPr>
      <w:r>
        <w:rPr>
          <w:szCs w:val="21"/>
          <w:highlight w:val="white"/>
        </w:rPr>
        <w:t>（2）随同本投标函递交的投标函附录属于合同文件的组成部分。</w:t>
      </w:r>
    </w:p>
    <w:p w14:paraId="51C15A8C">
      <w:pPr>
        <w:spacing w:line="360" w:lineRule="auto"/>
        <w:ind w:firstLine="718" w:firstLineChars="342"/>
        <w:rPr>
          <w:szCs w:val="21"/>
        </w:rPr>
      </w:pPr>
      <w:r>
        <w:rPr>
          <w:szCs w:val="21"/>
          <w:highlight w:val="white"/>
        </w:rPr>
        <w:t>（3）我方承诺按照招标文件规定向你方递交履约担保。</w:t>
      </w:r>
    </w:p>
    <w:p w14:paraId="15216A63">
      <w:pPr>
        <w:spacing w:line="360" w:lineRule="auto"/>
        <w:ind w:firstLine="718" w:firstLineChars="342"/>
      </w:pPr>
      <w:r>
        <w:rPr>
          <w:szCs w:val="21"/>
          <w:highlight w:val="white"/>
        </w:rPr>
        <w:t>（4）我方承诺在合同约定的期限内</w:t>
      </w:r>
      <w:r>
        <w:rPr>
          <w:rFonts w:hint="eastAsia"/>
          <w:szCs w:val="21"/>
          <w:highlight w:val="white"/>
        </w:rPr>
        <w:t>不更换项目经理、施工负责人，</w:t>
      </w:r>
      <w:r>
        <w:rPr>
          <w:rFonts w:hint="eastAsia"/>
          <w:highlight w:val="white"/>
        </w:rPr>
        <w:t>因特殊情况确需更换的，应征得你方同意，且更换后的人员不低于原投标承诺人员所具有的资格和条件，否则</w:t>
      </w:r>
      <w:r>
        <w:rPr>
          <w:rFonts w:hint="eastAsia"/>
          <w:szCs w:val="21"/>
          <w:highlight w:val="white"/>
        </w:rPr>
        <w:t>愿意承担相应违约责任。</w:t>
      </w:r>
    </w:p>
    <w:p w14:paraId="5DCC5261">
      <w:pPr>
        <w:spacing w:line="360" w:lineRule="auto"/>
        <w:ind w:firstLine="718" w:firstLineChars="342"/>
        <w:rPr>
          <w:rFonts w:hint="eastAsia"/>
          <w:szCs w:val="21"/>
        </w:rPr>
      </w:pPr>
      <w:r>
        <w:rPr>
          <w:rFonts w:hint="eastAsia"/>
          <w:szCs w:val="21"/>
          <w:highlight w:val="white"/>
        </w:rPr>
        <w:t>（5）</w:t>
      </w:r>
      <w:r>
        <w:rPr>
          <w:szCs w:val="21"/>
          <w:highlight w:val="white"/>
        </w:rPr>
        <w:t>我方承诺在合同约定的期限内完成并移交全部合同工程。</w:t>
      </w:r>
    </w:p>
    <w:p w14:paraId="483D88BF">
      <w:pPr>
        <w:spacing w:line="360" w:lineRule="auto"/>
        <w:ind w:firstLine="420" w:firstLineChars="200"/>
        <w:rPr>
          <w:rFonts w:hint="eastAsia"/>
          <w:szCs w:val="21"/>
        </w:rPr>
      </w:pPr>
      <w:r>
        <w:rPr>
          <w:szCs w:val="21"/>
          <w:highlight w:val="white"/>
        </w:rPr>
        <w:t>5．</w:t>
      </w:r>
      <w:r>
        <w:rPr>
          <w:rFonts w:hint="eastAsia"/>
          <w:szCs w:val="21"/>
          <w:highlight w:val="white"/>
        </w:rPr>
        <w:t>我方在此声明，所递交的投标文件（包括有关资料、澄清）真实可信，不存在弄虚作假或隐瞒。</w:t>
      </w:r>
    </w:p>
    <w:p w14:paraId="50BCAC0B">
      <w:pPr>
        <w:spacing w:line="360" w:lineRule="auto"/>
        <w:ind w:firstLine="420" w:firstLineChars="200"/>
        <w:rPr>
          <w:rFonts w:hint="eastAsia"/>
          <w:szCs w:val="21"/>
        </w:rPr>
      </w:pPr>
      <w:r>
        <w:rPr>
          <w:rFonts w:hint="eastAsia"/>
          <w:szCs w:val="21"/>
          <w:highlight w:val="white"/>
        </w:rPr>
        <w:t>经我方认真核查，本投标人不存在招标文件第二章“投标人须知”第1.4.3项和第1.4.4项规定的任何一种情形。</w:t>
      </w:r>
    </w:p>
    <w:p w14:paraId="7F5B180E">
      <w:pPr>
        <w:spacing w:line="360" w:lineRule="auto"/>
        <w:ind w:firstLine="420" w:firstLineChars="200"/>
        <w:rPr>
          <w:szCs w:val="21"/>
        </w:rPr>
      </w:pPr>
      <w:r>
        <w:rPr>
          <w:rFonts w:hint="eastAsia"/>
          <w:szCs w:val="21"/>
          <w:highlight w:val="white"/>
        </w:rPr>
        <w:t>6．</w:t>
      </w:r>
      <w:r>
        <w:rPr>
          <w:szCs w:val="21"/>
          <w:highlight w:val="white"/>
          <w:u w:val="single"/>
        </w:rPr>
        <w:t xml:space="preserve">                                       （</w:t>
      </w:r>
      <w:r>
        <w:rPr>
          <w:rFonts w:hint="eastAsia"/>
          <w:szCs w:val="21"/>
          <w:highlight w:val="white"/>
          <w:u w:val="single"/>
        </w:rPr>
        <w:t>其他</w:t>
      </w:r>
      <w:r>
        <w:rPr>
          <w:szCs w:val="21"/>
          <w:highlight w:val="white"/>
          <w:u w:val="single"/>
        </w:rPr>
        <w:t>补充说明）</w:t>
      </w:r>
      <w:r>
        <w:rPr>
          <w:szCs w:val="21"/>
          <w:highlight w:val="white"/>
        </w:rPr>
        <w:t>。</w:t>
      </w:r>
    </w:p>
    <w:p w14:paraId="519BD41D">
      <w:pPr>
        <w:spacing w:line="360" w:lineRule="auto"/>
        <w:ind w:firstLine="3780" w:firstLineChars="1800"/>
        <w:rPr>
          <w:szCs w:val="21"/>
        </w:rPr>
      </w:pPr>
      <w:r>
        <w:rPr>
          <w:szCs w:val="21"/>
          <w:highlight w:val="white"/>
        </w:rPr>
        <w:t>投 标 人：</w:t>
      </w:r>
      <w:r>
        <w:rPr>
          <w:szCs w:val="21"/>
          <w:highlight w:val="white"/>
          <w:u w:val="single"/>
        </w:rPr>
        <w:t xml:space="preserve">                      </w:t>
      </w:r>
      <w:r>
        <w:rPr>
          <w:szCs w:val="21"/>
          <w:highlight w:val="white"/>
        </w:rPr>
        <w:t>（盖单位章）</w:t>
      </w:r>
    </w:p>
    <w:p w14:paraId="7318DCD0">
      <w:pPr>
        <w:spacing w:line="360" w:lineRule="auto"/>
        <w:ind w:firstLine="3675" w:firstLineChars="1750"/>
        <w:rPr>
          <w:szCs w:val="21"/>
        </w:rPr>
      </w:pPr>
      <w:r>
        <w:rPr>
          <w:szCs w:val="21"/>
          <w:highlight w:val="white"/>
        </w:rPr>
        <w:t>法定代表人或其委托代理人：</w:t>
      </w:r>
      <w:r>
        <w:rPr>
          <w:szCs w:val="21"/>
          <w:highlight w:val="white"/>
          <w:u w:val="single"/>
        </w:rPr>
        <w:t xml:space="preserve">      </w:t>
      </w:r>
      <w:r>
        <w:rPr>
          <w:rFonts w:hint="eastAsia"/>
          <w:szCs w:val="21"/>
          <w:highlight w:val="white"/>
          <w:u w:val="single"/>
        </w:rPr>
        <w:t xml:space="preserve">   </w:t>
      </w:r>
      <w:r>
        <w:rPr>
          <w:szCs w:val="21"/>
          <w:highlight w:val="white"/>
          <w:u w:val="single"/>
        </w:rPr>
        <w:t xml:space="preserve"> </w:t>
      </w:r>
      <w:r>
        <w:rPr>
          <w:szCs w:val="21"/>
          <w:highlight w:val="white"/>
        </w:rPr>
        <w:t>（签字）</w:t>
      </w:r>
    </w:p>
    <w:p w14:paraId="42404EBC">
      <w:pPr>
        <w:spacing w:line="360" w:lineRule="auto"/>
        <w:ind w:firstLine="3675" w:firstLineChars="1750"/>
        <w:rPr>
          <w:szCs w:val="21"/>
        </w:rPr>
      </w:pPr>
      <w:r>
        <w:rPr>
          <w:szCs w:val="21"/>
          <w:highlight w:val="white"/>
        </w:rPr>
        <w:t>地址：</w:t>
      </w:r>
      <w:r>
        <w:rPr>
          <w:szCs w:val="21"/>
          <w:highlight w:val="white"/>
          <w:u w:val="single"/>
        </w:rPr>
        <w:t xml:space="preserve">                                     </w:t>
      </w:r>
    </w:p>
    <w:p w14:paraId="73441D21">
      <w:pPr>
        <w:spacing w:line="360" w:lineRule="auto"/>
        <w:ind w:firstLine="3675" w:firstLineChars="1750"/>
        <w:rPr>
          <w:szCs w:val="21"/>
        </w:rPr>
      </w:pPr>
      <w:r>
        <w:rPr>
          <w:szCs w:val="21"/>
          <w:highlight w:val="white"/>
        </w:rPr>
        <w:t>网址：</w:t>
      </w:r>
      <w:r>
        <w:rPr>
          <w:szCs w:val="21"/>
          <w:highlight w:val="white"/>
          <w:u w:val="single"/>
        </w:rPr>
        <w:t xml:space="preserve">                                     </w:t>
      </w:r>
    </w:p>
    <w:p w14:paraId="0F5D1110">
      <w:pPr>
        <w:spacing w:line="360" w:lineRule="auto"/>
        <w:ind w:firstLine="3675" w:firstLineChars="1750"/>
        <w:rPr>
          <w:szCs w:val="21"/>
        </w:rPr>
      </w:pPr>
      <w:r>
        <w:rPr>
          <w:szCs w:val="21"/>
          <w:highlight w:val="white"/>
        </w:rPr>
        <w:t>电话：</w:t>
      </w:r>
      <w:r>
        <w:rPr>
          <w:szCs w:val="21"/>
          <w:highlight w:val="white"/>
          <w:u w:val="single"/>
        </w:rPr>
        <w:t xml:space="preserve">                                     </w:t>
      </w:r>
    </w:p>
    <w:p w14:paraId="4E1D9D76">
      <w:pPr>
        <w:spacing w:line="360" w:lineRule="auto"/>
        <w:ind w:firstLine="3675" w:firstLineChars="1750"/>
        <w:rPr>
          <w:szCs w:val="21"/>
        </w:rPr>
      </w:pPr>
      <w:r>
        <w:rPr>
          <w:szCs w:val="21"/>
          <w:highlight w:val="white"/>
        </w:rPr>
        <w:t>传真：</w:t>
      </w:r>
      <w:r>
        <w:rPr>
          <w:szCs w:val="21"/>
          <w:highlight w:val="white"/>
          <w:u w:val="single"/>
        </w:rPr>
        <w:t xml:space="preserve">                                     </w:t>
      </w:r>
    </w:p>
    <w:p w14:paraId="18BD64E3">
      <w:pPr>
        <w:spacing w:line="360" w:lineRule="auto"/>
        <w:ind w:firstLine="3675" w:firstLineChars="1750"/>
        <w:rPr>
          <w:szCs w:val="21"/>
        </w:rPr>
      </w:pPr>
      <w:r>
        <w:rPr>
          <w:szCs w:val="21"/>
          <w:highlight w:val="white"/>
        </w:rPr>
        <w:t>邮政编码：</w:t>
      </w:r>
      <w:r>
        <w:rPr>
          <w:szCs w:val="21"/>
          <w:highlight w:val="white"/>
          <w:u w:val="single"/>
        </w:rPr>
        <w:t xml:space="preserve">                                 </w:t>
      </w:r>
    </w:p>
    <w:p w14:paraId="7064A788">
      <w:pPr>
        <w:spacing w:line="360" w:lineRule="auto"/>
        <w:ind w:firstLine="4725" w:firstLineChars="2250"/>
        <w:rPr>
          <w:szCs w:val="21"/>
        </w:rPr>
      </w:pPr>
      <w:r>
        <w:rPr>
          <w:szCs w:val="21"/>
          <w:highlight w:val="white"/>
          <w:u w:val="single"/>
        </w:rPr>
        <w:t xml:space="preserve">      </w:t>
      </w:r>
      <w:r>
        <w:rPr>
          <w:szCs w:val="21"/>
          <w:highlight w:val="white"/>
        </w:rPr>
        <w:t>年</w:t>
      </w:r>
      <w:r>
        <w:rPr>
          <w:szCs w:val="21"/>
          <w:highlight w:val="white"/>
          <w:u w:val="single"/>
        </w:rPr>
        <w:t xml:space="preserve">      </w:t>
      </w:r>
      <w:r>
        <w:rPr>
          <w:szCs w:val="21"/>
          <w:highlight w:val="white"/>
        </w:rPr>
        <w:t>月</w:t>
      </w:r>
      <w:r>
        <w:rPr>
          <w:szCs w:val="21"/>
          <w:highlight w:val="white"/>
          <w:u w:val="single"/>
        </w:rPr>
        <w:t xml:space="preserve">      </w:t>
      </w:r>
      <w:r>
        <w:rPr>
          <w:szCs w:val="21"/>
          <w:highlight w:val="white"/>
        </w:rPr>
        <w:t>日</w:t>
      </w:r>
    </w:p>
    <w:p w14:paraId="67AEAEB9">
      <w:pPr>
        <w:pStyle w:val="4"/>
        <w:spacing w:line="360" w:lineRule="auto"/>
        <w:ind w:firstLine="3245" w:firstLineChars="1347"/>
        <w:rPr>
          <w:rFonts w:ascii="宋体" w:eastAsia="宋体"/>
          <w:b/>
          <w:kern w:val="0"/>
          <w:sz w:val="24"/>
          <w:szCs w:val="24"/>
        </w:rPr>
      </w:pPr>
      <w:bookmarkStart w:id="238" w:name="_Toc256000346"/>
      <w:r>
        <w:rPr>
          <w:rFonts w:ascii="宋体" w:eastAsia="宋体"/>
          <w:b/>
          <w:kern w:val="0"/>
          <w:sz w:val="24"/>
          <w:szCs w:val="24"/>
          <w:highlight w:val="white"/>
        </w:rPr>
        <w:t>（二）投标函附录</w:t>
      </w:r>
      <w:bookmarkEnd w:id="238"/>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2623"/>
        <w:gridCol w:w="3069"/>
        <w:gridCol w:w="903"/>
      </w:tblGrid>
      <w:tr w14:paraId="155C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56249DE8">
            <w:pPr>
              <w:spacing w:line="360" w:lineRule="auto"/>
              <w:jc w:val="center"/>
              <w:rPr>
                <w:rFonts w:ascii="宋体" w:hAnsi="宋体"/>
                <w:szCs w:val="21"/>
              </w:rPr>
            </w:pPr>
            <w:r>
              <w:rPr>
                <w:rFonts w:ascii="宋体" w:hAnsi="宋体"/>
                <w:szCs w:val="21"/>
                <w:highlight w:val="white"/>
              </w:rPr>
              <w:t>序号</w:t>
            </w:r>
          </w:p>
        </w:tc>
        <w:tc>
          <w:tcPr>
            <w:tcW w:w="2623" w:type="dxa"/>
            <w:noWrap w:val="0"/>
            <w:vAlign w:val="center"/>
          </w:tcPr>
          <w:p w14:paraId="595104E9">
            <w:pPr>
              <w:spacing w:line="360" w:lineRule="auto"/>
              <w:jc w:val="center"/>
              <w:rPr>
                <w:rFonts w:ascii="宋体" w:hAnsi="宋体"/>
                <w:szCs w:val="21"/>
              </w:rPr>
            </w:pPr>
            <w:r>
              <w:rPr>
                <w:rFonts w:hint="eastAsia" w:ascii="宋体" w:hAnsi="宋体"/>
                <w:szCs w:val="21"/>
                <w:highlight w:val="white"/>
              </w:rPr>
              <w:t>条款名称</w:t>
            </w:r>
          </w:p>
        </w:tc>
        <w:tc>
          <w:tcPr>
            <w:tcW w:w="3069" w:type="dxa"/>
            <w:noWrap w:val="0"/>
            <w:vAlign w:val="center"/>
          </w:tcPr>
          <w:p w14:paraId="5D381D39">
            <w:pPr>
              <w:spacing w:line="360" w:lineRule="auto"/>
              <w:jc w:val="center"/>
              <w:rPr>
                <w:rFonts w:ascii="宋体" w:hAnsi="宋体"/>
                <w:szCs w:val="21"/>
              </w:rPr>
            </w:pPr>
            <w:r>
              <w:rPr>
                <w:rFonts w:hint="eastAsia" w:ascii="宋体" w:hAnsi="宋体"/>
                <w:szCs w:val="21"/>
                <w:highlight w:val="white"/>
              </w:rPr>
              <w:t>约定</w:t>
            </w:r>
            <w:r>
              <w:rPr>
                <w:rFonts w:ascii="宋体" w:hAnsi="宋体"/>
                <w:szCs w:val="21"/>
                <w:highlight w:val="white"/>
              </w:rPr>
              <w:t>内容</w:t>
            </w:r>
          </w:p>
        </w:tc>
        <w:tc>
          <w:tcPr>
            <w:tcW w:w="903" w:type="dxa"/>
            <w:noWrap w:val="0"/>
            <w:vAlign w:val="center"/>
          </w:tcPr>
          <w:p w14:paraId="016825F6">
            <w:pPr>
              <w:spacing w:line="360" w:lineRule="auto"/>
              <w:jc w:val="center"/>
              <w:rPr>
                <w:rFonts w:ascii="宋体" w:hAnsi="宋体"/>
                <w:szCs w:val="21"/>
              </w:rPr>
            </w:pPr>
            <w:r>
              <w:rPr>
                <w:rFonts w:ascii="宋体" w:hAnsi="宋体"/>
                <w:szCs w:val="21"/>
                <w:highlight w:val="white"/>
              </w:rPr>
              <w:t>备注</w:t>
            </w:r>
          </w:p>
        </w:tc>
      </w:tr>
      <w:tr w14:paraId="50E4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7B876465">
            <w:pPr>
              <w:spacing w:line="360" w:lineRule="auto"/>
              <w:jc w:val="center"/>
              <w:rPr>
                <w:rFonts w:ascii="宋体" w:hAnsi="宋体"/>
                <w:szCs w:val="21"/>
              </w:rPr>
            </w:pPr>
            <w:r>
              <w:rPr>
                <w:rFonts w:ascii="宋体" w:hAnsi="宋体"/>
                <w:szCs w:val="21"/>
                <w:highlight w:val="white"/>
              </w:rPr>
              <w:t>1</w:t>
            </w:r>
          </w:p>
        </w:tc>
        <w:tc>
          <w:tcPr>
            <w:tcW w:w="2623" w:type="dxa"/>
            <w:noWrap w:val="0"/>
            <w:vAlign w:val="center"/>
          </w:tcPr>
          <w:p w14:paraId="5180A08E">
            <w:pPr>
              <w:spacing w:line="360" w:lineRule="auto"/>
              <w:ind w:firstLine="630" w:firstLineChars="300"/>
              <w:rPr>
                <w:rFonts w:ascii="宋体" w:hAnsi="宋体"/>
                <w:szCs w:val="21"/>
              </w:rPr>
            </w:pPr>
            <w:r>
              <w:rPr>
                <w:rFonts w:ascii="宋体" w:hAnsi="宋体"/>
                <w:szCs w:val="21"/>
                <w:highlight w:val="white"/>
              </w:rPr>
              <w:t>项目经理</w:t>
            </w:r>
          </w:p>
        </w:tc>
        <w:tc>
          <w:tcPr>
            <w:tcW w:w="3069" w:type="dxa"/>
            <w:noWrap w:val="0"/>
            <w:vAlign w:val="center"/>
          </w:tcPr>
          <w:p w14:paraId="3854EF46">
            <w:pPr>
              <w:spacing w:line="360" w:lineRule="auto"/>
              <w:rPr>
                <w:szCs w:val="21"/>
              </w:rPr>
            </w:pPr>
            <w:r>
              <w:rPr>
                <w:szCs w:val="21"/>
                <w:highlight w:val="white"/>
              </w:rPr>
              <w:t xml:space="preserve">姓名：           </w:t>
            </w:r>
          </w:p>
        </w:tc>
        <w:tc>
          <w:tcPr>
            <w:tcW w:w="903" w:type="dxa"/>
            <w:noWrap w:val="0"/>
            <w:vAlign w:val="center"/>
          </w:tcPr>
          <w:p w14:paraId="7319FD8B">
            <w:pPr>
              <w:spacing w:line="360" w:lineRule="auto"/>
              <w:rPr>
                <w:szCs w:val="21"/>
              </w:rPr>
            </w:pPr>
          </w:p>
        </w:tc>
      </w:tr>
      <w:tr w14:paraId="5969B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63A49502">
            <w:pPr>
              <w:spacing w:line="360" w:lineRule="auto"/>
              <w:jc w:val="center"/>
              <w:rPr>
                <w:rFonts w:hint="eastAsia" w:ascii="宋体" w:hAnsi="宋体"/>
                <w:szCs w:val="21"/>
              </w:rPr>
            </w:pPr>
            <w:r>
              <w:rPr>
                <w:rFonts w:hint="eastAsia" w:ascii="宋体" w:hAnsi="宋体"/>
                <w:szCs w:val="21"/>
                <w:highlight w:val="white"/>
              </w:rPr>
              <w:t>2</w:t>
            </w:r>
          </w:p>
        </w:tc>
        <w:tc>
          <w:tcPr>
            <w:tcW w:w="2623" w:type="dxa"/>
            <w:noWrap w:val="0"/>
            <w:vAlign w:val="center"/>
          </w:tcPr>
          <w:p w14:paraId="1CF8C226">
            <w:pPr>
              <w:spacing w:line="360" w:lineRule="auto"/>
              <w:ind w:firstLine="630" w:firstLineChars="300"/>
              <w:rPr>
                <w:rFonts w:hint="eastAsia" w:ascii="宋体" w:hAnsi="宋体"/>
                <w:szCs w:val="21"/>
              </w:rPr>
            </w:pPr>
            <w:r>
              <w:rPr>
                <w:rFonts w:hint="eastAsia" w:ascii="宋体" w:hAnsi="宋体"/>
                <w:szCs w:val="21"/>
                <w:highlight w:val="white"/>
              </w:rPr>
              <w:t>施工负责人</w:t>
            </w:r>
          </w:p>
        </w:tc>
        <w:tc>
          <w:tcPr>
            <w:tcW w:w="3069" w:type="dxa"/>
            <w:noWrap w:val="0"/>
            <w:vAlign w:val="center"/>
          </w:tcPr>
          <w:p w14:paraId="3B2DFECB">
            <w:pPr>
              <w:spacing w:line="360" w:lineRule="auto"/>
              <w:rPr>
                <w:szCs w:val="21"/>
              </w:rPr>
            </w:pPr>
            <w:r>
              <w:rPr>
                <w:szCs w:val="21"/>
                <w:highlight w:val="white"/>
              </w:rPr>
              <w:t>姓名：</w:t>
            </w:r>
          </w:p>
        </w:tc>
        <w:tc>
          <w:tcPr>
            <w:tcW w:w="903" w:type="dxa"/>
            <w:noWrap w:val="0"/>
            <w:vAlign w:val="center"/>
          </w:tcPr>
          <w:p w14:paraId="537B2AD2">
            <w:pPr>
              <w:spacing w:line="360" w:lineRule="auto"/>
              <w:rPr>
                <w:szCs w:val="21"/>
              </w:rPr>
            </w:pPr>
          </w:p>
        </w:tc>
      </w:tr>
      <w:tr w14:paraId="3762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11891051">
            <w:pPr>
              <w:spacing w:line="360" w:lineRule="auto"/>
              <w:jc w:val="center"/>
              <w:rPr>
                <w:rFonts w:hint="eastAsia" w:ascii="宋体" w:hAnsi="宋体"/>
                <w:szCs w:val="21"/>
              </w:rPr>
            </w:pPr>
            <w:r>
              <w:rPr>
                <w:rFonts w:hint="eastAsia" w:ascii="宋体" w:hAnsi="宋体"/>
                <w:szCs w:val="21"/>
                <w:highlight w:val="white"/>
              </w:rPr>
              <w:t>3</w:t>
            </w:r>
          </w:p>
        </w:tc>
        <w:tc>
          <w:tcPr>
            <w:tcW w:w="2623" w:type="dxa"/>
            <w:noWrap w:val="0"/>
            <w:vAlign w:val="center"/>
          </w:tcPr>
          <w:p w14:paraId="1A3C5B2D">
            <w:pPr>
              <w:spacing w:line="360" w:lineRule="auto"/>
              <w:ind w:firstLine="630" w:firstLineChars="300"/>
              <w:rPr>
                <w:rFonts w:hint="eastAsia" w:ascii="宋体" w:hAnsi="宋体"/>
                <w:szCs w:val="21"/>
              </w:rPr>
            </w:pPr>
            <w:r>
              <w:rPr>
                <w:rFonts w:hint="eastAsia" w:ascii="宋体" w:hAnsi="宋体"/>
                <w:szCs w:val="21"/>
                <w:highlight w:val="white"/>
              </w:rPr>
              <w:t>设计负责人</w:t>
            </w:r>
          </w:p>
        </w:tc>
        <w:tc>
          <w:tcPr>
            <w:tcW w:w="3069" w:type="dxa"/>
            <w:noWrap w:val="0"/>
            <w:vAlign w:val="center"/>
          </w:tcPr>
          <w:p w14:paraId="58C28F1A">
            <w:pPr>
              <w:spacing w:line="360" w:lineRule="auto"/>
              <w:rPr>
                <w:szCs w:val="21"/>
              </w:rPr>
            </w:pPr>
            <w:r>
              <w:rPr>
                <w:szCs w:val="21"/>
                <w:highlight w:val="white"/>
              </w:rPr>
              <w:t>姓名：</w:t>
            </w:r>
          </w:p>
        </w:tc>
        <w:tc>
          <w:tcPr>
            <w:tcW w:w="903" w:type="dxa"/>
            <w:noWrap w:val="0"/>
            <w:vAlign w:val="center"/>
          </w:tcPr>
          <w:p w14:paraId="779A1A47">
            <w:pPr>
              <w:spacing w:line="360" w:lineRule="auto"/>
              <w:rPr>
                <w:szCs w:val="21"/>
              </w:rPr>
            </w:pPr>
          </w:p>
        </w:tc>
      </w:tr>
      <w:tr w14:paraId="49F40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0CCC39A9">
            <w:pPr>
              <w:spacing w:line="360" w:lineRule="auto"/>
              <w:jc w:val="center"/>
              <w:rPr>
                <w:rFonts w:hint="eastAsia" w:ascii="宋体" w:hAnsi="宋体"/>
                <w:szCs w:val="21"/>
              </w:rPr>
            </w:pPr>
            <w:r>
              <w:rPr>
                <w:rFonts w:hint="eastAsia" w:ascii="宋体" w:hAnsi="宋体"/>
                <w:szCs w:val="21"/>
                <w:highlight w:val="white"/>
              </w:rPr>
              <w:t>4</w:t>
            </w:r>
          </w:p>
        </w:tc>
        <w:tc>
          <w:tcPr>
            <w:tcW w:w="2623" w:type="dxa"/>
            <w:noWrap w:val="0"/>
            <w:vAlign w:val="center"/>
          </w:tcPr>
          <w:p w14:paraId="7BC844D3">
            <w:pPr>
              <w:spacing w:line="360" w:lineRule="auto"/>
              <w:jc w:val="center"/>
              <w:rPr>
                <w:rFonts w:ascii="宋体" w:hAnsi="宋体"/>
                <w:szCs w:val="21"/>
              </w:rPr>
            </w:pPr>
            <w:r>
              <w:rPr>
                <w:rFonts w:ascii="宋体" w:hAnsi="宋体"/>
                <w:szCs w:val="21"/>
                <w:highlight w:val="white"/>
              </w:rPr>
              <w:t>工期</w:t>
            </w:r>
          </w:p>
        </w:tc>
        <w:tc>
          <w:tcPr>
            <w:tcW w:w="3069" w:type="dxa"/>
            <w:noWrap w:val="0"/>
            <w:vAlign w:val="center"/>
          </w:tcPr>
          <w:p w14:paraId="5EC9D8BB">
            <w:pPr>
              <w:spacing w:line="360" w:lineRule="auto"/>
              <w:rPr>
                <w:szCs w:val="21"/>
              </w:rPr>
            </w:pPr>
            <w:r>
              <w:rPr>
                <w:szCs w:val="21"/>
                <w:highlight w:val="white"/>
              </w:rPr>
              <w:t>天数：        日历天</w:t>
            </w:r>
          </w:p>
        </w:tc>
        <w:tc>
          <w:tcPr>
            <w:tcW w:w="903" w:type="dxa"/>
            <w:noWrap w:val="0"/>
            <w:vAlign w:val="center"/>
          </w:tcPr>
          <w:p w14:paraId="4C83BE13">
            <w:pPr>
              <w:spacing w:line="360" w:lineRule="auto"/>
              <w:ind w:firstLine="718" w:firstLineChars="342"/>
              <w:rPr>
                <w:szCs w:val="21"/>
              </w:rPr>
            </w:pPr>
          </w:p>
        </w:tc>
      </w:tr>
      <w:tr w14:paraId="762EF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7E44C714">
            <w:pPr>
              <w:spacing w:line="360" w:lineRule="auto"/>
              <w:jc w:val="center"/>
              <w:rPr>
                <w:rFonts w:hint="eastAsia" w:ascii="宋体" w:hAnsi="宋体"/>
                <w:szCs w:val="21"/>
              </w:rPr>
            </w:pPr>
            <w:r>
              <w:rPr>
                <w:rFonts w:hint="eastAsia" w:ascii="宋体" w:hAnsi="宋体"/>
                <w:szCs w:val="21"/>
                <w:highlight w:val="white"/>
              </w:rPr>
              <w:t>5</w:t>
            </w:r>
          </w:p>
        </w:tc>
        <w:tc>
          <w:tcPr>
            <w:tcW w:w="2623" w:type="dxa"/>
            <w:noWrap w:val="0"/>
            <w:vAlign w:val="center"/>
          </w:tcPr>
          <w:p w14:paraId="4A09CB17">
            <w:pPr>
              <w:spacing w:line="360" w:lineRule="auto"/>
              <w:jc w:val="center"/>
              <w:rPr>
                <w:rFonts w:ascii="宋体" w:hAnsi="宋体"/>
                <w:szCs w:val="21"/>
              </w:rPr>
            </w:pPr>
            <w:r>
              <w:rPr>
                <w:rFonts w:ascii="宋体" w:hAnsi="宋体"/>
                <w:szCs w:val="21"/>
                <w:highlight w:val="white"/>
              </w:rPr>
              <w:t>缺陷责任期</w:t>
            </w:r>
          </w:p>
        </w:tc>
        <w:tc>
          <w:tcPr>
            <w:tcW w:w="3069" w:type="dxa"/>
            <w:noWrap w:val="0"/>
            <w:vAlign w:val="center"/>
          </w:tcPr>
          <w:p w14:paraId="301027D5">
            <w:pPr>
              <w:spacing w:line="360" w:lineRule="auto"/>
              <w:jc w:val="center"/>
              <w:rPr>
                <w:szCs w:val="21"/>
              </w:rPr>
            </w:pPr>
            <w:r>
              <w:rPr>
                <w:rFonts w:ascii="宋体" w:hAnsi="宋体"/>
                <w:szCs w:val="21"/>
                <w:highlight w:val="white"/>
              </w:rPr>
              <w:t>……</w:t>
            </w:r>
          </w:p>
        </w:tc>
        <w:tc>
          <w:tcPr>
            <w:tcW w:w="903" w:type="dxa"/>
            <w:noWrap w:val="0"/>
            <w:vAlign w:val="center"/>
          </w:tcPr>
          <w:p w14:paraId="4CDAB82D">
            <w:pPr>
              <w:spacing w:line="360" w:lineRule="auto"/>
              <w:rPr>
                <w:szCs w:val="21"/>
              </w:rPr>
            </w:pPr>
          </w:p>
        </w:tc>
      </w:tr>
      <w:tr w14:paraId="5032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center"/>
          </w:tcPr>
          <w:p w14:paraId="2304010E">
            <w:pPr>
              <w:spacing w:line="360" w:lineRule="auto"/>
              <w:jc w:val="center"/>
              <w:rPr>
                <w:rFonts w:hint="eastAsia" w:ascii="宋体" w:hAnsi="宋体"/>
                <w:szCs w:val="21"/>
              </w:rPr>
            </w:pPr>
            <w:r>
              <w:rPr>
                <w:rFonts w:hint="eastAsia" w:ascii="宋体" w:hAnsi="宋体"/>
                <w:szCs w:val="21"/>
                <w:highlight w:val="white"/>
              </w:rPr>
              <w:t>6</w:t>
            </w:r>
          </w:p>
        </w:tc>
        <w:tc>
          <w:tcPr>
            <w:tcW w:w="2623" w:type="dxa"/>
            <w:noWrap w:val="0"/>
            <w:vAlign w:val="center"/>
          </w:tcPr>
          <w:p w14:paraId="357F3D91">
            <w:pPr>
              <w:spacing w:line="360" w:lineRule="auto"/>
              <w:jc w:val="center"/>
              <w:rPr>
                <w:rFonts w:ascii="宋体" w:hAnsi="宋体"/>
                <w:szCs w:val="21"/>
              </w:rPr>
            </w:pPr>
            <w:r>
              <w:rPr>
                <w:rFonts w:ascii="宋体" w:hAnsi="宋体"/>
                <w:szCs w:val="21"/>
                <w:highlight w:val="white"/>
              </w:rPr>
              <w:t>分包</w:t>
            </w:r>
          </w:p>
        </w:tc>
        <w:tc>
          <w:tcPr>
            <w:tcW w:w="3069" w:type="dxa"/>
            <w:noWrap w:val="0"/>
            <w:vAlign w:val="center"/>
          </w:tcPr>
          <w:p w14:paraId="53148CA0">
            <w:pPr>
              <w:spacing w:line="360" w:lineRule="auto"/>
              <w:jc w:val="center"/>
              <w:rPr>
                <w:szCs w:val="21"/>
              </w:rPr>
            </w:pPr>
            <w:r>
              <w:rPr>
                <w:rFonts w:ascii="宋体" w:hAnsi="宋体"/>
                <w:szCs w:val="21"/>
                <w:highlight w:val="white"/>
              </w:rPr>
              <w:t>……</w:t>
            </w:r>
          </w:p>
        </w:tc>
        <w:tc>
          <w:tcPr>
            <w:tcW w:w="903" w:type="dxa"/>
            <w:noWrap w:val="0"/>
            <w:vAlign w:val="center"/>
          </w:tcPr>
          <w:p w14:paraId="768A68A7">
            <w:pPr>
              <w:spacing w:line="360" w:lineRule="auto"/>
              <w:rPr>
                <w:szCs w:val="21"/>
              </w:rPr>
            </w:pPr>
          </w:p>
        </w:tc>
      </w:tr>
      <w:tr w14:paraId="35F01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noWrap w:val="0"/>
            <w:vAlign w:val="top"/>
          </w:tcPr>
          <w:p w14:paraId="4670A216">
            <w:pPr>
              <w:spacing w:line="360" w:lineRule="auto"/>
              <w:jc w:val="center"/>
              <w:rPr>
                <w:rFonts w:ascii="宋体" w:hAnsi="宋体"/>
                <w:szCs w:val="21"/>
              </w:rPr>
            </w:pPr>
            <w:r>
              <w:rPr>
                <w:rFonts w:ascii="宋体" w:hAnsi="宋体"/>
                <w:szCs w:val="21"/>
                <w:highlight w:val="white"/>
              </w:rPr>
              <w:t>……</w:t>
            </w:r>
          </w:p>
        </w:tc>
        <w:tc>
          <w:tcPr>
            <w:tcW w:w="2623" w:type="dxa"/>
            <w:noWrap w:val="0"/>
            <w:vAlign w:val="top"/>
          </w:tcPr>
          <w:p w14:paraId="3D794C69">
            <w:pPr>
              <w:spacing w:line="360" w:lineRule="auto"/>
              <w:jc w:val="center"/>
              <w:rPr>
                <w:rFonts w:ascii="宋体" w:hAnsi="宋体"/>
                <w:szCs w:val="21"/>
              </w:rPr>
            </w:pPr>
            <w:r>
              <w:rPr>
                <w:rFonts w:ascii="宋体" w:hAnsi="宋体"/>
                <w:szCs w:val="21"/>
                <w:highlight w:val="white"/>
              </w:rPr>
              <w:t>……</w:t>
            </w:r>
          </w:p>
        </w:tc>
        <w:tc>
          <w:tcPr>
            <w:tcW w:w="3069" w:type="dxa"/>
            <w:noWrap w:val="0"/>
            <w:vAlign w:val="center"/>
          </w:tcPr>
          <w:p w14:paraId="3E7DD485">
            <w:pPr>
              <w:spacing w:line="360" w:lineRule="auto"/>
              <w:jc w:val="center"/>
              <w:rPr>
                <w:szCs w:val="21"/>
              </w:rPr>
            </w:pPr>
            <w:r>
              <w:rPr>
                <w:rFonts w:ascii="宋体" w:hAnsi="宋体"/>
                <w:szCs w:val="21"/>
                <w:highlight w:val="white"/>
              </w:rPr>
              <w:t>……</w:t>
            </w:r>
          </w:p>
        </w:tc>
        <w:tc>
          <w:tcPr>
            <w:tcW w:w="903" w:type="dxa"/>
            <w:noWrap w:val="0"/>
            <w:vAlign w:val="center"/>
          </w:tcPr>
          <w:p w14:paraId="2C03F288">
            <w:pPr>
              <w:spacing w:line="360" w:lineRule="auto"/>
              <w:rPr>
                <w:szCs w:val="21"/>
              </w:rPr>
            </w:pPr>
          </w:p>
        </w:tc>
      </w:tr>
      <w:tr w14:paraId="580D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645" w:type="dxa"/>
            <w:noWrap w:val="0"/>
            <w:vAlign w:val="top"/>
          </w:tcPr>
          <w:p w14:paraId="1E9C36B9">
            <w:pPr>
              <w:spacing w:line="360" w:lineRule="auto"/>
              <w:jc w:val="center"/>
              <w:rPr>
                <w:rFonts w:ascii="宋体" w:hAnsi="宋体"/>
                <w:szCs w:val="21"/>
              </w:rPr>
            </w:pPr>
            <w:r>
              <w:rPr>
                <w:rFonts w:ascii="宋体" w:hAnsi="宋体"/>
                <w:szCs w:val="21"/>
                <w:highlight w:val="white"/>
              </w:rPr>
              <w:t>……</w:t>
            </w:r>
          </w:p>
        </w:tc>
        <w:tc>
          <w:tcPr>
            <w:tcW w:w="2623" w:type="dxa"/>
            <w:noWrap w:val="0"/>
            <w:vAlign w:val="top"/>
          </w:tcPr>
          <w:p w14:paraId="5A30D7C2">
            <w:pPr>
              <w:spacing w:line="360" w:lineRule="auto"/>
              <w:jc w:val="center"/>
              <w:rPr>
                <w:rFonts w:ascii="宋体" w:hAnsi="宋体"/>
                <w:szCs w:val="21"/>
              </w:rPr>
            </w:pPr>
            <w:r>
              <w:rPr>
                <w:rFonts w:ascii="宋体" w:hAnsi="宋体"/>
                <w:szCs w:val="21"/>
                <w:highlight w:val="white"/>
              </w:rPr>
              <w:t>……</w:t>
            </w:r>
          </w:p>
        </w:tc>
        <w:tc>
          <w:tcPr>
            <w:tcW w:w="3069" w:type="dxa"/>
            <w:noWrap w:val="0"/>
            <w:vAlign w:val="center"/>
          </w:tcPr>
          <w:p w14:paraId="3E5D8785">
            <w:pPr>
              <w:spacing w:line="360" w:lineRule="auto"/>
              <w:jc w:val="center"/>
              <w:rPr>
                <w:szCs w:val="21"/>
              </w:rPr>
            </w:pPr>
            <w:r>
              <w:rPr>
                <w:rFonts w:ascii="宋体" w:hAnsi="宋体"/>
                <w:szCs w:val="21"/>
                <w:highlight w:val="white"/>
              </w:rPr>
              <w:t>……</w:t>
            </w:r>
          </w:p>
        </w:tc>
        <w:tc>
          <w:tcPr>
            <w:tcW w:w="903" w:type="dxa"/>
            <w:noWrap w:val="0"/>
            <w:vAlign w:val="center"/>
          </w:tcPr>
          <w:p w14:paraId="32C6601C">
            <w:pPr>
              <w:spacing w:line="360" w:lineRule="auto"/>
              <w:rPr>
                <w:szCs w:val="21"/>
              </w:rPr>
            </w:pPr>
          </w:p>
        </w:tc>
      </w:tr>
    </w:tbl>
    <w:p w14:paraId="5EC83CFC"/>
    <w:p w14:paraId="22CD5E45">
      <w:pPr>
        <w:pStyle w:val="3"/>
        <w:spacing w:line="360" w:lineRule="auto"/>
        <w:jc w:val="center"/>
        <w:rPr>
          <w:rFonts w:hint="eastAsia"/>
          <w:sz w:val="24"/>
          <w:szCs w:val="24"/>
        </w:rPr>
      </w:pPr>
      <w:r>
        <w:rPr>
          <w:highlight w:val="white"/>
        </w:rPr>
        <w:br w:type="page"/>
      </w:r>
      <w:bookmarkStart w:id="239" w:name="_Toc256000347"/>
      <w:r>
        <w:rPr>
          <w:rFonts w:hint="eastAsia" w:ascii="宋体" w:eastAsia="宋体"/>
          <w:bCs w:val="0"/>
          <w:kern w:val="44"/>
          <w:highlight w:val="white"/>
        </w:rPr>
        <w:t>一、投标函及投标函附录</w:t>
      </w:r>
      <w:r>
        <w:rPr>
          <w:rFonts w:hint="eastAsia" w:ascii="宋体" w:eastAsia="宋体"/>
          <w:bCs w:val="0"/>
          <w:kern w:val="44"/>
          <w:sz w:val="24"/>
          <w:szCs w:val="24"/>
          <w:highlight w:val="white"/>
        </w:rPr>
        <w:t>（适用于总价与单价组合式合同方式）</w:t>
      </w:r>
      <w:bookmarkEnd w:id="239"/>
    </w:p>
    <w:p w14:paraId="35A3867C">
      <w:pPr>
        <w:pStyle w:val="4"/>
        <w:spacing w:line="360" w:lineRule="auto"/>
        <w:ind w:firstLine="3245" w:firstLineChars="1347"/>
        <w:rPr>
          <w:sz w:val="20"/>
          <w:szCs w:val="20"/>
        </w:rPr>
      </w:pPr>
      <w:bookmarkStart w:id="240" w:name="_Toc256000348"/>
      <w:r>
        <w:rPr>
          <w:rFonts w:hint="eastAsia" w:ascii="宋体" w:eastAsia="宋体"/>
          <w:b/>
          <w:kern w:val="0"/>
          <w:sz w:val="24"/>
          <w:szCs w:val="24"/>
          <w:highlight w:val="white"/>
        </w:rPr>
        <w:t>（一）投标函</w:t>
      </w:r>
      <w:bookmarkEnd w:id="240"/>
    </w:p>
    <w:p w14:paraId="4B80523B">
      <w:pPr>
        <w:spacing w:line="360" w:lineRule="auto"/>
        <w:rPr>
          <w:rFonts w:hint="eastAsia"/>
          <w:szCs w:val="21"/>
        </w:rPr>
      </w:pPr>
      <w:r>
        <w:rPr>
          <w:szCs w:val="21"/>
          <w:highlight w:val="white"/>
          <w:u w:val="single"/>
        </w:rPr>
        <w:t xml:space="preserve">                        </w:t>
      </w:r>
      <w:r>
        <w:rPr>
          <w:rFonts w:hint="eastAsia"/>
          <w:szCs w:val="21"/>
          <w:highlight w:val="white"/>
        </w:rPr>
        <w:t>（招标人名称）：</w:t>
      </w:r>
    </w:p>
    <w:p w14:paraId="565F8A82">
      <w:pPr>
        <w:spacing w:line="440" w:lineRule="exact"/>
        <w:rPr>
          <w:rFonts w:ascii="宋体" w:hAnsi="宋体" w:cs="宋体"/>
          <w:szCs w:val="21"/>
        </w:rPr>
      </w:pPr>
      <w:r>
        <w:rPr>
          <w:szCs w:val="21"/>
          <w:highlight w:val="white"/>
        </w:rPr>
        <w:t>1</w:t>
      </w:r>
      <w:r>
        <w:rPr>
          <w:rFonts w:hint="eastAsia"/>
          <w:szCs w:val="21"/>
          <w:highlight w:val="white"/>
        </w:rPr>
        <w:t>．我方已仔细研究了</w:t>
      </w:r>
      <w:r>
        <w:rPr>
          <w:szCs w:val="21"/>
          <w:highlight w:val="white"/>
          <w:u w:val="single"/>
        </w:rPr>
        <w:t xml:space="preserve">               </w:t>
      </w:r>
      <w:r>
        <w:rPr>
          <w:rFonts w:hint="eastAsia"/>
          <w:szCs w:val="21"/>
          <w:highlight w:val="white"/>
        </w:rPr>
        <w:t>（项目名称）设计施工总承包</w:t>
      </w:r>
      <w:r>
        <w:rPr>
          <w:szCs w:val="21"/>
          <w:highlight w:val="white"/>
          <w:u w:val="single"/>
        </w:rPr>
        <w:t xml:space="preserve">    </w:t>
      </w:r>
      <w:r>
        <w:rPr>
          <w:rFonts w:hint="eastAsia"/>
          <w:szCs w:val="21"/>
          <w:highlight w:val="white"/>
        </w:rPr>
        <w:t>标段招标文件的全部内容，</w:t>
      </w:r>
      <w:r>
        <w:rPr>
          <w:szCs w:val="21"/>
          <w:highlight w:val="white"/>
          <w:u w:val="single"/>
        </w:rPr>
        <w:t xml:space="preserve">          </w:t>
      </w:r>
      <w:r>
        <w:rPr>
          <w:rFonts w:hint="eastAsia"/>
          <w:szCs w:val="21"/>
          <w:highlight w:val="white"/>
        </w:rPr>
        <w:t>愿意以：</w:t>
      </w:r>
      <w:r>
        <w:rPr>
          <w:rFonts w:hint="eastAsia"/>
          <w:szCs w:val="21"/>
          <w:highlight w:val="white"/>
          <w:u w:val="single"/>
        </w:rPr>
        <w:t xml:space="preserve">          </w:t>
      </w:r>
      <w:r>
        <w:rPr>
          <w:rFonts w:hint="eastAsia"/>
          <w:szCs w:val="21"/>
          <w:highlight w:val="white"/>
        </w:rPr>
        <w:t>的投标报价（其中总价部分</w:t>
      </w:r>
      <w:r>
        <w:rPr>
          <w:rFonts w:hint="eastAsia"/>
          <w:szCs w:val="21"/>
          <w:highlight w:val="white"/>
          <w:u w:val="single"/>
        </w:rPr>
        <w:t xml:space="preserve">          </w:t>
      </w:r>
      <w:r>
        <w:rPr>
          <w:rFonts w:hint="eastAsia"/>
          <w:szCs w:val="21"/>
          <w:highlight w:val="white"/>
        </w:rPr>
        <w:t>元，单价部分</w:t>
      </w:r>
      <w:r>
        <w:rPr>
          <w:rFonts w:hint="eastAsia"/>
          <w:szCs w:val="21"/>
          <w:highlight w:val="white"/>
          <w:u w:val="single"/>
        </w:rPr>
        <w:t xml:space="preserve">          </w:t>
      </w:r>
      <w:r>
        <w:rPr>
          <w:rFonts w:hint="eastAsia"/>
          <w:szCs w:val="21"/>
          <w:highlight w:val="white"/>
        </w:rPr>
        <w:t>元），工期</w:t>
      </w:r>
      <w:r>
        <w:rPr>
          <w:szCs w:val="21"/>
          <w:highlight w:val="white"/>
          <w:u w:val="single"/>
        </w:rPr>
        <w:t xml:space="preserve">          </w:t>
      </w:r>
      <w:r>
        <w:rPr>
          <w:szCs w:val="21"/>
          <w:highlight w:val="white"/>
        </w:rPr>
        <w:t xml:space="preserve"> </w:t>
      </w:r>
      <w:r>
        <w:rPr>
          <w:rFonts w:hint="eastAsia"/>
          <w:szCs w:val="21"/>
          <w:highlight w:val="white"/>
        </w:rPr>
        <w:t>，</w:t>
      </w:r>
      <w:r>
        <w:rPr>
          <w:rFonts w:hint="eastAsia" w:ascii="宋体" w:hAnsi="宋体" w:cs="宋体"/>
          <w:szCs w:val="21"/>
          <w:highlight w:val="white"/>
        </w:rPr>
        <w:t>设计质量标准：</w:t>
      </w:r>
      <w:r>
        <w:rPr>
          <w:rFonts w:hint="eastAsia" w:ascii="宋体" w:hAnsi="宋体" w:cs="宋体"/>
          <w:bCs/>
          <w:szCs w:val="21"/>
          <w:highlight w:val="white"/>
          <w:u w:val="single"/>
        </w:rPr>
        <w:t xml:space="preserve">           </w:t>
      </w:r>
      <w:r>
        <w:rPr>
          <w:rFonts w:hint="eastAsia" w:ascii="宋体" w:hAnsi="宋体" w:cs="宋体"/>
          <w:bCs/>
          <w:szCs w:val="21"/>
          <w:highlight w:val="white"/>
        </w:rPr>
        <w:t>，</w:t>
      </w:r>
      <w:r>
        <w:rPr>
          <w:rFonts w:hint="eastAsia" w:ascii="宋体" w:hAnsi="宋体" w:cs="宋体"/>
          <w:szCs w:val="21"/>
          <w:highlight w:val="white"/>
        </w:rPr>
        <w:t>施工质量标准：</w:t>
      </w:r>
      <w:r>
        <w:rPr>
          <w:rFonts w:hint="eastAsia" w:ascii="宋体" w:hAnsi="宋体" w:cs="宋体"/>
          <w:bCs/>
          <w:szCs w:val="21"/>
          <w:highlight w:val="white"/>
          <w:u w:val="single"/>
        </w:rPr>
        <w:t xml:space="preserve">           </w:t>
      </w:r>
      <w:r>
        <w:rPr>
          <w:rFonts w:hint="eastAsia" w:ascii="宋体" w:hAnsi="宋体" w:cs="宋体"/>
          <w:bCs/>
          <w:szCs w:val="21"/>
          <w:highlight w:val="white"/>
        </w:rPr>
        <w:t>，</w:t>
      </w:r>
      <w:r>
        <w:rPr>
          <w:rFonts w:hint="eastAsia" w:ascii="宋体" w:hAnsi="宋体" w:cs="宋体"/>
          <w:szCs w:val="21"/>
          <w:highlight w:val="white"/>
        </w:rPr>
        <w:t>按合同约定进行设计、实施和竣工承包工程，修补工程中的任何缺陷，实现工程目的。</w:t>
      </w:r>
    </w:p>
    <w:p w14:paraId="5C80A55C">
      <w:pPr>
        <w:spacing w:line="360" w:lineRule="auto"/>
        <w:ind w:firstLine="420" w:firstLineChars="200"/>
        <w:rPr>
          <w:rFonts w:hint="eastAsia"/>
          <w:szCs w:val="21"/>
        </w:rPr>
      </w:pPr>
      <w:r>
        <w:rPr>
          <w:szCs w:val="21"/>
          <w:highlight w:val="white"/>
        </w:rPr>
        <w:t>2</w:t>
      </w:r>
      <w:r>
        <w:rPr>
          <w:rFonts w:hint="eastAsia"/>
          <w:szCs w:val="21"/>
          <w:highlight w:val="white"/>
        </w:rPr>
        <w:t>．我方承诺在招标文件规定的投标有效期内不修改、撤销投标文件。</w:t>
      </w:r>
    </w:p>
    <w:p w14:paraId="72B3DD51">
      <w:pPr>
        <w:spacing w:line="360" w:lineRule="auto"/>
        <w:ind w:firstLine="420" w:firstLineChars="200"/>
        <w:rPr>
          <w:szCs w:val="21"/>
        </w:rPr>
      </w:pPr>
      <w:r>
        <w:rPr>
          <w:szCs w:val="21"/>
          <w:highlight w:val="white"/>
        </w:rPr>
        <w:t>3</w:t>
      </w:r>
      <w:r>
        <w:rPr>
          <w:rFonts w:hint="eastAsia"/>
          <w:szCs w:val="21"/>
          <w:highlight w:val="white"/>
        </w:rPr>
        <w:t>．随同本投标函提交投标保证金一份，金额为人民币（大写）</w:t>
      </w:r>
      <w:r>
        <w:rPr>
          <w:szCs w:val="21"/>
          <w:highlight w:val="white"/>
          <w:u w:val="single"/>
        </w:rPr>
        <w:t xml:space="preserve">        </w:t>
      </w:r>
      <w:r>
        <w:rPr>
          <w:rFonts w:hint="eastAsia"/>
          <w:szCs w:val="21"/>
          <w:highlight w:val="white"/>
        </w:rPr>
        <w:t>（</w:t>
      </w:r>
      <w:r>
        <w:rPr>
          <w:szCs w:val="21"/>
          <w:highlight w:val="white"/>
        </w:rPr>
        <w:t>¥</w:t>
      </w:r>
      <w:r>
        <w:rPr>
          <w:szCs w:val="21"/>
          <w:highlight w:val="white"/>
          <w:u w:val="single"/>
        </w:rPr>
        <w:t xml:space="preserve">      </w:t>
      </w:r>
      <w:r>
        <w:rPr>
          <w:szCs w:val="21"/>
          <w:highlight w:val="white"/>
        </w:rPr>
        <w:t xml:space="preserve"> </w:t>
      </w:r>
      <w:r>
        <w:rPr>
          <w:rFonts w:hint="eastAsia"/>
          <w:szCs w:val="21"/>
          <w:highlight w:val="white"/>
        </w:rPr>
        <w:t>）。</w:t>
      </w:r>
    </w:p>
    <w:p w14:paraId="2358F1D2">
      <w:pPr>
        <w:spacing w:line="360" w:lineRule="auto"/>
        <w:ind w:firstLine="420" w:firstLineChars="200"/>
        <w:rPr>
          <w:szCs w:val="21"/>
        </w:rPr>
      </w:pPr>
      <w:r>
        <w:rPr>
          <w:szCs w:val="21"/>
          <w:highlight w:val="white"/>
        </w:rPr>
        <w:t>4</w:t>
      </w:r>
      <w:r>
        <w:rPr>
          <w:rFonts w:hint="eastAsia"/>
          <w:szCs w:val="21"/>
          <w:highlight w:val="white"/>
        </w:rPr>
        <w:t>．如我方中标：</w:t>
      </w:r>
    </w:p>
    <w:p w14:paraId="6B6ADFB9">
      <w:pPr>
        <w:spacing w:line="360" w:lineRule="auto"/>
        <w:ind w:firstLine="718" w:firstLineChars="342"/>
        <w:rPr>
          <w:szCs w:val="21"/>
        </w:rPr>
      </w:pPr>
      <w:r>
        <w:rPr>
          <w:rFonts w:hint="eastAsia"/>
          <w:szCs w:val="21"/>
          <w:highlight w:val="white"/>
        </w:rPr>
        <w:t>（</w:t>
      </w:r>
      <w:r>
        <w:rPr>
          <w:szCs w:val="21"/>
          <w:highlight w:val="white"/>
        </w:rPr>
        <w:t>1</w:t>
      </w:r>
      <w:r>
        <w:rPr>
          <w:rFonts w:hint="eastAsia"/>
          <w:szCs w:val="21"/>
          <w:highlight w:val="white"/>
        </w:rPr>
        <w:t>）我方承诺在收到中标通知书后，在中标通知书规定的期限内与你方签订合同。</w:t>
      </w:r>
    </w:p>
    <w:p w14:paraId="5A560775">
      <w:pPr>
        <w:spacing w:line="360" w:lineRule="auto"/>
        <w:ind w:firstLine="718" w:firstLineChars="342"/>
        <w:rPr>
          <w:szCs w:val="21"/>
        </w:rPr>
      </w:pPr>
      <w:r>
        <w:rPr>
          <w:rFonts w:hint="eastAsia"/>
          <w:szCs w:val="21"/>
          <w:highlight w:val="white"/>
        </w:rPr>
        <w:t>（</w:t>
      </w:r>
      <w:r>
        <w:rPr>
          <w:szCs w:val="21"/>
          <w:highlight w:val="white"/>
        </w:rPr>
        <w:t>2</w:t>
      </w:r>
      <w:r>
        <w:rPr>
          <w:rFonts w:hint="eastAsia"/>
          <w:szCs w:val="21"/>
          <w:highlight w:val="white"/>
        </w:rPr>
        <w:t>）随同本投标函递交的投标函附录属于合同文件的组成部分。</w:t>
      </w:r>
    </w:p>
    <w:p w14:paraId="1E5D5972">
      <w:pPr>
        <w:spacing w:line="360" w:lineRule="auto"/>
        <w:ind w:firstLine="718" w:firstLineChars="342"/>
        <w:rPr>
          <w:szCs w:val="21"/>
        </w:rPr>
      </w:pPr>
      <w:r>
        <w:rPr>
          <w:rFonts w:hint="eastAsia"/>
          <w:szCs w:val="21"/>
          <w:highlight w:val="white"/>
        </w:rPr>
        <w:t>（</w:t>
      </w:r>
      <w:r>
        <w:rPr>
          <w:szCs w:val="21"/>
          <w:highlight w:val="white"/>
        </w:rPr>
        <w:t>3</w:t>
      </w:r>
      <w:r>
        <w:rPr>
          <w:rFonts w:hint="eastAsia"/>
          <w:szCs w:val="21"/>
          <w:highlight w:val="white"/>
        </w:rPr>
        <w:t>）我方承诺按照招标文件规定向你方递交履约担保。</w:t>
      </w:r>
    </w:p>
    <w:p w14:paraId="7E2D9ECA">
      <w:pPr>
        <w:spacing w:line="360" w:lineRule="auto"/>
        <w:ind w:firstLine="718" w:firstLineChars="342"/>
        <w:rPr>
          <w:szCs w:val="24"/>
        </w:rPr>
      </w:pPr>
      <w:r>
        <w:rPr>
          <w:rFonts w:hint="eastAsia"/>
          <w:szCs w:val="21"/>
          <w:highlight w:val="white"/>
        </w:rPr>
        <w:t>（</w:t>
      </w:r>
      <w:r>
        <w:rPr>
          <w:szCs w:val="21"/>
          <w:highlight w:val="white"/>
        </w:rPr>
        <w:t>4</w:t>
      </w:r>
      <w:r>
        <w:rPr>
          <w:rFonts w:hint="eastAsia"/>
          <w:szCs w:val="21"/>
          <w:highlight w:val="white"/>
        </w:rPr>
        <w:t>）我方承诺在合同约定的期限内不更换项目经理、施工负责人，</w:t>
      </w:r>
      <w:r>
        <w:rPr>
          <w:rFonts w:hint="eastAsia"/>
          <w:highlight w:val="white"/>
        </w:rPr>
        <w:t>因特殊情况确需更换的，应征得你方同意，且更换后的人员不低于原投标承诺人员所具有的资格和条件，否则</w:t>
      </w:r>
      <w:r>
        <w:rPr>
          <w:rFonts w:hint="eastAsia"/>
          <w:szCs w:val="21"/>
          <w:highlight w:val="white"/>
        </w:rPr>
        <w:t>愿意承担相应违约责任。</w:t>
      </w:r>
    </w:p>
    <w:p w14:paraId="38B0FC8E">
      <w:pPr>
        <w:spacing w:line="360" w:lineRule="auto"/>
        <w:ind w:firstLine="718" w:firstLineChars="342"/>
        <w:rPr>
          <w:szCs w:val="21"/>
        </w:rPr>
      </w:pPr>
      <w:r>
        <w:rPr>
          <w:rFonts w:hint="eastAsia"/>
          <w:szCs w:val="21"/>
          <w:highlight w:val="white"/>
        </w:rPr>
        <w:t>（</w:t>
      </w:r>
      <w:r>
        <w:rPr>
          <w:szCs w:val="21"/>
          <w:highlight w:val="white"/>
        </w:rPr>
        <w:t>5</w:t>
      </w:r>
      <w:r>
        <w:rPr>
          <w:rFonts w:hint="eastAsia"/>
          <w:szCs w:val="21"/>
          <w:highlight w:val="white"/>
        </w:rPr>
        <w:t>）我方承诺在合同约定的期限内完成并移交全部合同工程。</w:t>
      </w:r>
    </w:p>
    <w:p w14:paraId="3C7FDF1E">
      <w:pPr>
        <w:spacing w:line="360" w:lineRule="auto"/>
        <w:ind w:firstLine="420" w:firstLineChars="200"/>
        <w:rPr>
          <w:szCs w:val="21"/>
        </w:rPr>
      </w:pPr>
      <w:r>
        <w:rPr>
          <w:szCs w:val="21"/>
          <w:highlight w:val="white"/>
        </w:rPr>
        <w:t>5</w:t>
      </w:r>
      <w:r>
        <w:rPr>
          <w:rFonts w:hint="eastAsia"/>
          <w:szCs w:val="21"/>
          <w:highlight w:val="white"/>
        </w:rPr>
        <w:t>．我方在此声明，所递交的投标文件（包括有关资料、澄清）真实可信，不存在弄虚作假或隐瞒。</w:t>
      </w:r>
    </w:p>
    <w:p w14:paraId="76010E98">
      <w:pPr>
        <w:spacing w:line="360" w:lineRule="auto"/>
        <w:ind w:firstLine="420" w:firstLineChars="200"/>
        <w:rPr>
          <w:szCs w:val="21"/>
        </w:rPr>
      </w:pPr>
      <w:r>
        <w:rPr>
          <w:rFonts w:hint="eastAsia"/>
          <w:szCs w:val="21"/>
          <w:highlight w:val="white"/>
        </w:rPr>
        <w:t>经我方认真核查，本投标人不存在招标文件第二章“投标人须知”第</w:t>
      </w:r>
      <w:r>
        <w:rPr>
          <w:szCs w:val="21"/>
          <w:highlight w:val="white"/>
        </w:rPr>
        <w:t>1.4.3</w:t>
      </w:r>
      <w:r>
        <w:rPr>
          <w:rFonts w:hint="eastAsia"/>
          <w:szCs w:val="21"/>
          <w:highlight w:val="white"/>
        </w:rPr>
        <w:t>项和第</w:t>
      </w:r>
      <w:r>
        <w:rPr>
          <w:szCs w:val="21"/>
          <w:highlight w:val="white"/>
        </w:rPr>
        <w:t>1.4.4</w:t>
      </w:r>
      <w:r>
        <w:rPr>
          <w:rFonts w:hint="eastAsia"/>
          <w:szCs w:val="21"/>
          <w:highlight w:val="white"/>
        </w:rPr>
        <w:t>项规定的任何一种情形。</w:t>
      </w:r>
    </w:p>
    <w:p w14:paraId="7E404786">
      <w:pPr>
        <w:spacing w:line="360" w:lineRule="auto"/>
        <w:ind w:firstLine="420" w:firstLineChars="200"/>
        <w:rPr>
          <w:szCs w:val="21"/>
        </w:rPr>
      </w:pPr>
      <w:r>
        <w:rPr>
          <w:szCs w:val="21"/>
          <w:highlight w:val="white"/>
        </w:rPr>
        <w:t>6</w:t>
      </w:r>
      <w:r>
        <w:rPr>
          <w:rFonts w:hint="eastAsia"/>
          <w:szCs w:val="21"/>
          <w:highlight w:val="white"/>
        </w:rPr>
        <w:t>．</w:t>
      </w:r>
      <w:r>
        <w:rPr>
          <w:szCs w:val="21"/>
          <w:highlight w:val="white"/>
          <w:u w:val="single"/>
        </w:rPr>
        <w:t xml:space="preserve">                                       </w:t>
      </w:r>
      <w:r>
        <w:rPr>
          <w:rFonts w:hint="eastAsia"/>
          <w:szCs w:val="21"/>
          <w:highlight w:val="white"/>
          <w:u w:val="single"/>
        </w:rPr>
        <w:t>（其他补充说明）</w:t>
      </w:r>
      <w:r>
        <w:rPr>
          <w:rFonts w:hint="eastAsia"/>
          <w:szCs w:val="21"/>
          <w:highlight w:val="white"/>
        </w:rPr>
        <w:t>。</w:t>
      </w:r>
    </w:p>
    <w:p w14:paraId="17A4243D">
      <w:pPr>
        <w:spacing w:line="360" w:lineRule="auto"/>
        <w:ind w:firstLine="3780" w:firstLineChars="1800"/>
        <w:rPr>
          <w:szCs w:val="21"/>
        </w:rPr>
      </w:pPr>
      <w:r>
        <w:rPr>
          <w:rFonts w:hint="eastAsia"/>
          <w:szCs w:val="21"/>
          <w:highlight w:val="white"/>
        </w:rPr>
        <w:t>投</w:t>
      </w:r>
      <w:r>
        <w:rPr>
          <w:szCs w:val="21"/>
          <w:highlight w:val="white"/>
        </w:rPr>
        <w:t xml:space="preserve"> </w:t>
      </w:r>
      <w:r>
        <w:rPr>
          <w:rFonts w:hint="eastAsia"/>
          <w:szCs w:val="21"/>
          <w:highlight w:val="white"/>
        </w:rPr>
        <w:t>标</w:t>
      </w:r>
      <w:r>
        <w:rPr>
          <w:szCs w:val="21"/>
          <w:highlight w:val="white"/>
        </w:rPr>
        <w:t xml:space="preserve"> </w:t>
      </w:r>
      <w:r>
        <w:rPr>
          <w:rFonts w:hint="eastAsia"/>
          <w:szCs w:val="21"/>
          <w:highlight w:val="white"/>
        </w:rPr>
        <w:t>人：</w:t>
      </w:r>
      <w:r>
        <w:rPr>
          <w:szCs w:val="21"/>
          <w:highlight w:val="white"/>
          <w:u w:val="single"/>
        </w:rPr>
        <w:t xml:space="preserve">                      </w:t>
      </w:r>
      <w:r>
        <w:rPr>
          <w:rFonts w:hint="eastAsia"/>
          <w:szCs w:val="21"/>
          <w:highlight w:val="white"/>
        </w:rPr>
        <w:t>（盖单位章）</w:t>
      </w:r>
    </w:p>
    <w:p w14:paraId="2ADF96CE">
      <w:pPr>
        <w:spacing w:line="360" w:lineRule="auto"/>
        <w:ind w:firstLine="3675" w:firstLineChars="1750"/>
        <w:rPr>
          <w:szCs w:val="21"/>
        </w:rPr>
      </w:pPr>
      <w:r>
        <w:rPr>
          <w:rFonts w:hint="eastAsia"/>
          <w:szCs w:val="21"/>
          <w:highlight w:val="white"/>
        </w:rPr>
        <w:t>法定代表人或其委托代理人：</w:t>
      </w:r>
      <w:r>
        <w:rPr>
          <w:szCs w:val="21"/>
          <w:highlight w:val="white"/>
          <w:u w:val="single"/>
        </w:rPr>
        <w:t xml:space="preserve">          </w:t>
      </w:r>
      <w:r>
        <w:rPr>
          <w:rFonts w:hint="eastAsia"/>
          <w:szCs w:val="21"/>
          <w:highlight w:val="white"/>
        </w:rPr>
        <w:t>（签字）</w:t>
      </w:r>
    </w:p>
    <w:p w14:paraId="5728FDA9">
      <w:pPr>
        <w:spacing w:line="360" w:lineRule="auto"/>
        <w:ind w:firstLine="3675" w:firstLineChars="1750"/>
        <w:rPr>
          <w:szCs w:val="21"/>
        </w:rPr>
      </w:pPr>
      <w:r>
        <w:rPr>
          <w:rFonts w:hint="eastAsia"/>
          <w:szCs w:val="21"/>
          <w:highlight w:val="white"/>
        </w:rPr>
        <w:t>地址：</w:t>
      </w:r>
      <w:r>
        <w:rPr>
          <w:szCs w:val="21"/>
          <w:highlight w:val="white"/>
          <w:u w:val="single"/>
        </w:rPr>
        <w:t xml:space="preserve">                                     </w:t>
      </w:r>
    </w:p>
    <w:p w14:paraId="6BC19B9D">
      <w:pPr>
        <w:spacing w:line="360" w:lineRule="auto"/>
        <w:ind w:firstLine="3675" w:firstLineChars="1750"/>
        <w:rPr>
          <w:szCs w:val="21"/>
        </w:rPr>
      </w:pPr>
      <w:r>
        <w:rPr>
          <w:rFonts w:hint="eastAsia"/>
          <w:szCs w:val="21"/>
          <w:highlight w:val="white"/>
        </w:rPr>
        <w:t>网址：</w:t>
      </w:r>
      <w:r>
        <w:rPr>
          <w:szCs w:val="21"/>
          <w:highlight w:val="white"/>
          <w:u w:val="single"/>
        </w:rPr>
        <w:t xml:space="preserve">                                     </w:t>
      </w:r>
    </w:p>
    <w:p w14:paraId="745CDD55">
      <w:pPr>
        <w:spacing w:line="360" w:lineRule="auto"/>
        <w:ind w:firstLine="3675" w:firstLineChars="1750"/>
        <w:rPr>
          <w:szCs w:val="21"/>
        </w:rPr>
      </w:pPr>
      <w:r>
        <w:rPr>
          <w:rFonts w:hint="eastAsia"/>
          <w:szCs w:val="21"/>
          <w:highlight w:val="white"/>
        </w:rPr>
        <w:t>电话：</w:t>
      </w:r>
      <w:r>
        <w:rPr>
          <w:szCs w:val="21"/>
          <w:highlight w:val="white"/>
          <w:u w:val="single"/>
        </w:rPr>
        <w:t xml:space="preserve">                                     </w:t>
      </w:r>
    </w:p>
    <w:p w14:paraId="29268CEC">
      <w:pPr>
        <w:spacing w:line="360" w:lineRule="auto"/>
        <w:ind w:firstLine="3675" w:firstLineChars="1750"/>
        <w:rPr>
          <w:szCs w:val="21"/>
        </w:rPr>
      </w:pPr>
      <w:r>
        <w:rPr>
          <w:rFonts w:hint="eastAsia"/>
          <w:szCs w:val="21"/>
          <w:highlight w:val="white"/>
        </w:rPr>
        <w:t>传真：</w:t>
      </w:r>
      <w:r>
        <w:rPr>
          <w:szCs w:val="21"/>
          <w:highlight w:val="white"/>
          <w:u w:val="single"/>
        </w:rPr>
        <w:t xml:space="preserve">                                     </w:t>
      </w:r>
    </w:p>
    <w:p w14:paraId="16945E4A">
      <w:pPr>
        <w:spacing w:line="360" w:lineRule="auto"/>
        <w:ind w:firstLine="3675" w:firstLineChars="1750"/>
        <w:rPr>
          <w:szCs w:val="21"/>
        </w:rPr>
      </w:pPr>
      <w:r>
        <w:rPr>
          <w:rFonts w:hint="eastAsia"/>
          <w:szCs w:val="21"/>
          <w:highlight w:val="white"/>
        </w:rPr>
        <w:t>邮政编码：</w:t>
      </w:r>
      <w:r>
        <w:rPr>
          <w:szCs w:val="21"/>
          <w:highlight w:val="white"/>
          <w:u w:val="single"/>
        </w:rPr>
        <w:t xml:space="preserve">                                 </w:t>
      </w:r>
    </w:p>
    <w:p w14:paraId="50217BF6">
      <w:pPr>
        <w:spacing w:line="360" w:lineRule="auto"/>
        <w:ind w:firstLine="4725" w:firstLineChars="2250"/>
        <w:rPr>
          <w:szCs w:val="21"/>
        </w:rPr>
      </w:pPr>
      <w:r>
        <w:rPr>
          <w:szCs w:val="21"/>
          <w:highlight w:val="white"/>
          <w:u w:val="single"/>
        </w:rPr>
        <w:t xml:space="preserve">      </w:t>
      </w:r>
      <w:r>
        <w:rPr>
          <w:rFonts w:hint="eastAsia"/>
          <w:szCs w:val="21"/>
          <w:highlight w:val="white"/>
        </w:rPr>
        <w:t>年</w:t>
      </w:r>
      <w:r>
        <w:rPr>
          <w:szCs w:val="21"/>
          <w:highlight w:val="white"/>
          <w:u w:val="single"/>
        </w:rPr>
        <w:t xml:space="preserve">      </w:t>
      </w:r>
      <w:r>
        <w:rPr>
          <w:rFonts w:hint="eastAsia"/>
          <w:szCs w:val="21"/>
          <w:highlight w:val="white"/>
        </w:rPr>
        <w:t>月</w:t>
      </w:r>
      <w:r>
        <w:rPr>
          <w:szCs w:val="21"/>
          <w:highlight w:val="white"/>
          <w:u w:val="single"/>
        </w:rPr>
        <w:t xml:space="preserve">      </w:t>
      </w:r>
      <w:r>
        <w:rPr>
          <w:rFonts w:hint="eastAsia"/>
          <w:szCs w:val="21"/>
          <w:highlight w:val="white"/>
        </w:rPr>
        <w:t>日</w:t>
      </w:r>
    </w:p>
    <w:p w14:paraId="51B44229">
      <w:pPr>
        <w:pStyle w:val="4"/>
        <w:spacing w:line="360" w:lineRule="auto"/>
        <w:ind w:firstLine="3245" w:firstLineChars="1347"/>
        <w:rPr>
          <w:rFonts w:ascii="宋体" w:eastAsia="宋体"/>
          <w:b/>
          <w:kern w:val="0"/>
          <w:sz w:val="24"/>
          <w:szCs w:val="24"/>
        </w:rPr>
      </w:pPr>
      <w:bookmarkStart w:id="241" w:name="_Toc256000349"/>
      <w:r>
        <w:rPr>
          <w:rFonts w:hint="eastAsia" w:ascii="宋体" w:eastAsia="宋体"/>
          <w:b/>
          <w:kern w:val="0"/>
          <w:sz w:val="24"/>
          <w:szCs w:val="24"/>
          <w:highlight w:val="white"/>
        </w:rPr>
        <w:t>（二）投标函附录</w:t>
      </w:r>
      <w:bookmarkEnd w:id="241"/>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2623"/>
        <w:gridCol w:w="3069"/>
        <w:gridCol w:w="903"/>
      </w:tblGrid>
      <w:tr w14:paraId="42FE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4C811C41">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序号</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10F6FEFE">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条款名称</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51102A91">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约定内容</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609B84CB">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备注</w:t>
            </w:r>
          </w:p>
        </w:tc>
      </w:tr>
      <w:tr w14:paraId="5B9B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4C723818">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1</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2AA36C25">
            <w:pPr>
              <w:widowControl w:val="0"/>
              <w:spacing w:line="360" w:lineRule="auto"/>
              <w:ind w:firstLine="630" w:firstLineChars="300"/>
              <w:jc w:val="both"/>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项目经理</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61FB4C0D">
            <w:pPr>
              <w:widowControl w:val="0"/>
              <w:spacing w:line="360" w:lineRule="auto"/>
              <w:jc w:val="both"/>
              <w:rPr>
                <w:rFonts w:ascii="Calibri" w:hAnsi="Calibri" w:eastAsia="宋体"/>
                <w:kern w:val="2"/>
                <w:sz w:val="21"/>
                <w:szCs w:val="21"/>
                <w:lang w:val="en-US" w:eastAsia="zh-CN" w:bidi="ar-SA"/>
              </w:rPr>
            </w:pPr>
            <w:r>
              <w:rPr>
                <w:rFonts w:hint="eastAsia" w:ascii="Calibri" w:hAnsi="Calibri" w:eastAsia="宋体"/>
                <w:kern w:val="2"/>
                <w:sz w:val="21"/>
                <w:szCs w:val="21"/>
                <w:highlight w:val="white"/>
                <w:lang w:val="en-US" w:eastAsia="zh-CN" w:bidi="ar-SA"/>
              </w:rPr>
              <w:t>姓名：</w:t>
            </w:r>
            <w:r>
              <w:rPr>
                <w:rFonts w:ascii="Calibri" w:hAnsi="Calibri" w:eastAsia="宋体"/>
                <w:kern w:val="2"/>
                <w:sz w:val="21"/>
                <w:szCs w:val="21"/>
                <w:highlight w:val="white"/>
                <w:lang w:val="en-US" w:eastAsia="zh-CN" w:bidi="ar-SA"/>
              </w:rPr>
              <w:t xml:space="preserve">           </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04B0A38A">
            <w:pPr>
              <w:widowControl w:val="0"/>
              <w:spacing w:line="360" w:lineRule="auto"/>
              <w:jc w:val="both"/>
              <w:rPr>
                <w:rFonts w:ascii="Calibri" w:hAnsi="Calibri" w:eastAsia="宋体"/>
                <w:kern w:val="2"/>
                <w:sz w:val="21"/>
                <w:szCs w:val="21"/>
                <w:lang w:val="en-US" w:eastAsia="zh-CN" w:bidi="ar-SA"/>
              </w:rPr>
            </w:pPr>
          </w:p>
        </w:tc>
      </w:tr>
      <w:tr w14:paraId="68B4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7F62CA44">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2</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7E4F51C8">
            <w:pPr>
              <w:widowControl w:val="0"/>
              <w:spacing w:line="360" w:lineRule="auto"/>
              <w:ind w:firstLine="630" w:firstLineChars="300"/>
              <w:jc w:val="both"/>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施工负责人</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7382028F">
            <w:pPr>
              <w:widowControl w:val="0"/>
              <w:spacing w:line="360" w:lineRule="auto"/>
              <w:jc w:val="both"/>
              <w:rPr>
                <w:rFonts w:ascii="Calibri" w:hAnsi="Calibri" w:eastAsia="宋体"/>
                <w:kern w:val="2"/>
                <w:sz w:val="21"/>
                <w:szCs w:val="21"/>
                <w:lang w:val="en-US" w:eastAsia="zh-CN" w:bidi="ar-SA"/>
              </w:rPr>
            </w:pPr>
            <w:r>
              <w:rPr>
                <w:rFonts w:hint="eastAsia" w:ascii="Calibri" w:hAnsi="Calibri" w:eastAsia="宋体"/>
                <w:kern w:val="2"/>
                <w:sz w:val="21"/>
                <w:szCs w:val="21"/>
                <w:highlight w:val="white"/>
                <w:lang w:val="en-US" w:eastAsia="zh-CN" w:bidi="ar-SA"/>
              </w:rPr>
              <w:t>姓名：</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64BF70E9">
            <w:pPr>
              <w:widowControl w:val="0"/>
              <w:spacing w:line="360" w:lineRule="auto"/>
              <w:jc w:val="both"/>
              <w:rPr>
                <w:rFonts w:ascii="Calibri" w:hAnsi="Calibri" w:eastAsia="宋体"/>
                <w:kern w:val="2"/>
                <w:sz w:val="21"/>
                <w:szCs w:val="21"/>
                <w:lang w:val="en-US" w:eastAsia="zh-CN" w:bidi="ar-SA"/>
              </w:rPr>
            </w:pPr>
          </w:p>
        </w:tc>
      </w:tr>
      <w:tr w14:paraId="334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29C04268">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3</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669E9A7C">
            <w:pPr>
              <w:widowControl w:val="0"/>
              <w:spacing w:line="360" w:lineRule="auto"/>
              <w:ind w:firstLine="630" w:firstLineChars="300"/>
              <w:jc w:val="both"/>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设计负责人</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2120F83F">
            <w:pPr>
              <w:widowControl w:val="0"/>
              <w:spacing w:line="360" w:lineRule="auto"/>
              <w:jc w:val="both"/>
              <w:rPr>
                <w:rFonts w:ascii="Calibri" w:hAnsi="Calibri" w:eastAsia="宋体"/>
                <w:kern w:val="2"/>
                <w:sz w:val="21"/>
                <w:szCs w:val="21"/>
                <w:lang w:val="en-US" w:eastAsia="zh-CN" w:bidi="ar-SA"/>
              </w:rPr>
            </w:pPr>
            <w:r>
              <w:rPr>
                <w:rFonts w:hint="eastAsia" w:ascii="Calibri" w:hAnsi="Calibri" w:eastAsia="宋体"/>
                <w:kern w:val="2"/>
                <w:sz w:val="21"/>
                <w:szCs w:val="21"/>
                <w:highlight w:val="white"/>
                <w:lang w:val="en-US" w:eastAsia="zh-CN" w:bidi="ar-SA"/>
              </w:rPr>
              <w:t>姓名：</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2236F4D">
            <w:pPr>
              <w:widowControl w:val="0"/>
              <w:spacing w:line="360" w:lineRule="auto"/>
              <w:jc w:val="both"/>
              <w:rPr>
                <w:rFonts w:ascii="Calibri" w:hAnsi="Calibri" w:eastAsia="宋体"/>
                <w:kern w:val="2"/>
                <w:sz w:val="21"/>
                <w:szCs w:val="21"/>
                <w:lang w:val="en-US" w:eastAsia="zh-CN" w:bidi="ar-SA"/>
              </w:rPr>
            </w:pPr>
          </w:p>
        </w:tc>
      </w:tr>
      <w:tr w14:paraId="00DE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35F9E28D">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4</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6059010D">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工期</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4F07CCA9">
            <w:pPr>
              <w:widowControl w:val="0"/>
              <w:spacing w:line="360" w:lineRule="auto"/>
              <w:jc w:val="both"/>
              <w:rPr>
                <w:rFonts w:ascii="Calibri" w:hAnsi="Calibri" w:eastAsia="宋体"/>
                <w:kern w:val="2"/>
                <w:sz w:val="21"/>
                <w:szCs w:val="21"/>
                <w:lang w:val="en-US" w:eastAsia="zh-CN" w:bidi="ar-SA"/>
              </w:rPr>
            </w:pPr>
            <w:r>
              <w:rPr>
                <w:rFonts w:hint="eastAsia" w:ascii="Calibri" w:hAnsi="Calibri" w:eastAsia="宋体"/>
                <w:kern w:val="2"/>
                <w:sz w:val="21"/>
                <w:szCs w:val="21"/>
                <w:highlight w:val="white"/>
                <w:lang w:val="en-US" w:eastAsia="zh-CN" w:bidi="ar-SA"/>
              </w:rPr>
              <w:t>天数：</w:t>
            </w:r>
            <w:r>
              <w:rPr>
                <w:rFonts w:ascii="Calibri" w:hAnsi="Calibri" w:eastAsia="宋体"/>
                <w:kern w:val="2"/>
                <w:sz w:val="21"/>
                <w:szCs w:val="21"/>
                <w:highlight w:val="white"/>
                <w:lang w:val="en-US" w:eastAsia="zh-CN" w:bidi="ar-SA"/>
              </w:rPr>
              <w:t xml:space="preserve">        </w:t>
            </w:r>
            <w:r>
              <w:rPr>
                <w:rFonts w:hint="eastAsia" w:ascii="Calibri" w:hAnsi="Calibri" w:eastAsia="宋体"/>
                <w:kern w:val="2"/>
                <w:sz w:val="21"/>
                <w:szCs w:val="21"/>
                <w:highlight w:val="white"/>
                <w:lang w:val="en-US" w:eastAsia="zh-CN" w:bidi="ar-SA"/>
              </w:rPr>
              <w:t>日历天</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4954E2F4">
            <w:pPr>
              <w:widowControl w:val="0"/>
              <w:spacing w:line="360" w:lineRule="auto"/>
              <w:ind w:firstLine="718" w:firstLineChars="342"/>
              <w:jc w:val="both"/>
              <w:rPr>
                <w:rFonts w:ascii="Calibri" w:hAnsi="Calibri" w:eastAsia="宋体"/>
                <w:kern w:val="2"/>
                <w:sz w:val="21"/>
                <w:szCs w:val="21"/>
                <w:lang w:val="en-US" w:eastAsia="zh-CN" w:bidi="ar-SA"/>
              </w:rPr>
            </w:pPr>
          </w:p>
        </w:tc>
      </w:tr>
      <w:tr w14:paraId="4D28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6B7ACC96">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5</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272A0F1F">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缺陷责任期</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729FD611">
            <w:pPr>
              <w:widowControl w:val="0"/>
              <w:spacing w:line="360" w:lineRule="auto"/>
              <w:jc w:val="center"/>
              <w:rPr>
                <w:rFonts w:ascii="Calibri" w:hAnsi="Calibri"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45A596A9">
            <w:pPr>
              <w:widowControl w:val="0"/>
              <w:spacing w:line="360" w:lineRule="auto"/>
              <w:jc w:val="both"/>
              <w:rPr>
                <w:rFonts w:ascii="Calibri" w:hAnsi="Calibri" w:eastAsia="宋体"/>
                <w:kern w:val="2"/>
                <w:sz w:val="21"/>
                <w:szCs w:val="21"/>
                <w:lang w:val="en-US" w:eastAsia="zh-CN" w:bidi="ar-SA"/>
              </w:rPr>
            </w:pPr>
          </w:p>
        </w:tc>
      </w:tr>
      <w:tr w14:paraId="4B074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center"/>
          </w:tcPr>
          <w:p w14:paraId="5C4897F3">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6</w:t>
            </w:r>
          </w:p>
        </w:tc>
        <w:tc>
          <w:tcPr>
            <w:tcW w:w="2623" w:type="dxa"/>
            <w:tcBorders>
              <w:top w:val="single" w:color="auto" w:sz="4" w:space="0"/>
              <w:left w:val="single" w:color="auto" w:sz="4" w:space="0"/>
              <w:bottom w:val="single" w:color="auto" w:sz="4" w:space="0"/>
              <w:right w:val="single" w:color="auto" w:sz="4" w:space="0"/>
            </w:tcBorders>
            <w:noWrap w:val="0"/>
            <w:vAlign w:val="center"/>
          </w:tcPr>
          <w:p w14:paraId="62FD8EA6">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分包</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65B4F11C">
            <w:pPr>
              <w:widowControl w:val="0"/>
              <w:spacing w:line="360" w:lineRule="auto"/>
              <w:jc w:val="center"/>
              <w:rPr>
                <w:rFonts w:ascii="Calibri" w:hAnsi="Calibri"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76E234C">
            <w:pPr>
              <w:widowControl w:val="0"/>
              <w:spacing w:line="360" w:lineRule="auto"/>
              <w:jc w:val="both"/>
              <w:rPr>
                <w:rFonts w:ascii="Calibri" w:hAnsi="Calibri" w:eastAsia="宋体"/>
                <w:kern w:val="2"/>
                <w:sz w:val="21"/>
                <w:szCs w:val="21"/>
                <w:lang w:val="en-US" w:eastAsia="zh-CN" w:bidi="ar-SA"/>
              </w:rPr>
            </w:pPr>
          </w:p>
        </w:tc>
      </w:tr>
      <w:tr w14:paraId="710E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top"/>
          </w:tcPr>
          <w:p w14:paraId="798C3459">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2623" w:type="dxa"/>
            <w:tcBorders>
              <w:top w:val="single" w:color="auto" w:sz="4" w:space="0"/>
              <w:left w:val="single" w:color="auto" w:sz="4" w:space="0"/>
              <w:bottom w:val="single" w:color="auto" w:sz="4" w:space="0"/>
              <w:right w:val="single" w:color="auto" w:sz="4" w:space="0"/>
            </w:tcBorders>
            <w:noWrap w:val="0"/>
            <w:vAlign w:val="top"/>
          </w:tcPr>
          <w:p w14:paraId="6361F4D3">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3C7C9D04">
            <w:pPr>
              <w:widowControl w:val="0"/>
              <w:spacing w:line="360" w:lineRule="auto"/>
              <w:jc w:val="center"/>
              <w:rPr>
                <w:rFonts w:ascii="Calibri" w:hAnsi="Calibri"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2EFEC160">
            <w:pPr>
              <w:widowControl w:val="0"/>
              <w:spacing w:line="360" w:lineRule="auto"/>
              <w:jc w:val="both"/>
              <w:rPr>
                <w:rFonts w:ascii="Calibri" w:hAnsi="Calibri" w:eastAsia="宋体"/>
                <w:kern w:val="2"/>
                <w:sz w:val="21"/>
                <w:szCs w:val="21"/>
                <w:lang w:val="en-US" w:eastAsia="zh-CN" w:bidi="ar-SA"/>
              </w:rPr>
            </w:pPr>
          </w:p>
        </w:tc>
      </w:tr>
      <w:tr w14:paraId="460B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645" w:type="dxa"/>
            <w:tcBorders>
              <w:top w:val="single" w:color="auto" w:sz="4" w:space="0"/>
              <w:left w:val="single" w:color="auto" w:sz="4" w:space="0"/>
              <w:bottom w:val="single" w:color="auto" w:sz="4" w:space="0"/>
              <w:right w:val="single" w:color="auto" w:sz="4" w:space="0"/>
            </w:tcBorders>
            <w:noWrap w:val="0"/>
            <w:vAlign w:val="top"/>
          </w:tcPr>
          <w:p w14:paraId="0D1D49CA">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2623" w:type="dxa"/>
            <w:tcBorders>
              <w:top w:val="single" w:color="auto" w:sz="4" w:space="0"/>
              <w:left w:val="single" w:color="auto" w:sz="4" w:space="0"/>
              <w:bottom w:val="single" w:color="auto" w:sz="4" w:space="0"/>
              <w:right w:val="single" w:color="auto" w:sz="4" w:space="0"/>
            </w:tcBorders>
            <w:noWrap w:val="0"/>
            <w:vAlign w:val="top"/>
          </w:tcPr>
          <w:p w14:paraId="622D604C">
            <w:pPr>
              <w:widowControl w:val="0"/>
              <w:spacing w:line="360" w:lineRule="auto"/>
              <w:jc w:val="center"/>
              <w:rPr>
                <w:rFonts w:ascii="宋体" w:hAnsi="宋体"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3069" w:type="dxa"/>
            <w:tcBorders>
              <w:top w:val="single" w:color="auto" w:sz="4" w:space="0"/>
              <w:left w:val="single" w:color="auto" w:sz="4" w:space="0"/>
              <w:bottom w:val="single" w:color="auto" w:sz="4" w:space="0"/>
              <w:right w:val="single" w:color="auto" w:sz="4" w:space="0"/>
            </w:tcBorders>
            <w:noWrap w:val="0"/>
            <w:vAlign w:val="center"/>
          </w:tcPr>
          <w:p w14:paraId="7D5D212F">
            <w:pPr>
              <w:widowControl w:val="0"/>
              <w:spacing w:line="360" w:lineRule="auto"/>
              <w:jc w:val="center"/>
              <w:rPr>
                <w:rFonts w:ascii="Calibri" w:hAnsi="Calibri" w:eastAsia="宋体"/>
                <w:kern w:val="2"/>
                <w:sz w:val="21"/>
                <w:szCs w:val="21"/>
                <w:lang w:val="en-US" w:eastAsia="zh-CN" w:bidi="ar-SA"/>
              </w:rPr>
            </w:pPr>
            <w:r>
              <w:rPr>
                <w:rFonts w:hint="eastAsia" w:ascii="宋体" w:hAnsi="宋体" w:eastAsia="宋体"/>
                <w:kern w:val="2"/>
                <w:sz w:val="21"/>
                <w:szCs w:val="21"/>
                <w:highlight w:val="white"/>
                <w:lang w:val="en-US" w:eastAsia="zh-CN" w:bidi="ar-SA"/>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3275DB4A">
            <w:pPr>
              <w:widowControl w:val="0"/>
              <w:spacing w:line="360" w:lineRule="auto"/>
              <w:jc w:val="both"/>
              <w:rPr>
                <w:rFonts w:ascii="Calibri" w:hAnsi="Calibri" w:eastAsia="宋体"/>
                <w:kern w:val="2"/>
                <w:sz w:val="21"/>
                <w:szCs w:val="21"/>
                <w:lang w:val="en-US" w:eastAsia="zh-CN" w:bidi="ar-SA"/>
              </w:rPr>
            </w:pPr>
          </w:p>
        </w:tc>
      </w:tr>
    </w:tbl>
    <w:p w14:paraId="61F522A4">
      <w:pPr>
        <w:rPr>
          <w:rFonts w:hint="eastAsia"/>
        </w:rPr>
      </w:pPr>
    </w:p>
    <w:p w14:paraId="1FBF8BAD">
      <w:pPr>
        <w:spacing w:line="360" w:lineRule="auto"/>
        <w:rPr>
          <w:rFonts w:eastAsia="黑体"/>
          <w:sz w:val="20"/>
          <w:szCs w:val="20"/>
        </w:rPr>
      </w:pPr>
      <w:r>
        <w:rPr>
          <w:szCs w:val="21"/>
          <w:highlight w:val="white"/>
        </w:rPr>
        <w:br w:type="page"/>
      </w:r>
    </w:p>
    <w:p w14:paraId="1EA7A6BC">
      <w:pPr>
        <w:pStyle w:val="2"/>
        <w:adjustRightInd w:val="0"/>
        <w:snapToGrid w:val="0"/>
        <w:spacing w:line="360" w:lineRule="auto"/>
        <w:jc w:val="center"/>
        <w:rPr>
          <w:rFonts w:hint="eastAsia" w:ascii="宋体" w:hAnsi="宋体"/>
          <w:sz w:val="28"/>
          <w:szCs w:val="28"/>
        </w:rPr>
      </w:pPr>
      <w:bookmarkStart w:id="242" w:name="_Toc256000350"/>
      <w:r>
        <w:rPr>
          <w:rFonts w:hint="eastAsia" w:ascii="宋体" w:hAnsi="宋体"/>
          <w:sz w:val="24"/>
          <w:szCs w:val="24"/>
          <w:highlight w:val="white"/>
        </w:rPr>
        <w:t>□</w:t>
      </w:r>
      <w:r>
        <w:rPr>
          <w:rFonts w:hint="eastAsia" w:ascii="宋体" w:hAnsi="宋体"/>
          <w:sz w:val="28"/>
          <w:szCs w:val="28"/>
          <w:highlight w:val="white"/>
        </w:rPr>
        <w:t>二、法定代表人身份证明</w:t>
      </w:r>
      <w:bookmarkEnd w:id="242"/>
    </w:p>
    <w:p w14:paraId="091EAA99">
      <w:pPr>
        <w:spacing w:line="360" w:lineRule="auto"/>
        <w:rPr>
          <w:rFonts w:hint="eastAsia" w:ascii="宋体" w:hAnsi="宋体" w:cs="宋体"/>
          <w:sz w:val="24"/>
        </w:rPr>
      </w:pPr>
      <w:r>
        <w:rPr>
          <w:rFonts w:hint="eastAsia" w:ascii="宋体" w:hAnsi="宋体" w:cs="宋体"/>
          <w:sz w:val="24"/>
          <w:highlight w:val="white"/>
        </w:rPr>
        <w:t>投标人名称：</w:t>
      </w:r>
      <w:r>
        <w:rPr>
          <w:rFonts w:hint="eastAsia" w:ascii="宋体" w:hAnsi="宋体" w:cs="宋体"/>
          <w:sz w:val="24"/>
          <w:highlight w:val="white"/>
          <w:u w:val="single"/>
        </w:rPr>
        <w:t xml:space="preserve">                    </w:t>
      </w:r>
      <w:r>
        <w:rPr>
          <w:rFonts w:hint="eastAsia" w:ascii="宋体" w:hAnsi="宋体" w:cs="宋体"/>
          <w:sz w:val="24"/>
          <w:highlight w:val="white"/>
        </w:rPr>
        <w:t xml:space="preserve"> </w:t>
      </w:r>
    </w:p>
    <w:p w14:paraId="7648B610">
      <w:pPr>
        <w:spacing w:line="360" w:lineRule="auto"/>
        <w:rPr>
          <w:rFonts w:hint="eastAsia" w:ascii="宋体" w:hAnsi="宋体" w:cs="宋体"/>
          <w:sz w:val="24"/>
        </w:rPr>
      </w:pPr>
      <w:r>
        <w:rPr>
          <w:rFonts w:hint="eastAsia" w:ascii="宋体" w:hAnsi="宋体" w:cs="宋体"/>
          <w:sz w:val="24"/>
          <w:highlight w:val="white"/>
        </w:rPr>
        <w:t>姓名：</w:t>
      </w:r>
      <w:r>
        <w:rPr>
          <w:rFonts w:hint="eastAsia" w:ascii="宋体" w:hAnsi="宋体" w:cs="宋体"/>
          <w:sz w:val="24"/>
          <w:highlight w:val="white"/>
          <w:u w:val="single"/>
        </w:rPr>
        <w:t xml:space="preserve">        </w:t>
      </w:r>
      <w:r>
        <w:rPr>
          <w:rFonts w:hint="eastAsia" w:ascii="宋体" w:hAnsi="宋体" w:cs="宋体"/>
          <w:sz w:val="24"/>
          <w:highlight w:val="white"/>
        </w:rPr>
        <w:t xml:space="preserve"> 性别：</w:t>
      </w:r>
      <w:r>
        <w:rPr>
          <w:rFonts w:hint="eastAsia" w:ascii="宋体" w:hAnsi="宋体" w:cs="宋体"/>
          <w:sz w:val="24"/>
          <w:highlight w:val="white"/>
          <w:u w:val="single"/>
        </w:rPr>
        <w:t xml:space="preserve">      </w:t>
      </w:r>
      <w:r>
        <w:rPr>
          <w:rFonts w:hint="eastAsia" w:ascii="宋体" w:hAnsi="宋体" w:cs="宋体"/>
          <w:sz w:val="24"/>
          <w:highlight w:val="white"/>
        </w:rPr>
        <w:t xml:space="preserve">  年龄：</w:t>
      </w:r>
      <w:r>
        <w:rPr>
          <w:rFonts w:hint="eastAsia" w:ascii="宋体" w:hAnsi="宋体" w:cs="宋体"/>
          <w:sz w:val="24"/>
          <w:highlight w:val="white"/>
          <w:u w:val="single"/>
        </w:rPr>
        <w:t xml:space="preserve">      </w:t>
      </w:r>
      <w:r>
        <w:rPr>
          <w:rFonts w:hint="eastAsia" w:ascii="宋体" w:hAnsi="宋体" w:cs="宋体"/>
          <w:sz w:val="24"/>
          <w:highlight w:val="white"/>
        </w:rPr>
        <w:t xml:space="preserve">  职务：</w:t>
      </w:r>
      <w:r>
        <w:rPr>
          <w:rFonts w:hint="eastAsia" w:ascii="宋体" w:hAnsi="宋体" w:cs="宋体"/>
          <w:sz w:val="24"/>
          <w:highlight w:val="white"/>
          <w:u w:val="single"/>
        </w:rPr>
        <w:t xml:space="preserve">          </w:t>
      </w:r>
      <w:r>
        <w:rPr>
          <w:rFonts w:hint="eastAsia" w:ascii="宋体" w:hAnsi="宋体" w:cs="宋体"/>
          <w:sz w:val="24"/>
          <w:highlight w:val="white"/>
        </w:rPr>
        <w:t xml:space="preserve"> </w:t>
      </w:r>
      <w:r>
        <w:rPr>
          <w:rFonts w:hint="eastAsia" w:ascii="宋体" w:hAnsi="宋体" w:cs="宋体"/>
          <w:sz w:val="24"/>
          <w:highlight w:val="white"/>
        </w:rPr>
        <w:cr/>
      </w:r>
      <w:r>
        <w:rPr>
          <w:rFonts w:hint="eastAsia" w:ascii="宋体" w:hAnsi="宋体" w:cs="宋体"/>
          <w:sz w:val="24"/>
          <w:highlight w:val="white"/>
        </w:rPr>
        <w:t xml:space="preserve">系 </w:t>
      </w:r>
      <w:r>
        <w:rPr>
          <w:rFonts w:hint="eastAsia" w:ascii="宋体" w:hAnsi="宋体" w:cs="宋体"/>
          <w:sz w:val="24"/>
          <w:highlight w:val="white"/>
          <w:u w:val="single"/>
        </w:rPr>
        <w:t xml:space="preserve">                             </w:t>
      </w:r>
      <w:r>
        <w:rPr>
          <w:rFonts w:hint="eastAsia" w:ascii="宋体" w:hAnsi="宋体" w:cs="宋体"/>
          <w:sz w:val="24"/>
          <w:highlight w:val="white"/>
        </w:rPr>
        <w:t>（投标人名称）的法定代表人。</w:t>
      </w:r>
    </w:p>
    <w:p w14:paraId="042541E2">
      <w:pPr>
        <w:spacing w:line="360" w:lineRule="auto"/>
        <w:ind w:left="504" w:leftChars="240"/>
        <w:rPr>
          <w:rFonts w:hint="eastAsia" w:ascii="宋体" w:hAnsi="宋体" w:cs="宋体"/>
          <w:sz w:val="24"/>
        </w:rPr>
      </w:pPr>
      <w:r>
        <w:rPr>
          <w:rFonts w:hint="eastAsia" w:ascii="宋体" w:hAnsi="宋体" w:cs="宋体"/>
          <w:sz w:val="24"/>
          <w:highlight w:val="white"/>
        </w:rPr>
        <w:t>特此证明。</w:t>
      </w:r>
    </w:p>
    <w:p w14:paraId="1E3AB32C">
      <w:pPr>
        <w:spacing w:line="360" w:lineRule="auto"/>
        <w:ind w:firstLine="482" w:firstLineChars="200"/>
        <w:rPr>
          <w:rFonts w:hint="eastAsia" w:ascii="宋体" w:hAnsi="宋体" w:cs="宋体"/>
          <w:b/>
          <w:bCs/>
          <w:sz w:val="24"/>
        </w:rPr>
      </w:pPr>
    </w:p>
    <w:p w14:paraId="5B90E7CF">
      <w:pPr>
        <w:spacing w:line="360" w:lineRule="auto"/>
        <w:rPr>
          <w:rFonts w:hint="eastAsia" w:ascii="宋体" w:hAnsi="宋体" w:cs="宋体"/>
          <w:sz w:val="24"/>
        </w:rPr>
      </w:pPr>
    </w:p>
    <w:p w14:paraId="76468FBB">
      <w:pPr>
        <w:spacing w:line="360" w:lineRule="auto"/>
        <w:rPr>
          <w:rFonts w:hint="eastAsia" w:ascii="宋体" w:hAnsi="宋体" w:cs="宋体"/>
          <w:sz w:val="24"/>
        </w:rPr>
      </w:pPr>
    </w:p>
    <w:p w14:paraId="1794D003">
      <w:pPr>
        <w:spacing w:line="360" w:lineRule="auto"/>
        <w:rPr>
          <w:rFonts w:hint="eastAsia" w:ascii="宋体" w:hAnsi="宋体" w:cs="宋体"/>
          <w:sz w:val="24"/>
        </w:rPr>
      </w:pPr>
      <w:r>
        <w:rPr>
          <w:rFonts w:hint="eastAsia" w:ascii="宋体" w:hAnsi="宋体" w:cs="宋体"/>
          <w:sz w:val="24"/>
          <w:highlight w:val="white"/>
        </w:rPr>
        <w:cr/>
      </w:r>
      <w:r>
        <w:rPr>
          <w:rFonts w:hint="eastAsia" w:ascii="宋体" w:hAnsi="宋体" w:cs="宋体"/>
          <w:bCs/>
          <w:sz w:val="24"/>
          <w:highlight w:val="white"/>
        </w:rPr>
        <w:t>附：法定代表人身份证扫描件</w:t>
      </w:r>
      <w:r>
        <w:rPr>
          <w:rFonts w:hint="eastAsia" w:ascii="宋体" w:hAnsi="宋体" w:cs="宋体"/>
          <w:b/>
          <w:sz w:val="24"/>
          <w:highlight w:val="white"/>
        </w:rPr>
        <w:cr/>
      </w:r>
    </w:p>
    <w:p w14:paraId="071ACEF4">
      <w:pPr>
        <w:spacing w:line="360" w:lineRule="auto"/>
        <w:rPr>
          <w:rFonts w:hint="eastAsia" w:ascii="宋体" w:hAnsi="宋体" w:cs="宋体"/>
          <w:sz w:val="24"/>
        </w:rPr>
      </w:pPr>
    </w:p>
    <w:p w14:paraId="0BDDBA5B">
      <w:pPr>
        <w:spacing w:line="360" w:lineRule="auto"/>
        <w:rPr>
          <w:rFonts w:hint="eastAsia" w:ascii="宋体" w:hAnsi="宋体" w:cs="宋体"/>
          <w:sz w:val="24"/>
        </w:rPr>
      </w:pPr>
    </w:p>
    <w:p w14:paraId="54E991E0">
      <w:pPr>
        <w:adjustRightInd w:val="0"/>
        <w:snapToGrid w:val="0"/>
        <w:spacing w:line="360" w:lineRule="auto"/>
        <w:jc w:val="right"/>
        <w:rPr>
          <w:rFonts w:hint="eastAsia" w:ascii="宋体" w:hAnsi="宋体" w:cs="宋体"/>
          <w:bCs/>
          <w:sz w:val="24"/>
        </w:rPr>
      </w:pPr>
      <w:r>
        <w:rPr>
          <w:rFonts w:hint="eastAsia" w:ascii="宋体" w:hAnsi="宋体" w:cs="宋体"/>
          <w:b/>
          <w:sz w:val="24"/>
          <w:highlight w:val="white"/>
        </w:rPr>
        <w:t xml:space="preserve">                             </w:t>
      </w:r>
      <w:r>
        <w:rPr>
          <w:rFonts w:hint="eastAsia" w:ascii="宋体" w:hAnsi="宋体" w:cs="宋体"/>
          <w:bCs/>
          <w:sz w:val="24"/>
          <w:highlight w:val="white"/>
        </w:rPr>
        <w:t xml:space="preserve">投标人： </w:t>
      </w:r>
      <w:r>
        <w:rPr>
          <w:rFonts w:hint="eastAsia" w:ascii="宋体" w:hAnsi="宋体" w:cs="宋体"/>
          <w:bCs/>
          <w:sz w:val="24"/>
          <w:highlight w:val="white"/>
          <w:u w:val="single"/>
        </w:rPr>
        <w:t xml:space="preserve">                  </w:t>
      </w:r>
      <w:r>
        <w:rPr>
          <w:rFonts w:hint="eastAsia" w:ascii="宋体" w:hAnsi="宋体" w:cs="宋体"/>
          <w:bCs/>
          <w:sz w:val="24"/>
          <w:highlight w:val="white"/>
        </w:rPr>
        <w:t>（盖单位章）</w:t>
      </w:r>
      <w:r>
        <w:rPr>
          <w:rFonts w:hint="eastAsia" w:ascii="宋体" w:hAnsi="宋体"/>
          <w:bCs/>
          <w:sz w:val="24"/>
          <w:highlight w:val="white"/>
        </w:rPr>
        <w:t xml:space="preserve">                                 </w:t>
      </w:r>
    </w:p>
    <w:p w14:paraId="5368DD64">
      <w:pPr>
        <w:spacing w:line="360" w:lineRule="auto"/>
        <w:ind w:firstLine="482" w:firstLineChars="200"/>
        <w:jc w:val="center"/>
        <w:rPr>
          <w:rFonts w:hint="eastAsia" w:ascii="宋体" w:hAnsi="宋体" w:cs="宋体"/>
          <w:sz w:val="24"/>
        </w:rPr>
      </w:pPr>
      <w:r>
        <w:rPr>
          <w:rFonts w:hint="eastAsia" w:ascii="宋体" w:hAnsi="宋体" w:cs="宋体"/>
          <w:b/>
          <w:sz w:val="24"/>
          <w:highlight w:val="white"/>
        </w:rPr>
        <w:t xml:space="preserve">                           </w:t>
      </w:r>
      <w:r>
        <w:rPr>
          <w:rFonts w:hint="eastAsia" w:ascii="宋体" w:hAnsi="宋体" w:cs="宋体"/>
          <w:b/>
          <w:sz w:val="24"/>
          <w:highlight w:val="white"/>
          <w:u w:val="single"/>
        </w:rPr>
        <w:t xml:space="preserve">   </w:t>
      </w:r>
      <w:r>
        <w:rPr>
          <w:rFonts w:hint="eastAsia" w:ascii="宋体" w:hAnsi="宋体" w:cs="宋体"/>
          <w:sz w:val="24"/>
          <w:highlight w:val="white"/>
        </w:rPr>
        <w:t>年</w:t>
      </w:r>
      <w:r>
        <w:rPr>
          <w:rFonts w:hint="eastAsia" w:ascii="宋体" w:hAnsi="宋体" w:cs="宋体"/>
          <w:b/>
          <w:sz w:val="24"/>
          <w:highlight w:val="white"/>
          <w:u w:val="single"/>
        </w:rPr>
        <w:t xml:space="preserve">   </w:t>
      </w:r>
      <w:r>
        <w:rPr>
          <w:rFonts w:hint="eastAsia" w:ascii="宋体" w:hAnsi="宋体" w:cs="宋体"/>
          <w:sz w:val="24"/>
          <w:highlight w:val="white"/>
        </w:rPr>
        <w:t>月</w:t>
      </w:r>
      <w:r>
        <w:rPr>
          <w:rFonts w:hint="eastAsia" w:ascii="宋体" w:hAnsi="宋体" w:cs="宋体"/>
          <w:b/>
          <w:sz w:val="24"/>
          <w:highlight w:val="white"/>
          <w:u w:val="single"/>
        </w:rPr>
        <w:t xml:space="preserve">   </w:t>
      </w:r>
      <w:r>
        <w:rPr>
          <w:rFonts w:hint="eastAsia" w:ascii="宋体" w:hAnsi="宋体" w:cs="宋体"/>
          <w:sz w:val="24"/>
          <w:highlight w:val="white"/>
        </w:rPr>
        <w:t>日</w:t>
      </w:r>
    </w:p>
    <w:p w14:paraId="07C03BCE">
      <w:pPr>
        <w:spacing w:line="360" w:lineRule="auto"/>
        <w:ind w:firstLine="480" w:firstLineChars="200"/>
        <w:rPr>
          <w:rFonts w:hint="eastAsia" w:ascii="宋体" w:hAnsi="宋体" w:cs="宋体"/>
          <w:bCs/>
          <w:sz w:val="24"/>
        </w:rPr>
      </w:pPr>
    </w:p>
    <w:p w14:paraId="61CC3EB0">
      <w:pPr>
        <w:spacing w:line="360" w:lineRule="auto"/>
        <w:ind w:firstLine="480" w:firstLineChars="200"/>
        <w:rPr>
          <w:rFonts w:hint="eastAsia" w:ascii="宋体" w:hAnsi="宋体" w:cs="宋体"/>
          <w:bCs/>
          <w:sz w:val="24"/>
        </w:rPr>
      </w:pPr>
      <w:r>
        <w:rPr>
          <w:rFonts w:hint="eastAsia" w:ascii="宋体" w:hAnsi="宋体" w:cs="宋体"/>
          <w:bCs/>
          <w:sz w:val="24"/>
          <w:highlight w:val="white"/>
        </w:rPr>
        <w:t>注：法定代表人亲自投标而不委托代理人投标适用。</w:t>
      </w:r>
    </w:p>
    <w:p w14:paraId="6C0CF6ED">
      <w:pPr>
        <w:pStyle w:val="2"/>
        <w:adjustRightInd w:val="0"/>
        <w:snapToGrid w:val="0"/>
        <w:spacing w:line="360" w:lineRule="auto"/>
        <w:jc w:val="center"/>
        <w:rPr>
          <w:rFonts w:hint="eastAsia" w:ascii="宋体" w:hAnsi="宋体"/>
          <w:sz w:val="28"/>
          <w:szCs w:val="28"/>
        </w:rPr>
      </w:pPr>
      <w:r>
        <w:rPr>
          <w:rFonts w:eastAsia="黑体"/>
          <w:sz w:val="20"/>
          <w:szCs w:val="20"/>
          <w:highlight w:val="white"/>
        </w:rPr>
        <w:br w:type="page"/>
      </w:r>
      <w:bookmarkStart w:id="243" w:name="_Toc256000351"/>
      <w:r>
        <w:rPr>
          <w:rFonts w:hint="eastAsia" w:ascii="宋体" w:hAnsi="宋体"/>
          <w:sz w:val="24"/>
          <w:szCs w:val="24"/>
          <w:highlight w:val="white"/>
        </w:rPr>
        <w:t>□</w:t>
      </w:r>
      <w:r>
        <w:rPr>
          <w:rFonts w:hint="eastAsia" w:ascii="宋体" w:hAnsi="宋体"/>
          <w:sz w:val="28"/>
          <w:szCs w:val="28"/>
          <w:highlight w:val="white"/>
        </w:rPr>
        <w:t>二、授权委托书</w:t>
      </w:r>
      <w:bookmarkEnd w:id="243"/>
    </w:p>
    <w:p w14:paraId="08048F5C">
      <w:pPr>
        <w:pStyle w:val="9"/>
        <w:spacing w:line="360" w:lineRule="auto"/>
        <w:rPr>
          <w:rFonts w:hint="eastAsia" w:ascii="宋体" w:hAnsi="宋体" w:cs="宋体"/>
          <w:sz w:val="24"/>
        </w:rPr>
      </w:pPr>
      <w:r>
        <w:rPr>
          <w:rFonts w:hint="eastAsia" w:ascii="宋体" w:hAnsi="宋体" w:cs="宋体"/>
          <w:sz w:val="24"/>
          <w:highlight w:val="white"/>
        </w:rPr>
        <w:t>本人</w:t>
      </w:r>
      <w:r>
        <w:rPr>
          <w:rFonts w:hint="eastAsia" w:ascii="宋体" w:hAnsi="宋体" w:cs="宋体"/>
          <w:sz w:val="24"/>
          <w:highlight w:val="white"/>
          <w:u w:val="single"/>
        </w:rPr>
        <w:t xml:space="preserve">        </w:t>
      </w:r>
      <w:r>
        <w:rPr>
          <w:rFonts w:hint="eastAsia" w:ascii="宋体" w:hAnsi="宋体" w:cs="宋体"/>
          <w:sz w:val="24"/>
          <w:highlight w:val="white"/>
        </w:rPr>
        <w:t xml:space="preserve">（姓名）系 </w:t>
      </w:r>
      <w:r>
        <w:rPr>
          <w:rFonts w:hint="eastAsia" w:ascii="宋体" w:hAnsi="宋体" w:cs="宋体"/>
          <w:sz w:val="24"/>
          <w:highlight w:val="white"/>
          <w:u w:val="single"/>
        </w:rPr>
        <w:t xml:space="preserve">              </w:t>
      </w:r>
      <w:r>
        <w:rPr>
          <w:rFonts w:hint="eastAsia" w:ascii="宋体" w:hAnsi="宋体" w:cs="宋体"/>
          <w:sz w:val="24"/>
          <w:highlight w:val="white"/>
        </w:rPr>
        <w:t xml:space="preserve">（投标人全称）的法定代表人，现授权委托 </w:t>
      </w:r>
      <w:r>
        <w:rPr>
          <w:rFonts w:hint="eastAsia" w:ascii="宋体" w:hAnsi="宋体" w:cs="宋体"/>
          <w:sz w:val="24"/>
          <w:highlight w:val="white"/>
          <w:u w:val="single"/>
        </w:rPr>
        <w:t xml:space="preserve">       </w:t>
      </w:r>
      <w:r>
        <w:rPr>
          <w:rFonts w:hint="eastAsia" w:ascii="宋体" w:hAnsi="宋体" w:cs="宋体"/>
          <w:sz w:val="24"/>
          <w:highlight w:val="white"/>
        </w:rPr>
        <w:t>（姓名）为我方代理人。代理人根据授权，以我方名义签署、澄清、说明、补正、递交、撤回、修改</w:t>
      </w:r>
      <w:r>
        <w:rPr>
          <w:rFonts w:hint="eastAsia" w:ascii="宋体" w:hAnsi="宋体" w:cs="宋体"/>
          <w:sz w:val="24"/>
          <w:highlight w:val="white"/>
          <w:u w:val="single"/>
        </w:rPr>
        <w:t xml:space="preserve">               </w:t>
      </w:r>
      <w:r>
        <w:rPr>
          <w:rFonts w:hint="eastAsia" w:ascii="宋体" w:hAnsi="宋体" w:cs="宋体"/>
          <w:sz w:val="24"/>
          <w:highlight w:val="white"/>
        </w:rPr>
        <w:t>（项目名称）设计施工总承包</w:t>
      </w:r>
      <w:r>
        <w:rPr>
          <w:rFonts w:hint="eastAsia" w:ascii="宋体" w:hAnsi="宋体" w:cs="宋体"/>
          <w:sz w:val="24"/>
          <w:highlight w:val="white"/>
          <w:u w:val="single"/>
        </w:rPr>
        <w:t xml:space="preserve">    </w:t>
      </w:r>
      <w:r>
        <w:rPr>
          <w:rFonts w:hint="eastAsia" w:ascii="宋体" w:hAnsi="宋体" w:cs="宋体"/>
          <w:sz w:val="24"/>
          <w:highlight w:val="white"/>
        </w:rPr>
        <w:t>标段投标文件、签订合同和处理有关事宜（向有关行政监督部门投诉另行授权），其法律后果由我方承担。</w:t>
      </w:r>
    </w:p>
    <w:p w14:paraId="5C09513F">
      <w:pPr>
        <w:pStyle w:val="70"/>
        <w:tabs>
          <w:tab w:val="left" w:pos="0"/>
          <w:tab w:val="clear" w:pos="1843"/>
        </w:tabs>
        <w:autoSpaceDE w:val="0"/>
        <w:autoSpaceDN w:val="0"/>
        <w:adjustRightInd/>
        <w:spacing w:before="0" w:after="0" w:line="360" w:lineRule="auto"/>
        <w:ind w:left="0" w:right="0" w:rightChars="0" w:firstLine="480" w:firstLineChars="200"/>
        <w:jc w:val="left"/>
        <w:textAlignment w:val="bottom"/>
        <w:rPr>
          <w:rFonts w:ascii="宋体" w:hAnsi="宋体"/>
        </w:rPr>
      </w:pPr>
      <w:r>
        <w:rPr>
          <w:rFonts w:hint="eastAsia" w:ascii="宋体" w:hAnsi="宋体"/>
          <w:highlight w:val="white"/>
        </w:rPr>
        <w:t>委托</w:t>
      </w:r>
      <w:r>
        <w:rPr>
          <w:rFonts w:ascii="宋体" w:hAnsi="宋体"/>
          <w:highlight w:val="white"/>
        </w:rPr>
        <w:t>期限：</w:t>
      </w:r>
      <w:r>
        <w:rPr>
          <w:rFonts w:hint="eastAsia" w:ascii="宋体" w:hAnsi="宋体"/>
          <w:highlight w:val="white"/>
        </w:rPr>
        <w:t>自本授权委托书签署之日起至“投标有效期”结束为止</w:t>
      </w:r>
      <w:r>
        <w:rPr>
          <w:rFonts w:ascii="宋体" w:hAnsi="宋体"/>
          <w:highlight w:val="white"/>
        </w:rPr>
        <w:t>。</w:t>
      </w:r>
    </w:p>
    <w:p w14:paraId="3909502F">
      <w:pPr>
        <w:pStyle w:val="70"/>
        <w:tabs>
          <w:tab w:val="left" w:pos="0"/>
          <w:tab w:val="clear" w:pos="1843"/>
        </w:tabs>
        <w:autoSpaceDE w:val="0"/>
        <w:autoSpaceDN w:val="0"/>
        <w:adjustRightInd/>
        <w:spacing w:before="0" w:after="0" w:line="360" w:lineRule="auto"/>
        <w:ind w:left="0" w:right="0" w:rightChars="0" w:firstLine="480" w:firstLineChars="200"/>
        <w:jc w:val="left"/>
        <w:textAlignment w:val="bottom"/>
        <w:rPr>
          <w:rFonts w:ascii="宋体" w:hAnsi="宋体"/>
        </w:rPr>
      </w:pPr>
      <w:r>
        <w:rPr>
          <w:rFonts w:ascii="宋体" w:hAnsi="宋体"/>
          <w:highlight w:val="white"/>
        </w:rPr>
        <w:t>代理人无转委托权。</w:t>
      </w:r>
    </w:p>
    <w:p w14:paraId="00856683"/>
    <w:p w14:paraId="53805D03"/>
    <w:p w14:paraId="0833FA7B"/>
    <w:p w14:paraId="41DA73D5">
      <w:pPr>
        <w:pStyle w:val="70"/>
        <w:tabs>
          <w:tab w:val="left" w:pos="0"/>
          <w:tab w:val="clear" w:pos="1843"/>
        </w:tabs>
        <w:autoSpaceDE w:val="0"/>
        <w:autoSpaceDN w:val="0"/>
        <w:adjustRightInd/>
        <w:spacing w:before="0" w:after="0" w:line="360" w:lineRule="auto"/>
        <w:ind w:left="0" w:right="0" w:rightChars="0" w:firstLine="480" w:firstLineChars="200"/>
        <w:jc w:val="left"/>
        <w:textAlignment w:val="bottom"/>
        <w:rPr>
          <w:rFonts w:hint="eastAsia" w:ascii="宋体" w:hAnsi="宋体"/>
        </w:rPr>
      </w:pPr>
      <w:r>
        <w:rPr>
          <w:rFonts w:hint="eastAsia" w:ascii="宋体" w:hAnsi="宋体"/>
          <w:highlight w:val="white"/>
        </w:rPr>
        <w:t>附：（1）法定代表人身份证扫描件、委托代理人身份证扫描件</w:t>
      </w:r>
    </w:p>
    <w:p w14:paraId="6B681CCD">
      <w:pPr>
        <w:pStyle w:val="70"/>
        <w:tabs>
          <w:tab w:val="left" w:pos="0"/>
          <w:tab w:val="clear" w:pos="1843"/>
        </w:tabs>
        <w:autoSpaceDE w:val="0"/>
        <w:autoSpaceDN w:val="0"/>
        <w:adjustRightInd/>
        <w:spacing w:before="0" w:after="0" w:line="360" w:lineRule="auto"/>
        <w:ind w:left="0" w:right="0" w:rightChars="0" w:firstLine="480" w:firstLineChars="200"/>
        <w:jc w:val="left"/>
        <w:textAlignment w:val="bottom"/>
        <w:rPr>
          <w:rFonts w:hint="eastAsia" w:ascii="宋体" w:hAnsi="宋体"/>
        </w:rPr>
      </w:pPr>
      <w:r>
        <w:rPr>
          <w:rFonts w:hint="eastAsia" w:ascii="宋体" w:hAnsi="宋体"/>
          <w:highlight w:val="white"/>
        </w:rPr>
        <w:t xml:space="preserve">   （2）投标人为委托代理人缴纳的社保缴费证明（提供最近 6 个月连续缴费证明）扫描件</w:t>
      </w:r>
    </w:p>
    <w:p w14:paraId="7B264AEC">
      <w:pPr>
        <w:rPr>
          <w:rFonts w:hint="eastAsia"/>
        </w:rPr>
      </w:pPr>
    </w:p>
    <w:p w14:paraId="3783F9B4">
      <w:pPr>
        <w:spacing w:line="360" w:lineRule="auto"/>
        <w:ind w:firstLine="5400" w:firstLineChars="2250"/>
        <w:rPr>
          <w:rFonts w:ascii="宋体" w:hAnsi="宋体" w:cs="宋体"/>
          <w:sz w:val="24"/>
        </w:rPr>
      </w:pPr>
    </w:p>
    <w:p w14:paraId="3734C5A7">
      <w:pPr>
        <w:spacing w:line="360" w:lineRule="auto"/>
        <w:ind w:firstLine="3600" w:firstLineChars="1500"/>
        <w:rPr>
          <w:rFonts w:ascii="宋体" w:hAnsi="宋体"/>
          <w:sz w:val="24"/>
        </w:rPr>
      </w:pPr>
      <w:r>
        <w:rPr>
          <w:rFonts w:hint="eastAsia" w:ascii="宋体" w:hAnsi="宋体" w:cs="宋体"/>
          <w:sz w:val="24"/>
          <w:highlight w:val="white"/>
        </w:rPr>
        <w:t>投  标  人：</w:t>
      </w:r>
      <w:r>
        <w:rPr>
          <w:rFonts w:ascii="宋体" w:hAnsi="宋体" w:cs="宋体"/>
          <w:sz w:val="24"/>
          <w:highlight w:val="white"/>
          <w:u w:val="single"/>
        </w:rPr>
        <w:t xml:space="preserve">    </w:t>
      </w:r>
      <w:r>
        <w:rPr>
          <w:rFonts w:hint="eastAsia" w:ascii="宋体" w:hAnsi="宋体" w:cs="宋体"/>
          <w:sz w:val="24"/>
          <w:highlight w:val="white"/>
          <w:u w:val="single"/>
        </w:rPr>
        <w:t xml:space="preserve">     </w:t>
      </w:r>
      <w:r>
        <w:rPr>
          <w:rFonts w:ascii="宋体" w:hAnsi="宋体" w:cs="宋体"/>
          <w:sz w:val="24"/>
          <w:highlight w:val="white"/>
          <w:u w:val="single"/>
        </w:rPr>
        <w:t xml:space="preserve">    </w:t>
      </w:r>
      <w:r>
        <w:rPr>
          <w:rFonts w:hint="eastAsia" w:ascii="宋体" w:hAnsi="宋体" w:cs="宋体"/>
          <w:sz w:val="24"/>
          <w:highlight w:val="white"/>
        </w:rPr>
        <w:t>（盖单位章）</w:t>
      </w:r>
    </w:p>
    <w:p w14:paraId="7B772EBA">
      <w:pPr>
        <w:spacing w:line="360" w:lineRule="auto"/>
        <w:ind w:firstLine="3600" w:firstLineChars="1500"/>
        <w:rPr>
          <w:rFonts w:hint="eastAsia" w:ascii="宋体" w:hAnsi="宋体" w:cs="宋体"/>
          <w:sz w:val="24"/>
        </w:rPr>
      </w:pPr>
      <w:r>
        <w:rPr>
          <w:rFonts w:hint="eastAsia" w:ascii="宋体" w:hAnsi="宋体" w:cs="宋体"/>
          <w:sz w:val="24"/>
          <w:highlight w:val="white"/>
        </w:rPr>
        <w:t>法定代表人：</w:t>
      </w:r>
      <w:r>
        <w:rPr>
          <w:rFonts w:ascii="宋体" w:hAnsi="宋体" w:cs="宋体"/>
          <w:sz w:val="24"/>
          <w:highlight w:val="white"/>
          <w:u w:val="single"/>
        </w:rPr>
        <w:t xml:space="preserve">     </w:t>
      </w:r>
      <w:r>
        <w:rPr>
          <w:rFonts w:hint="eastAsia" w:ascii="宋体" w:hAnsi="宋体" w:cs="宋体"/>
          <w:sz w:val="24"/>
          <w:highlight w:val="white"/>
          <w:u w:val="single"/>
        </w:rPr>
        <w:t xml:space="preserve"> </w:t>
      </w:r>
      <w:r>
        <w:rPr>
          <w:rFonts w:ascii="宋体" w:hAnsi="宋体" w:cs="宋体"/>
          <w:sz w:val="24"/>
          <w:highlight w:val="white"/>
          <w:u w:val="single"/>
        </w:rPr>
        <w:t xml:space="preserve">     </w:t>
      </w:r>
      <w:r>
        <w:rPr>
          <w:rFonts w:hint="eastAsia" w:ascii="宋体" w:hAnsi="宋体" w:cs="宋体"/>
          <w:sz w:val="24"/>
          <w:highlight w:val="white"/>
          <w:u w:val="single"/>
        </w:rPr>
        <w:t xml:space="preserve">  </w:t>
      </w:r>
      <w:r>
        <w:rPr>
          <w:rFonts w:hint="eastAsia" w:ascii="宋体" w:hAnsi="宋体" w:cs="宋体"/>
          <w:sz w:val="24"/>
          <w:highlight w:val="white"/>
        </w:rPr>
        <w:t>（签    字）</w:t>
      </w:r>
    </w:p>
    <w:p w14:paraId="3561C4B3">
      <w:pPr>
        <w:spacing w:line="360" w:lineRule="auto"/>
        <w:ind w:firstLine="3600" w:firstLineChars="1500"/>
        <w:rPr>
          <w:rFonts w:hint="eastAsia" w:ascii="宋体" w:hAnsi="宋体" w:cs="宋体"/>
          <w:sz w:val="24"/>
          <w:u w:val="single"/>
        </w:rPr>
      </w:pPr>
      <w:r>
        <w:rPr>
          <w:rFonts w:hint="eastAsia" w:ascii="宋体" w:hAnsi="宋体" w:cs="宋体"/>
          <w:sz w:val="24"/>
          <w:highlight w:val="white"/>
        </w:rPr>
        <w:t>身份证号码：</w:t>
      </w:r>
      <w:r>
        <w:rPr>
          <w:rFonts w:hint="eastAsia" w:ascii="宋体" w:hAnsi="宋体" w:cs="宋体"/>
          <w:sz w:val="24"/>
          <w:highlight w:val="white"/>
          <w:u w:val="single"/>
        </w:rPr>
        <w:t xml:space="preserve">  </w:t>
      </w:r>
      <w:r>
        <w:rPr>
          <w:rFonts w:ascii="宋体" w:hAnsi="宋体" w:cs="宋体"/>
          <w:sz w:val="24"/>
          <w:highlight w:val="white"/>
          <w:u w:val="single"/>
        </w:rPr>
        <w:t xml:space="preserve">  </w:t>
      </w:r>
      <w:r>
        <w:rPr>
          <w:rFonts w:hint="eastAsia" w:ascii="宋体" w:hAnsi="宋体" w:cs="宋体"/>
          <w:sz w:val="24"/>
          <w:highlight w:val="white"/>
          <w:u w:val="single"/>
        </w:rPr>
        <w:t xml:space="preserve">        </w:t>
      </w:r>
    </w:p>
    <w:p w14:paraId="60627044">
      <w:pPr>
        <w:spacing w:line="360" w:lineRule="auto"/>
        <w:ind w:firstLine="3600" w:firstLineChars="1500"/>
        <w:rPr>
          <w:rFonts w:hint="eastAsia" w:ascii="宋体" w:hAnsi="宋体" w:cs="宋体"/>
          <w:sz w:val="24"/>
        </w:rPr>
      </w:pPr>
      <w:r>
        <w:rPr>
          <w:rFonts w:hint="eastAsia" w:ascii="宋体" w:hAnsi="宋体" w:cs="宋体"/>
          <w:sz w:val="24"/>
          <w:highlight w:val="white"/>
        </w:rPr>
        <w:t>委托代理人：</w:t>
      </w:r>
      <w:r>
        <w:rPr>
          <w:rFonts w:ascii="宋体" w:hAnsi="宋体" w:cs="宋体"/>
          <w:sz w:val="24"/>
          <w:highlight w:val="white"/>
          <w:u w:val="single"/>
        </w:rPr>
        <w:t xml:space="preserve"> </w:t>
      </w:r>
      <w:r>
        <w:rPr>
          <w:rFonts w:hint="eastAsia" w:ascii="宋体" w:hAnsi="宋体" w:cs="宋体"/>
          <w:sz w:val="24"/>
          <w:highlight w:val="white"/>
          <w:u w:val="single"/>
        </w:rPr>
        <w:t xml:space="preserve">            </w:t>
      </w:r>
      <w:r>
        <w:rPr>
          <w:rFonts w:hint="eastAsia" w:ascii="宋体" w:hAnsi="宋体" w:cs="宋体"/>
          <w:sz w:val="24"/>
          <w:highlight w:val="white"/>
        </w:rPr>
        <w:t xml:space="preserve">（签    字） </w:t>
      </w:r>
    </w:p>
    <w:p w14:paraId="6C01E412">
      <w:pPr>
        <w:spacing w:line="360" w:lineRule="auto"/>
        <w:ind w:firstLine="3600" w:firstLineChars="1500"/>
        <w:rPr>
          <w:rFonts w:hint="eastAsia" w:ascii="宋体" w:hAnsi="宋体" w:cs="宋体"/>
          <w:sz w:val="24"/>
        </w:rPr>
      </w:pPr>
      <w:r>
        <w:rPr>
          <w:rFonts w:hint="eastAsia" w:ascii="宋体" w:hAnsi="宋体" w:cs="宋体"/>
          <w:sz w:val="24"/>
          <w:highlight w:val="white"/>
        </w:rPr>
        <w:t>身份证号码：</w:t>
      </w:r>
      <w:r>
        <w:rPr>
          <w:rFonts w:hint="eastAsia" w:ascii="宋体" w:hAnsi="宋体" w:cs="宋体"/>
          <w:sz w:val="24"/>
          <w:highlight w:val="white"/>
          <w:u w:val="single"/>
        </w:rPr>
        <w:t xml:space="preserve">  </w:t>
      </w:r>
      <w:r>
        <w:rPr>
          <w:rFonts w:ascii="宋体" w:hAnsi="宋体" w:cs="宋体"/>
          <w:sz w:val="24"/>
          <w:highlight w:val="white"/>
          <w:u w:val="single"/>
        </w:rPr>
        <w:t xml:space="preserve">  </w:t>
      </w:r>
      <w:r>
        <w:rPr>
          <w:rFonts w:hint="eastAsia" w:ascii="宋体" w:hAnsi="宋体" w:cs="宋体"/>
          <w:sz w:val="24"/>
          <w:highlight w:val="white"/>
          <w:u w:val="single"/>
        </w:rPr>
        <w:t xml:space="preserve">        </w:t>
      </w:r>
    </w:p>
    <w:p w14:paraId="7B1DED74">
      <w:pPr>
        <w:pStyle w:val="70"/>
        <w:tabs>
          <w:tab w:val="left" w:pos="0"/>
          <w:tab w:val="clear" w:pos="1843"/>
        </w:tabs>
        <w:autoSpaceDE w:val="0"/>
        <w:autoSpaceDN w:val="0"/>
        <w:adjustRightInd/>
        <w:spacing w:before="0" w:after="0" w:line="360" w:lineRule="auto"/>
        <w:ind w:left="485" w:right="0" w:rightChars="0" w:hanging="484" w:hangingChars="202"/>
        <w:jc w:val="center"/>
        <w:textAlignment w:val="bottom"/>
        <w:rPr>
          <w:rFonts w:ascii="宋体" w:hAnsi="宋体"/>
        </w:rPr>
      </w:pPr>
      <w:r>
        <w:rPr>
          <w:rFonts w:hint="eastAsia" w:ascii="宋体" w:hAnsi="宋体" w:cs="宋体"/>
          <w:highlight w:val="white"/>
        </w:rPr>
        <w:t xml:space="preserve">                                      </w:t>
      </w:r>
      <w:r>
        <w:rPr>
          <w:rFonts w:ascii="宋体" w:hAnsi="宋体" w:cs="宋体"/>
          <w:highlight w:val="white"/>
        </w:rPr>
        <w:t xml:space="preserve"> </w:t>
      </w:r>
      <w:r>
        <w:rPr>
          <w:rFonts w:ascii="宋体" w:hAnsi="宋体" w:cs="宋体"/>
          <w:highlight w:val="white"/>
          <w:u w:val="single"/>
        </w:rPr>
        <w:t xml:space="preserve">     </w:t>
      </w:r>
      <w:r>
        <w:rPr>
          <w:rFonts w:hint="eastAsia" w:ascii="宋体" w:hAnsi="宋体" w:cs="宋体"/>
          <w:highlight w:val="white"/>
        </w:rPr>
        <w:t>年</w:t>
      </w:r>
      <w:r>
        <w:rPr>
          <w:rFonts w:ascii="宋体" w:hAnsi="宋体" w:cs="宋体"/>
          <w:highlight w:val="white"/>
          <w:u w:val="single"/>
        </w:rPr>
        <w:t xml:space="preserve">    </w:t>
      </w:r>
      <w:r>
        <w:rPr>
          <w:rFonts w:hint="eastAsia" w:ascii="宋体" w:hAnsi="宋体" w:cs="宋体"/>
          <w:highlight w:val="white"/>
        </w:rPr>
        <w:t>月</w:t>
      </w:r>
      <w:r>
        <w:rPr>
          <w:rFonts w:ascii="宋体" w:hAnsi="宋体" w:cs="宋体"/>
          <w:highlight w:val="white"/>
          <w:u w:val="single"/>
        </w:rPr>
        <w:t xml:space="preserve">    </w:t>
      </w:r>
      <w:r>
        <w:rPr>
          <w:rFonts w:hint="eastAsia" w:ascii="宋体" w:hAnsi="宋体" w:cs="宋体"/>
          <w:highlight w:val="white"/>
        </w:rPr>
        <w:t>日</w:t>
      </w:r>
    </w:p>
    <w:p w14:paraId="72CDCB17">
      <w:pPr>
        <w:spacing w:line="360" w:lineRule="auto"/>
        <w:rPr>
          <w:rFonts w:ascii="宋体" w:hAnsi="宋体"/>
          <w:sz w:val="24"/>
        </w:rPr>
      </w:pPr>
      <w:r>
        <w:rPr>
          <w:rFonts w:ascii="宋体" w:hAnsi="宋体"/>
          <w:sz w:val="24"/>
          <w:highlight w:val="white"/>
        </w:rPr>
        <w:t>注：</w:t>
      </w:r>
      <w:r>
        <w:rPr>
          <w:rFonts w:hint="eastAsia" w:ascii="宋体" w:hAnsi="宋体"/>
          <w:sz w:val="24"/>
          <w:highlight w:val="white"/>
        </w:rPr>
        <w:t>（1）法定代表人不亲自投标而委托代理人投标适用。</w:t>
      </w:r>
    </w:p>
    <w:p w14:paraId="27DEA4D8">
      <w:pPr>
        <w:spacing w:line="360" w:lineRule="auto"/>
        <w:ind w:firstLine="424" w:firstLineChars="177"/>
        <w:rPr>
          <w:rFonts w:ascii="宋体" w:hAnsi="宋体"/>
          <w:sz w:val="24"/>
        </w:rPr>
      </w:pPr>
      <w:r>
        <w:rPr>
          <w:rFonts w:hint="eastAsia" w:ascii="宋体" w:hAnsi="宋体"/>
          <w:sz w:val="24"/>
          <w:highlight w:val="white"/>
        </w:rPr>
        <w:t>（2）法定代表人委托他人投标的，委托代理人应是投标人本单位（联合体投标为牵头人）的人员。</w:t>
      </w:r>
    </w:p>
    <w:p w14:paraId="03D5F4F9">
      <w:pPr>
        <w:spacing w:line="360" w:lineRule="auto"/>
        <w:ind w:firstLine="480" w:firstLineChars="200"/>
        <w:rPr>
          <w:rFonts w:ascii="宋体" w:hAnsi="宋体"/>
          <w:sz w:val="24"/>
        </w:rPr>
      </w:pPr>
      <w:r>
        <w:rPr>
          <w:rFonts w:hint="eastAsia" w:ascii="宋体" w:hAnsi="宋体"/>
          <w:sz w:val="24"/>
          <w:highlight w:val="white"/>
        </w:rPr>
        <w:t>（3）最近6个月连续缴费的社保证明是指从招标文件开始下载时间的上一个月或上上个月起算，往前推6个月的连续、不间断的缴费证明</w:t>
      </w:r>
      <w:r>
        <w:rPr>
          <w:rFonts w:hint="eastAsia"/>
          <w:highlight w:val="white"/>
        </w:rPr>
        <w:t>，</w:t>
      </w:r>
      <w:r>
        <w:rPr>
          <w:rFonts w:hint="eastAsia" w:ascii="宋体" w:hAnsi="宋体"/>
          <w:sz w:val="24"/>
          <w:highlight w:val="white"/>
        </w:rPr>
        <w:t>企业设立不足6个月的可少于6个月。</w:t>
      </w:r>
    </w:p>
    <w:p w14:paraId="2B30540E">
      <w:pPr>
        <w:pStyle w:val="3"/>
        <w:pageBreakBefore/>
        <w:spacing w:line="360" w:lineRule="auto"/>
        <w:jc w:val="center"/>
        <w:rPr>
          <w:rFonts w:hint="eastAsia" w:ascii="宋体" w:hAnsi="宋体" w:eastAsia="宋体"/>
          <w:bCs w:val="0"/>
          <w:kern w:val="44"/>
          <w:sz w:val="28"/>
          <w:szCs w:val="28"/>
        </w:rPr>
      </w:pPr>
      <w:bookmarkStart w:id="244" w:name="_Toc256000352"/>
      <w:r>
        <w:rPr>
          <w:rFonts w:hint="eastAsia" w:ascii="宋体" w:hAnsi="宋体" w:eastAsia="宋体"/>
          <w:bCs w:val="0"/>
          <w:kern w:val="44"/>
          <w:sz w:val="28"/>
          <w:szCs w:val="28"/>
          <w:highlight w:val="white"/>
        </w:rPr>
        <w:t>三、联合体协议书</w:t>
      </w:r>
      <w:bookmarkEnd w:id="244"/>
    </w:p>
    <w:p w14:paraId="0C6B7D8C">
      <w:pPr>
        <w:tabs>
          <w:tab w:val="left" w:pos="684"/>
        </w:tabs>
        <w:spacing w:line="360" w:lineRule="auto"/>
        <w:ind w:right="120" w:firstLine="480" w:firstLineChars="200"/>
        <w:rPr>
          <w:rFonts w:ascii="宋体" w:hAnsi="宋体"/>
          <w:sz w:val="24"/>
        </w:rPr>
      </w:pPr>
      <w:r>
        <w:rPr>
          <w:rFonts w:ascii="宋体" w:hAnsi="宋体" w:cs="宋体"/>
          <w:sz w:val="24"/>
          <w:highlight w:val="white"/>
          <w:u w:val="single"/>
        </w:rPr>
        <w:t xml:space="preserve">             </w:t>
      </w:r>
      <w:r>
        <w:rPr>
          <w:rFonts w:hint="eastAsia" w:ascii="宋体" w:hAnsi="宋体"/>
          <w:sz w:val="24"/>
          <w:highlight w:val="white"/>
        </w:rPr>
        <w:t>（所有成员单位名称）自愿组成</w:t>
      </w:r>
      <w:r>
        <w:rPr>
          <w:rFonts w:ascii="宋体" w:hAnsi="宋体" w:cs="宋体"/>
          <w:sz w:val="24"/>
          <w:highlight w:val="white"/>
          <w:u w:val="single"/>
        </w:rPr>
        <w:t xml:space="preserve">        </w:t>
      </w:r>
      <w:r>
        <w:rPr>
          <w:rFonts w:hint="eastAsia" w:ascii="宋体" w:hAnsi="宋体"/>
          <w:sz w:val="24"/>
          <w:highlight w:val="white"/>
        </w:rPr>
        <w:t>（联合体名称）联合体，共同参加</w:t>
      </w:r>
      <w:r>
        <w:rPr>
          <w:rFonts w:ascii="宋体" w:hAnsi="宋体" w:cs="宋体"/>
          <w:sz w:val="24"/>
          <w:highlight w:val="white"/>
          <w:u w:val="single"/>
        </w:rPr>
        <w:t xml:space="preserve">        </w:t>
      </w:r>
      <w:r>
        <w:rPr>
          <w:rFonts w:hint="eastAsia" w:ascii="宋体" w:hAnsi="宋体"/>
          <w:sz w:val="24"/>
          <w:highlight w:val="white"/>
        </w:rPr>
        <w:t>（项目名称）设计施工总承包</w:t>
      </w:r>
      <w:r>
        <w:rPr>
          <w:rFonts w:ascii="宋体" w:hAnsi="宋体" w:cs="宋体"/>
          <w:sz w:val="24"/>
          <w:highlight w:val="white"/>
          <w:u w:val="single"/>
        </w:rPr>
        <w:t xml:space="preserve">     </w:t>
      </w:r>
      <w:r>
        <w:rPr>
          <w:rFonts w:hint="eastAsia" w:ascii="宋体" w:hAnsi="宋体" w:cs="宋体"/>
          <w:sz w:val="24"/>
          <w:highlight w:val="white"/>
        </w:rPr>
        <w:t>标段</w:t>
      </w:r>
      <w:r>
        <w:rPr>
          <w:rFonts w:hint="eastAsia" w:ascii="宋体" w:hAnsi="宋体"/>
          <w:sz w:val="24"/>
          <w:highlight w:val="white"/>
        </w:rPr>
        <w:t>投标。现就联合体投标事宜订立如下协议。</w:t>
      </w:r>
    </w:p>
    <w:p w14:paraId="24CF5C6C">
      <w:pPr>
        <w:tabs>
          <w:tab w:val="left" w:pos="684"/>
        </w:tabs>
        <w:spacing w:line="360" w:lineRule="auto"/>
        <w:ind w:right="120" w:firstLine="398" w:firstLineChars="166"/>
        <w:rPr>
          <w:rFonts w:hint="eastAsia" w:ascii="宋体" w:hAnsi="宋体"/>
          <w:sz w:val="24"/>
        </w:rPr>
      </w:pPr>
      <w:r>
        <w:rPr>
          <w:rFonts w:hint="eastAsia" w:ascii="宋体" w:hAnsi="宋体"/>
          <w:sz w:val="24"/>
          <w:highlight w:val="white"/>
        </w:rPr>
        <w:t>1</w:t>
      </w:r>
      <w:r>
        <w:rPr>
          <w:rFonts w:ascii="宋体" w:hAnsi="宋体"/>
          <w:sz w:val="24"/>
          <w:highlight w:val="white"/>
        </w:rPr>
        <w:t>.</w:t>
      </w:r>
      <w:r>
        <w:rPr>
          <w:rFonts w:ascii="宋体" w:hAnsi="宋体" w:cs="宋体"/>
          <w:sz w:val="24"/>
          <w:highlight w:val="white"/>
          <w:u w:val="single"/>
        </w:rPr>
        <w:t xml:space="preserve">             </w:t>
      </w:r>
      <w:r>
        <w:rPr>
          <w:rFonts w:hint="eastAsia" w:ascii="宋体" w:hAnsi="宋体"/>
          <w:sz w:val="24"/>
          <w:highlight w:val="white"/>
        </w:rPr>
        <w:t>（某成员单位名称）为</w:t>
      </w:r>
      <w:r>
        <w:rPr>
          <w:rFonts w:ascii="宋体" w:hAnsi="宋体" w:cs="宋体"/>
          <w:sz w:val="24"/>
          <w:highlight w:val="white"/>
          <w:u w:val="single"/>
        </w:rPr>
        <w:t xml:space="preserve">             </w:t>
      </w:r>
      <w:r>
        <w:rPr>
          <w:rFonts w:hint="eastAsia" w:ascii="宋体" w:hAnsi="宋体"/>
          <w:sz w:val="24"/>
          <w:highlight w:val="white"/>
        </w:rPr>
        <w:t>（联合体名称）牵头人。</w:t>
      </w:r>
    </w:p>
    <w:p w14:paraId="281D04D8">
      <w:pPr>
        <w:tabs>
          <w:tab w:val="left" w:pos="684"/>
        </w:tabs>
        <w:spacing w:line="360" w:lineRule="auto"/>
        <w:ind w:right="120" w:firstLine="398" w:firstLineChars="166"/>
        <w:rPr>
          <w:rFonts w:ascii="宋体" w:hAnsi="宋体"/>
          <w:sz w:val="24"/>
        </w:rPr>
      </w:pPr>
      <w:r>
        <w:rPr>
          <w:rFonts w:hint="eastAsia" w:ascii="宋体" w:hAnsi="宋体"/>
          <w:sz w:val="24"/>
          <w:highlight w:val="white"/>
        </w:rPr>
        <w:t>2.</w:t>
      </w:r>
      <w:r>
        <w:rPr>
          <w:rFonts w:ascii="宋体" w:hAnsi="宋体"/>
          <w:sz w:val="24"/>
          <w:highlight w:val="white"/>
        </w:rPr>
        <w:t>联合体各成员授权牵头人代表联合体参加投标活动，签署文件，提交和接收相关的资料、信息及指示，进行合同谈判活动，负责合同实施阶段的组织和协调工作，以及处理与本招标项目有关的一切事宜。</w:t>
      </w:r>
    </w:p>
    <w:p w14:paraId="7F735199">
      <w:pPr>
        <w:tabs>
          <w:tab w:val="left" w:pos="684"/>
        </w:tabs>
        <w:spacing w:line="360" w:lineRule="auto"/>
        <w:ind w:firstLine="398" w:firstLineChars="166"/>
        <w:rPr>
          <w:rFonts w:ascii="宋体" w:hAnsi="宋体"/>
          <w:sz w:val="24"/>
        </w:rPr>
      </w:pPr>
      <w:r>
        <w:rPr>
          <w:rFonts w:hint="eastAsia" w:ascii="宋体" w:hAnsi="宋体"/>
          <w:sz w:val="24"/>
          <w:highlight w:val="white"/>
        </w:rPr>
        <w:t>3.</w:t>
      </w:r>
      <w:r>
        <w:rPr>
          <w:rFonts w:ascii="宋体" w:hAnsi="宋体"/>
          <w:sz w:val="24"/>
          <w:highlight w:val="white"/>
        </w:rPr>
        <w:t>联合体牵头人在本项目中签署的一切文件和处理的一切事宜，联合体各成员均予以承认。联合体各成员将严格按照招标文件、投标文件和合同的要求全面履行义务，并向招标人承担连带责任。</w:t>
      </w:r>
    </w:p>
    <w:p w14:paraId="34FDE037">
      <w:pPr>
        <w:tabs>
          <w:tab w:val="left" w:pos="8620"/>
        </w:tabs>
        <w:spacing w:line="360" w:lineRule="auto"/>
        <w:ind w:firstLine="398" w:firstLineChars="166"/>
        <w:rPr>
          <w:rFonts w:ascii="宋体" w:hAnsi="宋体"/>
          <w:sz w:val="24"/>
        </w:rPr>
      </w:pPr>
      <w:r>
        <w:rPr>
          <w:rFonts w:ascii="宋体" w:hAnsi="宋体"/>
          <w:sz w:val="24"/>
          <w:highlight w:val="white"/>
        </w:rPr>
        <w:t>4. 联合体各成员单位内部的职责分工如下：</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w:t>
      </w:r>
    </w:p>
    <w:p w14:paraId="060D6D58">
      <w:pPr>
        <w:tabs>
          <w:tab w:val="left" w:pos="684"/>
        </w:tabs>
        <w:spacing w:line="360" w:lineRule="auto"/>
        <w:ind w:right="220" w:firstLine="398" w:firstLineChars="166"/>
        <w:rPr>
          <w:rFonts w:ascii="宋体" w:hAnsi="宋体"/>
          <w:sz w:val="24"/>
        </w:rPr>
      </w:pPr>
      <w:r>
        <w:rPr>
          <w:rFonts w:hint="eastAsia" w:ascii="宋体" w:hAnsi="宋体"/>
          <w:sz w:val="24"/>
          <w:highlight w:val="white"/>
        </w:rPr>
        <w:t>5.</w:t>
      </w:r>
      <w:r>
        <w:rPr>
          <w:rFonts w:ascii="宋体" w:hAnsi="宋体"/>
          <w:sz w:val="24"/>
          <w:highlight w:val="white"/>
        </w:rPr>
        <w:t>本协议书自所有成员单位法定代表人或其委托代理人签字或盖单位章之日起生效，合同履行完毕后自动失效。</w:t>
      </w:r>
    </w:p>
    <w:p w14:paraId="607C429B">
      <w:pPr>
        <w:tabs>
          <w:tab w:val="left" w:pos="680"/>
        </w:tabs>
        <w:spacing w:line="360" w:lineRule="auto"/>
        <w:ind w:firstLine="398" w:firstLineChars="166"/>
        <w:rPr>
          <w:rFonts w:ascii="宋体" w:hAnsi="宋体"/>
          <w:sz w:val="24"/>
        </w:rPr>
      </w:pPr>
      <w:r>
        <w:rPr>
          <w:rFonts w:hint="eastAsia" w:ascii="宋体" w:hAnsi="宋体"/>
          <w:sz w:val="24"/>
          <w:highlight w:val="white"/>
        </w:rPr>
        <w:t>6.</w:t>
      </w:r>
      <w:r>
        <w:rPr>
          <w:rFonts w:ascii="宋体" w:hAnsi="宋体"/>
          <w:sz w:val="24"/>
          <w:highlight w:val="white"/>
        </w:rPr>
        <w:t>本协议书一式</w:t>
      </w:r>
      <w:r>
        <w:rPr>
          <w:rFonts w:ascii="宋体" w:hAnsi="宋体"/>
          <w:sz w:val="24"/>
          <w:highlight w:val="white"/>
          <w:u w:val="single"/>
        </w:rPr>
        <w:t xml:space="preserve">     </w:t>
      </w:r>
      <w:r>
        <w:rPr>
          <w:rFonts w:ascii="宋体" w:hAnsi="宋体"/>
          <w:sz w:val="24"/>
          <w:highlight w:val="white"/>
        </w:rPr>
        <w:t>份，联合体成员和招标人各执一份。</w:t>
      </w:r>
    </w:p>
    <w:p w14:paraId="66B3A877">
      <w:pPr>
        <w:tabs>
          <w:tab w:val="left" w:pos="680"/>
        </w:tabs>
        <w:spacing w:line="360" w:lineRule="auto"/>
        <w:ind w:firstLine="398" w:firstLineChars="166"/>
        <w:rPr>
          <w:rFonts w:ascii="宋体" w:hAnsi="宋体"/>
          <w:sz w:val="24"/>
        </w:rPr>
      </w:pPr>
      <w:r>
        <w:rPr>
          <w:rFonts w:hint="eastAsia" w:ascii="宋体" w:hAnsi="宋体"/>
          <w:sz w:val="24"/>
          <w:highlight w:val="white"/>
        </w:rPr>
        <w:t>注：本协议书由法定代表人签字的，应附法定代表人身份证明扫描件；由委托代理人签字的，应附授权委托书扫描件。</w:t>
      </w:r>
    </w:p>
    <w:p w14:paraId="24EA20E9">
      <w:pPr>
        <w:tabs>
          <w:tab w:val="left" w:pos="680"/>
        </w:tabs>
        <w:spacing w:line="360" w:lineRule="auto"/>
        <w:ind w:left="680"/>
        <w:rPr>
          <w:rFonts w:hint="eastAsia" w:ascii="宋体" w:hAnsi="宋体"/>
          <w:sz w:val="24"/>
        </w:rPr>
      </w:pPr>
    </w:p>
    <w:p w14:paraId="2D582BA5">
      <w:pPr>
        <w:topLinePunct/>
        <w:spacing w:line="360" w:lineRule="auto"/>
        <w:ind w:right="105"/>
        <w:jc w:val="right"/>
        <w:rPr>
          <w:rFonts w:ascii="宋体" w:hAnsi="宋体"/>
          <w:sz w:val="24"/>
        </w:rPr>
      </w:pPr>
      <w:r>
        <w:rPr>
          <w:rFonts w:hint="eastAsia" w:ascii="宋体" w:hAnsi="宋体"/>
          <w:sz w:val="24"/>
          <w:highlight w:val="white"/>
        </w:rPr>
        <w:t>联合体牵头人名称：</w:t>
      </w:r>
      <w:r>
        <w:rPr>
          <w:rFonts w:hint="eastAsia" w:ascii="宋体" w:hAnsi="宋体"/>
          <w:sz w:val="24"/>
          <w:highlight w:val="white"/>
          <w:u w:val="single"/>
        </w:rPr>
        <w:t xml:space="preserve">                </w:t>
      </w:r>
      <w:r>
        <w:rPr>
          <w:rFonts w:hint="eastAsia" w:ascii="宋体" w:hAnsi="宋体"/>
          <w:sz w:val="24"/>
          <w:highlight w:val="white"/>
        </w:rPr>
        <w:t>（盖单位章）</w:t>
      </w:r>
    </w:p>
    <w:p w14:paraId="17C62034">
      <w:pPr>
        <w:topLinePunct/>
        <w:spacing w:line="360" w:lineRule="auto"/>
        <w:ind w:right="105"/>
        <w:jc w:val="right"/>
        <w:rPr>
          <w:rFonts w:hint="eastAsia" w:ascii="宋体" w:hAnsi="宋体"/>
          <w:sz w:val="24"/>
        </w:rPr>
      </w:pPr>
      <w:r>
        <w:rPr>
          <w:rFonts w:hint="eastAsia" w:ascii="宋体" w:hAnsi="宋体"/>
          <w:sz w:val="24"/>
          <w:highlight w:val="white"/>
        </w:rPr>
        <w:t>法定代表人或其委托代理人：</w:t>
      </w:r>
      <w:r>
        <w:rPr>
          <w:rFonts w:hint="eastAsia" w:ascii="宋体" w:hAnsi="宋体"/>
          <w:sz w:val="24"/>
          <w:highlight w:val="white"/>
          <w:u w:val="single"/>
        </w:rPr>
        <w:t xml:space="preserve">        </w:t>
      </w:r>
      <w:r>
        <w:rPr>
          <w:rFonts w:ascii="宋体" w:hAnsi="宋体"/>
          <w:sz w:val="24"/>
          <w:highlight w:val="white"/>
        </w:rPr>
        <w:t>（签</w:t>
      </w:r>
      <w:r>
        <w:rPr>
          <w:rFonts w:hint="eastAsia" w:ascii="宋体" w:hAnsi="宋体"/>
          <w:sz w:val="24"/>
          <w:highlight w:val="white"/>
        </w:rPr>
        <w:t xml:space="preserve">    </w:t>
      </w:r>
      <w:r>
        <w:rPr>
          <w:rFonts w:ascii="宋体" w:hAnsi="宋体"/>
          <w:sz w:val="24"/>
          <w:highlight w:val="white"/>
        </w:rPr>
        <w:t>字）</w:t>
      </w:r>
    </w:p>
    <w:p w14:paraId="447C4656">
      <w:pPr>
        <w:topLinePunct/>
        <w:spacing w:line="360" w:lineRule="auto"/>
        <w:ind w:right="105"/>
        <w:jc w:val="right"/>
        <w:rPr>
          <w:rFonts w:ascii="宋体" w:hAnsi="宋体"/>
          <w:sz w:val="24"/>
        </w:rPr>
      </w:pPr>
      <w:r>
        <w:rPr>
          <w:rFonts w:hint="eastAsia" w:ascii="宋体" w:hAnsi="宋体"/>
          <w:sz w:val="24"/>
          <w:highlight w:val="white"/>
        </w:rPr>
        <w:t>联合体其他成员名称：</w:t>
      </w:r>
      <w:r>
        <w:rPr>
          <w:rFonts w:hint="eastAsia" w:ascii="宋体" w:hAnsi="宋体"/>
          <w:sz w:val="24"/>
          <w:highlight w:val="white"/>
          <w:u w:val="single"/>
        </w:rPr>
        <w:t xml:space="preserve">              </w:t>
      </w:r>
      <w:r>
        <w:rPr>
          <w:rFonts w:hint="eastAsia" w:ascii="宋体" w:hAnsi="宋体"/>
          <w:sz w:val="24"/>
          <w:highlight w:val="white"/>
        </w:rPr>
        <w:t>（盖单位章）</w:t>
      </w:r>
    </w:p>
    <w:p w14:paraId="5BB27E35">
      <w:pPr>
        <w:topLinePunct/>
        <w:spacing w:line="360" w:lineRule="auto"/>
        <w:ind w:right="105"/>
        <w:jc w:val="right"/>
        <w:rPr>
          <w:rFonts w:ascii="宋体" w:hAnsi="宋体"/>
          <w:sz w:val="24"/>
        </w:rPr>
      </w:pPr>
      <w:r>
        <w:rPr>
          <w:rFonts w:hint="eastAsia" w:ascii="宋体" w:hAnsi="宋体"/>
          <w:sz w:val="24"/>
          <w:highlight w:val="white"/>
        </w:rPr>
        <w:t>法定代表人或其委托代理人：</w:t>
      </w:r>
      <w:r>
        <w:rPr>
          <w:rFonts w:hint="eastAsia" w:ascii="宋体" w:hAnsi="宋体"/>
          <w:sz w:val="24"/>
          <w:highlight w:val="white"/>
          <w:u w:val="single"/>
        </w:rPr>
        <w:t xml:space="preserve">        </w:t>
      </w:r>
      <w:r>
        <w:rPr>
          <w:rFonts w:ascii="宋体" w:hAnsi="宋体"/>
          <w:sz w:val="24"/>
          <w:highlight w:val="white"/>
        </w:rPr>
        <w:t>（签</w:t>
      </w:r>
      <w:r>
        <w:rPr>
          <w:rFonts w:hint="eastAsia" w:ascii="宋体" w:hAnsi="宋体"/>
          <w:sz w:val="24"/>
          <w:highlight w:val="white"/>
        </w:rPr>
        <w:t xml:space="preserve">    </w:t>
      </w:r>
      <w:r>
        <w:rPr>
          <w:rFonts w:ascii="宋体" w:hAnsi="宋体"/>
          <w:sz w:val="24"/>
          <w:highlight w:val="white"/>
        </w:rPr>
        <w:t>字）</w:t>
      </w:r>
    </w:p>
    <w:p w14:paraId="50F7252B">
      <w:pPr>
        <w:topLinePunct/>
        <w:spacing w:line="360" w:lineRule="auto"/>
        <w:ind w:right="105"/>
        <w:jc w:val="right"/>
        <w:rPr>
          <w:rFonts w:ascii="宋体" w:hAnsi="宋体"/>
          <w:sz w:val="24"/>
        </w:rPr>
      </w:pPr>
      <w:r>
        <w:rPr>
          <w:rFonts w:hint="eastAsia" w:ascii="宋体" w:hAnsi="宋体"/>
          <w:sz w:val="24"/>
          <w:highlight w:val="white"/>
        </w:rPr>
        <w:t>联合体其他成员名称：</w:t>
      </w:r>
      <w:r>
        <w:rPr>
          <w:rFonts w:hint="eastAsia" w:ascii="宋体" w:hAnsi="宋体"/>
          <w:sz w:val="24"/>
          <w:highlight w:val="white"/>
          <w:u w:val="single"/>
        </w:rPr>
        <w:t xml:space="preserve">              </w:t>
      </w:r>
      <w:r>
        <w:rPr>
          <w:rFonts w:hint="eastAsia" w:ascii="宋体" w:hAnsi="宋体"/>
          <w:sz w:val="24"/>
          <w:highlight w:val="white"/>
        </w:rPr>
        <w:t>（盖单位章）</w:t>
      </w:r>
    </w:p>
    <w:p w14:paraId="18D8A200">
      <w:pPr>
        <w:topLinePunct/>
        <w:spacing w:line="360" w:lineRule="auto"/>
        <w:ind w:right="105"/>
        <w:jc w:val="right"/>
        <w:rPr>
          <w:rFonts w:hint="eastAsia" w:ascii="宋体" w:hAnsi="宋体"/>
          <w:sz w:val="24"/>
        </w:rPr>
      </w:pPr>
      <w:r>
        <w:rPr>
          <w:rFonts w:hint="eastAsia" w:ascii="宋体" w:hAnsi="宋体"/>
          <w:sz w:val="24"/>
          <w:highlight w:val="white"/>
        </w:rPr>
        <w:t>法定代表人或其委托代理人：</w:t>
      </w:r>
      <w:r>
        <w:rPr>
          <w:rFonts w:hint="eastAsia" w:ascii="宋体" w:hAnsi="宋体"/>
          <w:sz w:val="24"/>
          <w:highlight w:val="white"/>
          <w:u w:val="single"/>
        </w:rPr>
        <w:t xml:space="preserve">        </w:t>
      </w:r>
      <w:r>
        <w:rPr>
          <w:rFonts w:ascii="宋体" w:hAnsi="宋体"/>
          <w:sz w:val="24"/>
          <w:highlight w:val="white"/>
        </w:rPr>
        <w:t>（签</w:t>
      </w:r>
      <w:r>
        <w:rPr>
          <w:rFonts w:hint="eastAsia" w:ascii="宋体" w:hAnsi="宋体"/>
          <w:sz w:val="24"/>
          <w:highlight w:val="white"/>
        </w:rPr>
        <w:t xml:space="preserve">    </w:t>
      </w:r>
      <w:r>
        <w:rPr>
          <w:rFonts w:ascii="宋体" w:hAnsi="宋体"/>
          <w:sz w:val="24"/>
          <w:highlight w:val="white"/>
        </w:rPr>
        <w:t>字）</w:t>
      </w:r>
    </w:p>
    <w:p w14:paraId="61201A26">
      <w:pPr>
        <w:topLinePunct/>
        <w:spacing w:line="360" w:lineRule="auto"/>
        <w:ind w:right="105"/>
        <w:rPr>
          <w:rFonts w:hint="eastAsia" w:ascii="宋体" w:hAnsi="宋体"/>
          <w:sz w:val="24"/>
        </w:rPr>
      </w:pPr>
      <w:r>
        <w:rPr>
          <w:rFonts w:hint="eastAsia" w:ascii="宋体" w:hAnsi="宋体"/>
          <w:sz w:val="24"/>
          <w:highlight w:val="white"/>
        </w:rPr>
        <w:t xml:space="preserve"> </w:t>
      </w:r>
      <w:r>
        <w:rPr>
          <w:rFonts w:ascii="宋体" w:hAnsi="宋体"/>
          <w:sz w:val="24"/>
          <w:highlight w:val="white"/>
        </w:rPr>
        <w:t xml:space="preserve">                   ……</w:t>
      </w:r>
    </w:p>
    <w:p w14:paraId="12B5D1D1">
      <w:pPr>
        <w:spacing w:line="360" w:lineRule="auto"/>
        <w:ind w:left="2879" w:right="105"/>
        <w:jc w:val="center"/>
        <w:rPr>
          <w:rFonts w:hint="eastAsia" w:ascii="宋体" w:hAnsi="宋体"/>
          <w:sz w:val="24"/>
        </w:rPr>
      </w:pPr>
      <w:r>
        <w:rPr>
          <w:rFonts w:hint="eastAsia" w:ascii="宋体" w:hAnsi="宋体"/>
          <w:sz w:val="24"/>
          <w:highlight w:val="white"/>
          <w:u w:val="single"/>
        </w:rPr>
        <w:t xml:space="preserve">      </w:t>
      </w:r>
      <w:r>
        <w:rPr>
          <w:rFonts w:hint="eastAsia" w:ascii="宋体" w:hAnsi="宋体"/>
          <w:sz w:val="24"/>
          <w:highlight w:val="white"/>
        </w:rPr>
        <w:t>年</w:t>
      </w:r>
      <w:r>
        <w:rPr>
          <w:rFonts w:hint="eastAsia" w:ascii="宋体" w:hAnsi="宋体"/>
          <w:sz w:val="24"/>
          <w:highlight w:val="white"/>
          <w:u w:val="single"/>
        </w:rPr>
        <w:t xml:space="preserve">       </w:t>
      </w:r>
      <w:r>
        <w:rPr>
          <w:rFonts w:hint="eastAsia" w:ascii="宋体" w:hAnsi="宋体"/>
          <w:sz w:val="24"/>
          <w:highlight w:val="white"/>
        </w:rPr>
        <w:t>月</w:t>
      </w:r>
      <w:r>
        <w:rPr>
          <w:rFonts w:hint="eastAsia" w:ascii="宋体" w:hAnsi="宋体"/>
          <w:sz w:val="24"/>
          <w:highlight w:val="white"/>
          <w:u w:val="single"/>
        </w:rPr>
        <w:t xml:space="preserve">       </w:t>
      </w:r>
      <w:r>
        <w:rPr>
          <w:rFonts w:hint="eastAsia" w:ascii="宋体" w:hAnsi="宋体"/>
          <w:sz w:val="24"/>
          <w:highlight w:val="white"/>
        </w:rPr>
        <w:t>日</w:t>
      </w:r>
    </w:p>
    <w:p w14:paraId="27BB26FC">
      <w:pPr>
        <w:spacing w:line="360" w:lineRule="auto"/>
      </w:pPr>
      <w:r>
        <w:rPr>
          <w:rFonts w:hint="eastAsia" w:ascii="宋体" w:hAnsi="宋体"/>
          <w:sz w:val="24"/>
          <w:highlight w:val="white"/>
        </w:rPr>
        <w:t>注：本协议书为联合体投标时适用，非联合体投标时无需填写。</w:t>
      </w:r>
    </w:p>
    <w:p w14:paraId="0B163835">
      <w:pPr>
        <w:pStyle w:val="3"/>
        <w:spacing w:line="360" w:lineRule="auto"/>
        <w:jc w:val="center"/>
        <w:rPr>
          <w:szCs w:val="21"/>
        </w:rPr>
      </w:pPr>
      <w:r>
        <w:rPr>
          <w:rFonts w:hint="eastAsia" w:ascii="宋体" w:hAnsi="宋体" w:eastAsia="宋体"/>
          <w:bCs w:val="0"/>
          <w:kern w:val="44"/>
          <w:sz w:val="28"/>
          <w:szCs w:val="28"/>
          <w:highlight w:val="white"/>
        </w:rPr>
        <w:br w:type="page"/>
      </w:r>
      <w:bookmarkStart w:id="245" w:name="_Toc256000353"/>
      <w:r>
        <w:rPr>
          <w:rFonts w:hint="eastAsia" w:ascii="宋体" w:hAnsi="宋体" w:eastAsia="宋体"/>
          <w:bCs w:val="0"/>
          <w:kern w:val="44"/>
          <w:sz w:val="28"/>
          <w:szCs w:val="28"/>
          <w:highlight w:val="white"/>
        </w:rPr>
        <w:t>四、投标保证金</w:t>
      </w:r>
      <w:bookmarkEnd w:id="245"/>
    </w:p>
    <w:p w14:paraId="3D7E1F14">
      <w:pPr>
        <w:spacing w:line="360" w:lineRule="auto"/>
        <w:ind w:firstLine="480" w:firstLineChars="200"/>
        <w:rPr>
          <w:rFonts w:hint="eastAsia" w:ascii="宋体" w:hAnsi="宋体" w:cs="Arial"/>
          <w:kern w:val="0"/>
          <w:sz w:val="24"/>
        </w:rPr>
      </w:pPr>
      <w:r>
        <w:rPr>
          <w:rFonts w:hint="eastAsia" w:ascii="宋体" w:hAnsi="宋体" w:cs="Arial"/>
          <w:kern w:val="0"/>
          <w:sz w:val="24"/>
          <w:highlight w:val="white"/>
        </w:rPr>
        <w:t>（1）若采用转账方式，投标人应附银行给投标人的转账回单扫描件、人民银行颁发的基本存款账户开户许可证或基本存款账户信息证明材料扫描件。</w:t>
      </w:r>
    </w:p>
    <w:p w14:paraId="6D58BF06">
      <w:pPr>
        <w:spacing w:line="360" w:lineRule="auto"/>
        <w:ind w:firstLine="480" w:firstLineChars="200"/>
        <w:rPr>
          <w:rFonts w:hint="eastAsia"/>
          <w:b/>
          <w:bCs/>
        </w:rPr>
      </w:pPr>
      <w:r>
        <w:rPr>
          <w:rFonts w:hint="eastAsia" w:ascii="宋体" w:hAnsi="宋体" w:cs="Arial"/>
          <w:kern w:val="0"/>
          <w:sz w:val="24"/>
          <w:highlight w:val="white"/>
        </w:rPr>
        <w:t>（2）若采用银行电子保函或专业担保公司电子保函或电子保险合同方式，投标文件中无需附相应材料。</w:t>
      </w:r>
      <w:r>
        <w:rPr>
          <w:rFonts w:hint="eastAsia" w:ascii="宋体" w:hAnsi="宋体" w:cs="Arial"/>
          <w:kern w:val="0"/>
          <w:sz w:val="24"/>
          <w:highlight w:val="white"/>
        </w:rPr>
        <w:br w:type="page"/>
      </w:r>
    </w:p>
    <w:p w14:paraId="1BF66C3B">
      <w:pPr>
        <w:pStyle w:val="3"/>
        <w:spacing w:line="360" w:lineRule="auto"/>
        <w:jc w:val="center"/>
        <w:rPr>
          <w:rFonts w:hint="eastAsia" w:ascii="宋体" w:hAnsi="宋体" w:eastAsia="宋体"/>
          <w:bCs w:val="0"/>
          <w:kern w:val="44"/>
          <w:sz w:val="28"/>
          <w:szCs w:val="28"/>
        </w:rPr>
      </w:pPr>
      <w:bookmarkStart w:id="246" w:name="_Toc256000354"/>
      <w:r>
        <w:rPr>
          <w:rFonts w:hint="eastAsia" w:ascii="宋体" w:hAnsi="宋体" w:eastAsia="宋体"/>
          <w:bCs w:val="0"/>
          <w:kern w:val="44"/>
          <w:sz w:val="28"/>
          <w:szCs w:val="28"/>
          <w:highlight w:val="white"/>
        </w:rPr>
        <w:t>五、价格清单</w:t>
      </w:r>
      <w:bookmarkEnd w:id="246"/>
    </w:p>
    <w:p w14:paraId="32CF0D43">
      <w:pPr>
        <w:spacing w:line="360" w:lineRule="auto"/>
        <w:rPr>
          <w:rFonts w:hint="eastAsia" w:ascii="宋体" w:hAnsi="宋体"/>
          <w:sz w:val="24"/>
        </w:rPr>
      </w:pPr>
      <w:r>
        <w:rPr>
          <w:rFonts w:hint="eastAsia" w:ascii="宋体" w:hAnsi="宋体"/>
          <w:sz w:val="24"/>
          <w:highlight w:val="white"/>
        </w:rPr>
        <w:t>注：投标人应按照招标文件的要求提交价格清单。</w:t>
      </w:r>
    </w:p>
    <w:p w14:paraId="3F8E3168">
      <w:pPr>
        <w:pStyle w:val="3"/>
        <w:pageBreakBefore/>
        <w:spacing w:line="360" w:lineRule="auto"/>
        <w:jc w:val="center"/>
        <w:rPr>
          <w:rFonts w:hint="eastAsia" w:ascii="宋体" w:hAnsi="宋体" w:eastAsia="宋体"/>
          <w:bCs w:val="0"/>
          <w:kern w:val="44"/>
          <w:sz w:val="28"/>
          <w:szCs w:val="28"/>
        </w:rPr>
      </w:pPr>
      <w:bookmarkStart w:id="247" w:name="_Toc256000355"/>
      <w:r>
        <w:rPr>
          <w:rFonts w:hint="eastAsia" w:ascii="宋体" w:hAnsi="宋体" w:eastAsia="宋体"/>
          <w:bCs w:val="0"/>
          <w:kern w:val="44"/>
          <w:sz w:val="28"/>
          <w:szCs w:val="28"/>
          <w:highlight w:val="white"/>
        </w:rPr>
        <w:t>六、承包人建议书</w:t>
      </w:r>
      <w:bookmarkEnd w:id="247"/>
    </w:p>
    <w:p w14:paraId="1DADF375">
      <w:pPr>
        <w:spacing w:line="360" w:lineRule="auto"/>
        <w:rPr>
          <w:rFonts w:hint="eastAsia" w:ascii="宋体" w:hAnsi="宋体" w:cs="宋体"/>
          <w:szCs w:val="21"/>
        </w:rPr>
      </w:pPr>
      <w:r>
        <w:rPr>
          <w:rFonts w:hint="eastAsia" w:ascii="宋体" w:hAnsi="宋体" w:cs="宋体"/>
          <w:szCs w:val="21"/>
          <w:highlight w:val="white"/>
        </w:rPr>
        <w:t>（一）图纸</w:t>
      </w:r>
    </w:p>
    <w:p w14:paraId="19271DB1">
      <w:pPr>
        <w:spacing w:line="360" w:lineRule="auto"/>
        <w:rPr>
          <w:rFonts w:hint="eastAsia" w:ascii="宋体" w:hAnsi="宋体" w:cs="宋体"/>
          <w:szCs w:val="21"/>
        </w:rPr>
      </w:pPr>
      <w:r>
        <w:rPr>
          <w:rFonts w:hint="eastAsia" w:ascii="宋体" w:hAnsi="宋体" w:cs="宋体"/>
          <w:szCs w:val="21"/>
          <w:highlight w:val="white"/>
        </w:rPr>
        <w:t>（二）工程详细说明</w:t>
      </w:r>
    </w:p>
    <w:p w14:paraId="0BF62A6B">
      <w:pPr>
        <w:spacing w:line="360" w:lineRule="auto"/>
        <w:rPr>
          <w:rFonts w:hint="eastAsia" w:ascii="宋体" w:hAnsi="宋体" w:cs="宋体"/>
          <w:szCs w:val="21"/>
        </w:rPr>
      </w:pPr>
      <w:r>
        <w:rPr>
          <w:rFonts w:hint="eastAsia" w:ascii="宋体" w:hAnsi="宋体" w:cs="宋体"/>
          <w:szCs w:val="21"/>
          <w:highlight w:val="white"/>
        </w:rPr>
        <w:t>（三）设备方案</w:t>
      </w:r>
    </w:p>
    <w:p w14:paraId="4769B9A6">
      <w:pPr>
        <w:spacing w:line="360" w:lineRule="auto"/>
        <w:ind w:firstLine="420" w:firstLineChars="200"/>
        <w:rPr>
          <w:rFonts w:hint="eastAsia" w:ascii="宋体" w:hAnsi="宋体" w:cs="宋体"/>
        </w:rPr>
      </w:pPr>
      <w:r>
        <w:rPr>
          <w:rFonts w:hint="eastAsia" w:ascii="宋体" w:hAnsi="宋体" w:cs="宋体"/>
          <w:highlight w:val="white"/>
        </w:rPr>
        <w:t>1．生产设备。</w:t>
      </w:r>
    </w:p>
    <w:p w14:paraId="33206AAD">
      <w:pPr>
        <w:spacing w:line="360" w:lineRule="auto"/>
        <w:ind w:firstLine="420" w:firstLineChars="200"/>
        <w:rPr>
          <w:rFonts w:hint="eastAsia" w:ascii="宋体" w:hAnsi="宋体" w:cs="宋体"/>
        </w:rPr>
      </w:pPr>
      <w:r>
        <w:rPr>
          <w:rFonts w:hint="eastAsia" w:ascii="宋体" w:hAnsi="宋体" w:cs="宋体"/>
          <w:highlight w:val="white"/>
        </w:rPr>
        <w:t>2．必备的备品备件。</w:t>
      </w:r>
    </w:p>
    <w:p w14:paraId="77562787">
      <w:pPr>
        <w:spacing w:line="360" w:lineRule="auto"/>
        <w:ind w:firstLine="420" w:firstLineChars="200"/>
        <w:rPr>
          <w:rFonts w:hint="eastAsia" w:ascii="宋体" w:hAnsi="宋体" w:cs="宋体"/>
        </w:rPr>
      </w:pPr>
      <w:r>
        <w:rPr>
          <w:rFonts w:hint="eastAsia" w:ascii="宋体" w:hAnsi="宋体" w:cs="宋体"/>
          <w:highlight w:val="white"/>
        </w:rPr>
        <w:t>3. 备选的备品备件。</w:t>
      </w:r>
    </w:p>
    <w:p w14:paraId="6D845B28">
      <w:pPr>
        <w:spacing w:line="360" w:lineRule="auto"/>
        <w:rPr>
          <w:rFonts w:hint="eastAsia" w:ascii="宋体" w:hAnsi="宋体" w:cs="宋体"/>
          <w:szCs w:val="21"/>
        </w:rPr>
      </w:pPr>
      <w:r>
        <w:rPr>
          <w:rFonts w:hint="eastAsia" w:ascii="宋体" w:hAnsi="宋体" w:cs="宋体"/>
          <w:szCs w:val="21"/>
          <w:highlight w:val="white"/>
        </w:rPr>
        <w:t>（四）分包方案</w:t>
      </w:r>
    </w:p>
    <w:p w14:paraId="04D98EA1">
      <w:pPr>
        <w:spacing w:line="360" w:lineRule="auto"/>
        <w:rPr>
          <w:rFonts w:hint="eastAsia" w:ascii="宋体" w:hAnsi="宋体" w:cs="宋体"/>
          <w:szCs w:val="21"/>
        </w:rPr>
      </w:pPr>
      <w:r>
        <w:rPr>
          <w:rFonts w:hint="eastAsia" w:ascii="宋体" w:hAnsi="宋体" w:cs="宋体"/>
          <w:szCs w:val="21"/>
          <w:highlight w:val="white"/>
        </w:rPr>
        <w:t>（五）对发包人要求错误的说明</w:t>
      </w:r>
    </w:p>
    <w:p w14:paraId="77D3CD9E">
      <w:pPr>
        <w:spacing w:line="360" w:lineRule="auto"/>
        <w:rPr>
          <w:rFonts w:hint="eastAsia" w:ascii="宋体" w:hAnsi="宋体" w:cs="宋体"/>
          <w:szCs w:val="21"/>
        </w:rPr>
      </w:pPr>
      <w:r>
        <w:rPr>
          <w:rFonts w:hint="eastAsia" w:ascii="宋体" w:hAnsi="宋体" w:cs="宋体"/>
          <w:szCs w:val="21"/>
          <w:highlight w:val="white"/>
        </w:rPr>
        <w:t>（六）其他</w:t>
      </w:r>
    </w:p>
    <w:p w14:paraId="191A7BBE">
      <w:pPr>
        <w:spacing w:line="360" w:lineRule="auto"/>
        <w:rPr>
          <w:rFonts w:hint="eastAsia"/>
        </w:rPr>
      </w:pPr>
    </w:p>
    <w:p w14:paraId="48142A91">
      <w:pPr>
        <w:spacing w:line="360" w:lineRule="auto"/>
        <w:jc w:val="center"/>
        <w:rPr>
          <w:rFonts w:hint="eastAsia"/>
        </w:rPr>
      </w:pPr>
      <w:r>
        <w:rPr>
          <w:rFonts w:hint="eastAsia"/>
          <w:highlight w:val="white"/>
        </w:rPr>
        <w:t>说明：发包人认为承包人实施计划中的有关内容应列入承包人建议书的，应在本页载明。</w:t>
      </w:r>
      <w:r>
        <w:rPr>
          <w:highlight w:val="white"/>
        </w:rPr>
        <w:br w:type="page"/>
      </w:r>
    </w:p>
    <w:p w14:paraId="196EA781">
      <w:pPr>
        <w:pStyle w:val="3"/>
        <w:spacing w:line="360" w:lineRule="auto"/>
        <w:jc w:val="center"/>
        <w:rPr>
          <w:rFonts w:hint="eastAsia" w:ascii="宋体" w:hAnsi="宋体" w:eastAsia="宋体"/>
          <w:bCs w:val="0"/>
          <w:kern w:val="44"/>
          <w:sz w:val="28"/>
          <w:szCs w:val="28"/>
        </w:rPr>
      </w:pPr>
      <w:bookmarkStart w:id="248" w:name="_Toc256000356"/>
      <w:r>
        <w:rPr>
          <w:rFonts w:hint="eastAsia" w:ascii="宋体" w:hAnsi="宋体" w:eastAsia="宋体"/>
          <w:bCs w:val="0"/>
          <w:kern w:val="44"/>
          <w:sz w:val="28"/>
          <w:szCs w:val="28"/>
          <w:highlight w:val="white"/>
        </w:rPr>
        <w:t>七、承包人实施计划</w:t>
      </w:r>
      <w:bookmarkEnd w:id="248"/>
    </w:p>
    <w:p w14:paraId="43D443A7">
      <w:pPr>
        <w:spacing w:line="360" w:lineRule="auto"/>
        <w:rPr>
          <w:rFonts w:hint="eastAsia" w:ascii="宋体" w:hAnsi="宋体" w:cs="宋体"/>
          <w:szCs w:val="21"/>
        </w:rPr>
      </w:pPr>
      <w:r>
        <w:rPr>
          <w:rFonts w:hint="eastAsia" w:ascii="宋体" w:hAnsi="宋体" w:cs="宋体"/>
          <w:szCs w:val="21"/>
          <w:highlight w:val="white"/>
        </w:rPr>
        <w:t>（一）概述</w:t>
      </w:r>
    </w:p>
    <w:p w14:paraId="0CA3AF22">
      <w:pPr>
        <w:spacing w:line="360" w:lineRule="auto"/>
        <w:ind w:firstLine="420" w:firstLineChars="200"/>
        <w:rPr>
          <w:rFonts w:hint="eastAsia" w:ascii="宋体" w:hAnsi="宋体" w:cs="宋体"/>
        </w:rPr>
      </w:pPr>
      <w:r>
        <w:rPr>
          <w:rFonts w:hint="eastAsia" w:ascii="宋体" w:hAnsi="宋体" w:cs="宋体"/>
          <w:highlight w:val="white"/>
        </w:rPr>
        <w:t>1. 项目简要介绍。</w:t>
      </w:r>
    </w:p>
    <w:p w14:paraId="2E2FA6CE">
      <w:pPr>
        <w:spacing w:line="360" w:lineRule="auto"/>
        <w:ind w:firstLine="420" w:firstLineChars="200"/>
        <w:rPr>
          <w:rFonts w:hint="eastAsia" w:ascii="宋体" w:hAnsi="宋体" w:cs="宋体"/>
        </w:rPr>
      </w:pPr>
      <w:r>
        <w:rPr>
          <w:rFonts w:hint="eastAsia" w:ascii="宋体" w:hAnsi="宋体" w:cs="宋体"/>
          <w:highlight w:val="white"/>
        </w:rPr>
        <w:t>2. 项目范围。</w:t>
      </w:r>
    </w:p>
    <w:p w14:paraId="5899F2FC">
      <w:pPr>
        <w:spacing w:line="360" w:lineRule="auto"/>
        <w:ind w:firstLine="420" w:firstLineChars="200"/>
        <w:rPr>
          <w:rFonts w:hint="eastAsia" w:ascii="宋体" w:hAnsi="宋体" w:cs="宋体"/>
        </w:rPr>
      </w:pPr>
      <w:r>
        <w:rPr>
          <w:rFonts w:hint="eastAsia" w:ascii="宋体" w:hAnsi="宋体" w:cs="宋体"/>
          <w:highlight w:val="white"/>
        </w:rPr>
        <w:t>3. 项目特点。</w:t>
      </w:r>
    </w:p>
    <w:p w14:paraId="4B09664E">
      <w:pPr>
        <w:spacing w:line="360" w:lineRule="auto"/>
        <w:rPr>
          <w:rFonts w:hint="eastAsia" w:ascii="宋体" w:hAnsi="宋体" w:cs="宋体"/>
          <w:szCs w:val="21"/>
        </w:rPr>
      </w:pPr>
      <w:r>
        <w:rPr>
          <w:rFonts w:hint="eastAsia" w:ascii="宋体" w:hAnsi="宋体" w:cs="宋体"/>
          <w:szCs w:val="21"/>
          <w:highlight w:val="white"/>
        </w:rPr>
        <w:t>（二）总体实施方案</w:t>
      </w:r>
    </w:p>
    <w:p w14:paraId="31DBFC94">
      <w:pPr>
        <w:spacing w:line="360" w:lineRule="auto"/>
        <w:ind w:firstLine="420" w:firstLineChars="200"/>
        <w:rPr>
          <w:rFonts w:hint="eastAsia" w:ascii="宋体" w:hAnsi="宋体" w:cs="宋体"/>
        </w:rPr>
      </w:pPr>
      <w:r>
        <w:rPr>
          <w:rFonts w:hint="eastAsia" w:ascii="宋体" w:hAnsi="宋体" w:cs="宋体"/>
          <w:highlight w:val="white"/>
        </w:rPr>
        <w:t>1. 项目目标（质量、工期、造价）。</w:t>
      </w:r>
    </w:p>
    <w:p w14:paraId="08B88DB7">
      <w:pPr>
        <w:spacing w:line="360" w:lineRule="auto"/>
        <w:ind w:firstLine="420" w:firstLineChars="200"/>
        <w:rPr>
          <w:rFonts w:hint="eastAsia" w:ascii="宋体" w:hAnsi="宋体" w:cs="宋体"/>
        </w:rPr>
      </w:pPr>
      <w:r>
        <w:rPr>
          <w:rFonts w:hint="eastAsia" w:ascii="宋体" w:hAnsi="宋体" w:cs="宋体"/>
          <w:highlight w:val="white"/>
        </w:rPr>
        <w:t>2. 项目实施组织形式。</w:t>
      </w:r>
    </w:p>
    <w:p w14:paraId="733313FB">
      <w:pPr>
        <w:spacing w:line="360" w:lineRule="auto"/>
        <w:ind w:firstLine="420" w:firstLineChars="200"/>
        <w:rPr>
          <w:rFonts w:hint="eastAsia" w:ascii="宋体" w:hAnsi="宋体" w:cs="宋体"/>
        </w:rPr>
      </w:pPr>
      <w:r>
        <w:rPr>
          <w:rFonts w:hint="eastAsia" w:ascii="宋体" w:hAnsi="宋体" w:cs="宋体"/>
          <w:highlight w:val="white"/>
        </w:rPr>
        <w:t>3. 项目阶段划分。</w:t>
      </w:r>
    </w:p>
    <w:p w14:paraId="5E5F3DA7">
      <w:pPr>
        <w:spacing w:line="360" w:lineRule="auto"/>
        <w:ind w:firstLine="420" w:firstLineChars="200"/>
        <w:rPr>
          <w:rFonts w:hint="eastAsia" w:ascii="宋体" w:hAnsi="宋体" w:cs="宋体"/>
        </w:rPr>
      </w:pPr>
      <w:r>
        <w:rPr>
          <w:rFonts w:hint="eastAsia" w:ascii="宋体" w:hAnsi="宋体" w:cs="宋体"/>
          <w:highlight w:val="white"/>
        </w:rPr>
        <w:t>4. 项目工作分解结构。</w:t>
      </w:r>
    </w:p>
    <w:p w14:paraId="234C75EA">
      <w:pPr>
        <w:spacing w:line="360" w:lineRule="auto"/>
        <w:ind w:firstLine="420" w:firstLineChars="200"/>
        <w:rPr>
          <w:rFonts w:hint="eastAsia" w:ascii="宋体" w:hAnsi="宋体" w:cs="宋体"/>
        </w:rPr>
      </w:pPr>
      <w:r>
        <w:rPr>
          <w:rFonts w:hint="eastAsia" w:ascii="宋体" w:hAnsi="宋体" w:cs="宋体"/>
          <w:highlight w:val="white"/>
        </w:rPr>
        <w:t>5. 对项目各阶段工作及文件的要求。</w:t>
      </w:r>
    </w:p>
    <w:p w14:paraId="4485044E">
      <w:pPr>
        <w:spacing w:line="360" w:lineRule="auto"/>
        <w:ind w:firstLine="420" w:firstLineChars="200"/>
        <w:rPr>
          <w:rFonts w:hint="eastAsia" w:ascii="宋体" w:hAnsi="宋体" w:cs="宋体"/>
        </w:rPr>
      </w:pPr>
      <w:r>
        <w:rPr>
          <w:rFonts w:hint="eastAsia" w:ascii="宋体" w:hAnsi="宋体" w:cs="宋体"/>
          <w:highlight w:val="white"/>
        </w:rPr>
        <w:t>6. 项目分包和采购计划。</w:t>
      </w:r>
    </w:p>
    <w:p w14:paraId="1517640E">
      <w:pPr>
        <w:spacing w:line="360" w:lineRule="auto"/>
        <w:ind w:firstLine="420" w:firstLineChars="200"/>
        <w:rPr>
          <w:rFonts w:hint="eastAsia" w:ascii="宋体" w:hAnsi="宋体" w:cs="宋体"/>
        </w:rPr>
      </w:pPr>
      <w:r>
        <w:rPr>
          <w:rFonts w:hint="eastAsia" w:ascii="宋体" w:hAnsi="宋体" w:cs="宋体"/>
          <w:highlight w:val="white"/>
        </w:rPr>
        <w:t>7. 项目沟通与协调程序。</w:t>
      </w:r>
    </w:p>
    <w:p w14:paraId="1A2C17A7">
      <w:pPr>
        <w:spacing w:line="360" w:lineRule="auto"/>
        <w:rPr>
          <w:rFonts w:hint="eastAsia" w:ascii="宋体" w:hAnsi="宋体" w:cs="宋体"/>
          <w:szCs w:val="21"/>
        </w:rPr>
      </w:pPr>
      <w:r>
        <w:rPr>
          <w:rFonts w:hint="eastAsia" w:ascii="宋体" w:hAnsi="宋体" w:cs="宋体"/>
          <w:szCs w:val="21"/>
          <w:highlight w:val="white"/>
        </w:rPr>
        <w:t>（三）项目实施要点</w:t>
      </w:r>
    </w:p>
    <w:p w14:paraId="6789F252">
      <w:pPr>
        <w:spacing w:line="360" w:lineRule="auto"/>
        <w:ind w:firstLine="420" w:firstLineChars="200"/>
        <w:rPr>
          <w:rFonts w:hint="eastAsia" w:ascii="宋体" w:hAnsi="宋体" w:cs="宋体"/>
        </w:rPr>
      </w:pPr>
      <w:r>
        <w:rPr>
          <w:rFonts w:hint="eastAsia" w:ascii="宋体" w:hAnsi="宋体" w:cs="宋体"/>
          <w:highlight w:val="white"/>
        </w:rPr>
        <w:t>1. 设计实施要点。</w:t>
      </w:r>
    </w:p>
    <w:p w14:paraId="3D981AF8">
      <w:pPr>
        <w:spacing w:line="360" w:lineRule="auto"/>
        <w:ind w:firstLine="420" w:firstLineChars="200"/>
        <w:rPr>
          <w:rFonts w:hint="eastAsia" w:ascii="宋体" w:hAnsi="宋体" w:cs="宋体"/>
        </w:rPr>
      </w:pPr>
      <w:r>
        <w:rPr>
          <w:rFonts w:hint="eastAsia" w:ascii="宋体" w:hAnsi="宋体" w:cs="宋体"/>
          <w:highlight w:val="white"/>
        </w:rPr>
        <w:t>2. 采购实施要点。</w:t>
      </w:r>
    </w:p>
    <w:p w14:paraId="7F20E9E3">
      <w:pPr>
        <w:spacing w:line="360" w:lineRule="auto"/>
        <w:ind w:firstLine="420" w:firstLineChars="200"/>
        <w:rPr>
          <w:rFonts w:hint="eastAsia" w:ascii="宋体" w:hAnsi="宋体" w:cs="宋体"/>
        </w:rPr>
      </w:pPr>
      <w:r>
        <w:rPr>
          <w:rFonts w:hint="eastAsia" w:ascii="宋体" w:hAnsi="宋体" w:cs="宋体"/>
          <w:highlight w:val="white"/>
        </w:rPr>
        <w:t>3. 施工实施要点。</w:t>
      </w:r>
    </w:p>
    <w:p w14:paraId="0EA90436">
      <w:pPr>
        <w:spacing w:line="360" w:lineRule="auto"/>
        <w:ind w:firstLine="420" w:firstLineChars="200"/>
        <w:rPr>
          <w:rFonts w:hint="eastAsia" w:ascii="宋体" w:hAnsi="宋体" w:cs="宋体"/>
        </w:rPr>
      </w:pPr>
      <w:r>
        <w:rPr>
          <w:rFonts w:hint="eastAsia" w:ascii="宋体" w:hAnsi="宋体" w:cs="宋体"/>
          <w:highlight w:val="white"/>
        </w:rPr>
        <w:t>4. 试运行实施要点。</w:t>
      </w:r>
    </w:p>
    <w:p w14:paraId="0772478D">
      <w:pPr>
        <w:spacing w:line="360" w:lineRule="auto"/>
        <w:rPr>
          <w:rFonts w:hint="eastAsia" w:ascii="宋体" w:hAnsi="宋体" w:cs="宋体"/>
          <w:szCs w:val="21"/>
        </w:rPr>
      </w:pPr>
      <w:r>
        <w:rPr>
          <w:rFonts w:hint="eastAsia" w:ascii="宋体" w:hAnsi="宋体" w:cs="宋体"/>
          <w:szCs w:val="21"/>
          <w:highlight w:val="white"/>
        </w:rPr>
        <w:t>（四）项目管理要点</w:t>
      </w:r>
    </w:p>
    <w:p w14:paraId="5B93E465">
      <w:pPr>
        <w:spacing w:line="360" w:lineRule="auto"/>
        <w:ind w:firstLine="420" w:firstLineChars="200"/>
        <w:rPr>
          <w:rFonts w:hint="eastAsia" w:ascii="宋体" w:hAnsi="宋体" w:cs="宋体"/>
        </w:rPr>
      </w:pPr>
      <w:r>
        <w:rPr>
          <w:rFonts w:hint="eastAsia" w:ascii="宋体" w:hAnsi="宋体" w:cs="宋体"/>
          <w:highlight w:val="white"/>
        </w:rPr>
        <w:t>1. 合同管理要点。</w:t>
      </w:r>
    </w:p>
    <w:p w14:paraId="015ECE24">
      <w:pPr>
        <w:spacing w:line="360" w:lineRule="auto"/>
        <w:ind w:firstLine="420" w:firstLineChars="200"/>
        <w:rPr>
          <w:rFonts w:hint="eastAsia" w:ascii="宋体" w:hAnsi="宋体" w:cs="宋体"/>
        </w:rPr>
      </w:pPr>
      <w:r>
        <w:rPr>
          <w:rFonts w:hint="eastAsia" w:ascii="宋体" w:hAnsi="宋体" w:cs="宋体"/>
          <w:highlight w:val="white"/>
        </w:rPr>
        <w:t>2. 资源管理要点。</w:t>
      </w:r>
    </w:p>
    <w:p w14:paraId="0A5973B5">
      <w:pPr>
        <w:spacing w:line="360" w:lineRule="auto"/>
        <w:ind w:firstLine="420" w:firstLineChars="200"/>
        <w:rPr>
          <w:rFonts w:hint="eastAsia" w:ascii="宋体" w:hAnsi="宋体" w:cs="宋体"/>
        </w:rPr>
      </w:pPr>
      <w:r>
        <w:rPr>
          <w:rFonts w:hint="eastAsia" w:ascii="宋体" w:hAnsi="宋体" w:cs="宋体"/>
          <w:highlight w:val="white"/>
        </w:rPr>
        <w:t>3. 质量控制要点。</w:t>
      </w:r>
    </w:p>
    <w:p w14:paraId="00CD4D1B">
      <w:pPr>
        <w:spacing w:line="360" w:lineRule="auto"/>
        <w:ind w:firstLine="420" w:firstLineChars="200"/>
        <w:rPr>
          <w:rFonts w:hint="eastAsia" w:ascii="宋体" w:hAnsi="宋体" w:cs="宋体"/>
        </w:rPr>
      </w:pPr>
      <w:r>
        <w:rPr>
          <w:rFonts w:hint="eastAsia" w:ascii="宋体" w:hAnsi="宋体" w:cs="宋体"/>
          <w:highlight w:val="white"/>
        </w:rPr>
        <w:t>4. 进度控制要点。</w:t>
      </w:r>
    </w:p>
    <w:p w14:paraId="43BB3DB2">
      <w:pPr>
        <w:spacing w:line="360" w:lineRule="auto"/>
        <w:ind w:firstLine="420" w:firstLineChars="200"/>
        <w:rPr>
          <w:rFonts w:hint="eastAsia" w:ascii="宋体" w:hAnsi="宋体" w:cs="宋体"/>
        </w:rPr>
      </w:pPr>
      <w:r>
        <w:rPr>
          <w:rFonts w:hint="eastAsia" w:ascii="宋体" w:hAnsi="宋体" w:cs="宋体"/>
          <w:highlight w:val="white"/>
        </w:rPr>
        <w:t>5. 费用估算及控制要点。</w:t>
      </w:r>
    </w:p>
    <w:p w14:paraId="0FC70C11">
      <w:pPr>
        <w:spacing w:line="360" w:lineRule="auto"/>
        <w:ind w:firstLine="420" w:firstLineChars="200"/>
        <w:rPr>
          <w:rFonts w:hint="eastAsia" w:ascii="宋体" w:hAnsi="宋体" w:cs="宋体"/>
        </w:rPr>
      </w:pPr>
      <w:r>
        <w:rPr>
          <w:rFonts w:hint="eastAsia" w:ascii="宋体" w:hAnsi="宋体" w:cs="宋体"/>
          <w:highlight w:val="white"/>
        </w:rPr>
        <w:t>6. 安全管理要点。</w:t>
      </w:r>
    </w:p>
    <w:p w14:paraId="18D9C4AB">
      <w:pPr>
        <w:spacing w:line="360" w:lineRule="auto"/>
        <w:ind w:firstLine="420" w:firstLineChars="200"/>
        <w:rPr>
          <w:rFonts w:hint="eastAsia" w:ascii="宋体" w:hAnsi="宋体" w:cs="宋体"/>
        </w:rPr>
      </w:pPr>
      <w:r>
        <w:rPr>
          <w:rFonts w:hint="eastAsia" w:ascii="宋体" w:hAnsi="宋体" w:cs="宋体"/>
          <w:highlight w:val="white"/>
        </w:rPr>
        <w:t>7. 职业健康管理要点。</w:t>
      </w:r>
    </w:p>
    <w:p w14:paraId="16C70426">
      <w:pPr>
        <w:spacing w:line="360" w:lineRule="auto"/>
        <w:ind w:firstLine="420" w:firstLineChars="200"/>
        <w:rPr>
          <w:rFonts w:hint="eastAsia" w:ascii="宋体" w:hAnsi="宋体" w:cs="宋体"/>
        </w:rPr>
      </w:pPr>
      <w:r>
        <w:rPr>
          <w:rFonts w:hint="eastAsia" w:ascii="宋体" w:hAnsi="宋体" w:cs="宋体"/>
          <w:highlight w:val="white"/>
        </w:rPr>
        <w:t>8．环境管理要点。</w:t>
      </w:r>
    </w:p>
    <w:p w14:paraId="070326BF">
      <w:pPr>
        <w:spacing w:line="360" w:lineRule="auto"/>
        <w:ind w:firstLine="420" w:firstLineChars="200"/>
        <w:rPr>
          <w:rFonts w:hint="eastAsia" w:ascii="宋体" w:hAnsi="宋体" w:cs="宋体"/>
        </w:rPr>
      </w:pPr>
      <w:r>
        <w:rPr>
          <w:rFonts w:hint="eastAsia" w:ascii="宋体" w:hAnsi="宋体" w:cs="宋体"/>
          <w:highlight w:val="white"/>
        </w:rPr>
        <w:t>9. 沟通和协调管理要点。</w:t>
      </w:r>
    </w:p>
    <w:p w14:paraId="2F0504A3">
      <w:pPr>
        <w:spacing w:line="360" w:lineRule="auto"/>
        <w:ind w:firstLine="420" w:firstLineChars="200"/>
        <w:rPr>
          <w:rFonts w:hint="eastAsia" w:ascii="宋体" w:hAnsi="宋体" w:cs="宋体"/>
        </w:rPr>
      </w:pPr>
      <w:r>
        <w:rPr>
          <w:rFonts w:hint="eastAsia" w:ascii="宋体" w:hAnsi="宋体" w:cs="宋体"/>
          <w:highlight w:val="white"/>
        </w:rPr>
        <w:t>10. 财务管理要点。</w:t>
      </w:r>
    </w:p>
    <w:p w14:paraId="115DE814">
      <w:pPr>
        <w:spacing w:line="360" w:lineRule="auto"/>
        <w:ind w:firstLine="420" w:firstLineChars="200"/>
        <w:rPr>
          <w:rFonts w:hint="eastAsia" w:ascii="宋体" w:hAnsi="宋体" w:cs="宋体"/>
        </w:rPr>
      </w:pPr>
      <w:r>
        <w:rPr>
          <w:rFonts w:hint="eastAsia" w:ascii="宋体" w:hAnsi="宋体" w:cs="宋体"/>
          <w:highlight w:val="white"/>
        </w:rPr>
        <w:t>11. 风险管理要点。</w:t>
      </w:r>
    </w:p>
    <w:p w14:paraId="11842DA3">
      <w:pPr>
        <w:spacing w:line="360" w:lineRule="auto"/>
        <w:ind w:firstLine="420" w:firstLineChars="200"/>
        <w:rPr>
          <w:rFonts w:hint="eastAsia" w:ascii="宋体" w:hAnsi="宋体" w:cs="宋体"/>
        </w:rPr>
      </w:pPr>
      <w:r>
        <w:rPr>
          <w:rFonts w:hint="eastAsia" w:ascii="宋体" w:hAnsi="宋体" w:cs="宋体"/>
          <w:highlight w:val="white"/>
        </w:rPr>
        <w:t>12. 文件及信息管理要点。</w:t>
      </w:r>
    </w:p>
    <w:p w14:paraId="2709837B">
      <w:pPr>
        <w:spacing w:line="360" w:lineRule="auto"/>
        <w:ind w:firstLine="420" w:firstLineChars="200"/>
        <w:rPr>
          <w:rFonts w:hint="eastAsia" w:ascii="宋体" w:hAnsi="宋体" w:cs="宋体"/>
        </w:rPr>
      </w:pPr>
      <w:r>
        <w:rPr>
          <w:rFonts w:hint="eastAsia" w:ascii="宋体" w:hAnsi="宋体" w:cs="宋体"/>
          <w:highlight w:val="white"/>
        </w:rPr>
        <w:t>13. 报告制度。</w:t>
      </w:r>
    </w:p>
    <w:p w14:paraId="4E939147">
      <w:pPr>
        <w:spacing w:line="360" w:lineRule="auto"/>
        <w:rPr>
          <w:rFonts w:hint="eastAsia" w:ascii="宋体" w:hAnsi="宋体" w:cs="宋体"/>
        </w:rPr>
      </w:pPr>
    </w:p>
    <w:p w14:paraId="5BE079A9">
      <w:pPr>
        <w:spacing w:line="360" w:lineRule="auto"/>
        <w:rPr>
          <w:rFonts w:hint="eastAsia" w:ascii="宋体" w:hAnsi="宋体" w:cs="宋体"/>
        </w:rPr>
      </w:pPr>
      <w:r>
        <w:rPr>
          <w:rFonts w:hint="eastAsia" w:ascii="宋体" w:hAnsi="宋体" w:cs="宋体"/>
          <w:highlight w:val="white"/>
        </w:rPr>
        <w:t>说明：发包人认为上述内容应列入承包人建议书的，应在“投标文件格式”中“承包人建议书”中载明。</w:t>
      </w:r>
    </w:p>
    <w:p w14:paraId="3C812425">
      <w:pPr>
        <w:rPr>
          <w:rFonts w:hint="eastAsia"/>
        </w:rPr>
      </w:pPr>
    </w:p>
    <w:p w14:paraId="69F05492">
      <w:pPr>
        <w:pStyle w:val="3"/>
        <w:spacing w:line="360" w:lineRule="auto"/>
        <w:jc w:val="center"/>
        <w:rPr>
          <w:rFonts w:hint="eastAsia" w:ascii="宋体" w:hAnsi="宋体" w:eastAsia="宋体" w:cs="宋体"/>
          <w:bCs w:val="0"/>
          <w:kern w:val="0"/>
          <w:sz w:val="24"/>
          <w:szCs w:val="24"/>
        </w:rPr>
      </w:pPr>
      <w:r>
        <w:rPr>
          <w:rFonts w:hint="eastAsia" w:ascii="宋体" w:hAnsi="宋体" w:eastAsia="宋体"/>
          <w:bCs w:val="0"/>
          <w:kern w:val="44"/>
          <w:sz w:val="28"/>
          <w:szCs w:val="28"/>
          <w:highlight w:val="white"/>
        </w:rPr>
        <w:br w:type="page"/>
      </w:r>
      <w:bookmarkStart w:id="249" w:name="_Toc256000357"/>
      <w:r>
        <w:rPr>
          <w:rFonts w:hint="eastAsia" w:ascii="宋体" w:hAnsi="宋体" w:eastAsia="宋体"/>
          <w:bCs w:val="0"/>
          <w:kern w:val="44"/>
          <w:sz w:val="28"/>
          <w:szCs w:val="28"/>
          <w:highlight w:val="white"/>
        </w:rPr>
        <w:t>八、资格审查资料</w:t>
      </w:r>
      <w:bookmarkEnd w:id="249"/>
    </w:p>
    <w:p w14:paraId="7EA8802B">
      <w:pPr>
        <w:widowControl/>
        <w:topLinePunct/>
        <w:spacing w:line="360" w:lineRule="auto"/>
        <w:jc w:val="left"/>
        <w:rPr>
          <w:rFonts w:hint="eastAsia" w:ascii="宋体" w:hAnsi="宋体" w:cs="宋体"/>
          <w:kern w:val="0"/>
          <w:sz w:val="24"/>
        </w:rPr>
      </w:pPr>
    </w:p>
    <w:p w14:paraId="25DBBE44">
      <w:pPr>
        <w:widowControl/>
        <w:topLinePunct/>
        <w:spacing w:line="360" w:lineRule="auto"/>
        <w:jc w:val="left"/>
        <w:rPr>
          <w:rFonts w:hint="eastAsia" w:ascii="宋体" w:hAnsi="宋体" w:cs="宋体"/>
          <w:kern w:val="0"/>
          <w:sz w:val="24"/>
        </w:rPr>
      </w:pPr>
    </w:p>
    <w:p w14:paraId="4BC332AB">
      <w:pPr>
        <w:widowControl/>
        <w:topLinePunct/>
        <w:spacing w:line="360" w:lineRule="auto"/>
        <w:jc w:val="left"/>
        <w:rPr>
          <w:rFonts w:hint="eastAsia" w:ascii="宋体" w:hAnsi="宋体" w:cs="宋体"/>
          <w:kern w:val="0"/>
          <w:sz w:val="24"/>
        </w:rPr>
      </w:pPr>
    </w:p>
    <w:p w14:paraId="740668DA">
      <w:pPr>
        <w:widowControl/>
        <w:topLinePunct/>
        <w:spacing w:line="360" w:lineRule="auto"/>
        <w:jc w:val="left"/>
        <w:rPr>
          <w:rFonts w:hint="eastAsia" w:ascii="宋体" w:hAnsi="宋体" w:cs="宋体"/>
          <w:kern w:val="0"/>
          <w:sz w:val="24"/>
        </w:rPr>
      </w:pPr>
    </w:p>
    <w:p w14:paraId="36183CF0">
      <w:pPr>
        <w:widowControl/>
        <w:topLinePunct/>
        <w:spacing w:line="360" w:lineRule="auto"/>
        <w:jc w:val="left"/>
        <w:rPr>
          <w:rFonts w:hint="eastAsia" w:ascii="宋体" w:hAnsi="宋体" w:cs="宋体"/>
          <w:kern w:val="0"/>
          <w:sz w:val="24"/>
        </w:rPr>
      </w:pPr>
    </w:p>
    <w:p w14:paraId="6D88B453">
      <w:pPr>
        <w:widowControl/>
        <w:topLinePunct/>
        <w:spacing w:line="360" w:lineRule="auto"/>
        <w:jc w:val="left"/>
        <w:rPr>
          <w:rFonts w:hint="eastAsia" w:ascii="宋体" w:hAnsi="宋体" w:cs="宋体"/>
          <w:kern w:val="0"/>
          <w:sz w:val="24"/>
        </w:rPr>
      </w:pPr>
    </w:p>
    <w:p w14:paraId="27B4568D">
      <w:pPr>
        <w:widowControl/>
        <w:topLinePunct/>
        <w:spacing w:line="360" w:lineRule="auto"/>
        <w:jc w:val="left"/>
        <w:rPr>
          <w:rFonts w:hint="eastAsia" w:ascii="宋体" w:hAnsi="宋体" w:cs="宋体"/>
          <w:kern w:val="0"/>
          <w:sz w:val="24"/>
        </w:rPr>
      </w:pPr>
    </w:p>
    <w:p w14:paraId="3F5731CE">
      <w:pPr>
        <w:widowControl/>
        <w:topLinePunct/>
        <w:spacing w:line="360" w:lineRule="auto"/>
        <w:jc w:val="left"/>
        <w:rPr>
          <w:rFonts w:hint="eastAsia" w:ascii="宋体" w:hAnsi="宋体" w:cs="宋体"/>
          <w:kern w:val="0"/>
          <w:sz w:val="24"/>
        </w:rPr>
      </w:pPr>
    </w:p>
    <w:p w14:paraId="2667C9A7">
      <w:pPr>
        <w:widowControl/>
        <w:topLinePunct/>
        <w:spacing w:line="360" w:lineRule="auto"/>
        <w:jc w:val="left"/>
        <w:rPr>
          <w:rFonts w:hint="eastAsia" w:ascii="宋体" w:hAnsi="宋体" w:cs="宋体"/>
          <w:kern w:val="0"/>
          <w:sz w:val="24"/>
        </w:rPr>
      </w:pPr>
    </w:p>
    <w:p w14:paraId="2AA1CD5B">
      <w:pPr>
        <w:widowControl/>
        <w:topLinePunct/>
        <w:spacing w:line="360" w:lineRule="auto"/>
        <w:jc w:val="left"/>
        <w:rPr>
          <w:rFonts w:hint="eastAsia" w:ascii="宋体" w:hAnsi="宋体" w:cs="宋体"/>
          <w:kern w:val="0"/>
          <w:sz w:val="24"/>
        </w:rPr>
      </w:pPr>
    </w:p>
    <w:p w14:paraId="4A9132A0">
      <w:pPr>
        <w:widowControl/>
        <w:topLinePunct/>
        <w:spacing w:line="360" w:lineRule="auto"/>
        <w:jc w:val="left"/>
        <w:rPr>
          <w:rFonts w:hint="eastAsia" w:ascii="宋体" w:hAnsi="宋体" w:cs="宋体"/>
          <w:kern w:val="0"/>
          <w:sz w:val="24"/>
        </w:rPr>
      </w:pPr>
    </w:p>
    <w:p w14:paraId="45D35A46">
      <w:pPr>
        <w:widowControl/>
        <w:topLinePunct/>
        <w:spacing w:line="360" w:lineRule="auto"/>
        <w:jc w:val="left"/>
        <w:rPr>
          <w:rFonts w:hint="eastAsia" w:ascii="宋体" w:hAnsi="宋体" w:cs="宋体"/>
          <w:kern w:val="0"/>
          <w:sz w:val="24"/>
        </w:rPr>
      </w:pPr>
    </w:p>
    <w:p w14:paraId="34726ED9">
      <w:pPr>
        <w:widowControl/>
        <w:topLinePunct/>
        <w:spacing w:line="360" w:lineRule="auto"/>
        <w:jc w:val="left"/>
        <w:rPr>
          <w:rFonts w:hint="eastAsia" w:ascii="宋体" w:hAnsi="宋体" w:cs="宋体"/>
          <w:kern w:val="0"/>
          <w:sz w:val="24"/>
        </w:rPr>
      </w:pPr>
    </w:p>
    <w:p w14:paraId="4F1EFBA7">
      <w:pPr>
        <w:widowControl/>
        <w:topLinePunct/>
        <w:spacing w:line="360" w:lineRule="auto"/>
        <w:jc w:val="left"/>
        <w:rPr>
          <w:rFonts w:hint="eastAsia" w:ascii="宋体" w:hAnsi="宋体" w:cs="宋体"/>
          <w:kern w:val="0"/>
          <w:sz w:val="24"/>
        </w:rPr>
      </w:pPr>
    </w:p>
    <w:p w14:paraId="2C14A7EE">
      <w:pPr>
        <w:widowControl/>
        <w:topLinePunct/>
        <w:spacing w:line="360" w:lineRule="auto"/>
        <w:jc w:val="left"/>
        <w:rPr>
          <w:rFonts w:hint="eastAsia" w:ascii="宋体" w:hAnsi="宋体" w:cs="宋体"/>
          <w:kern w:val="0"/>
          <w:sz w:val="24"/>
        </w:rPr>
      </w:pPr>
    </w:p>
    <w:p w14:paraId="44CBF900">
      <w:pPr>
        <w:widowControl/>
        <w:topLinePunct/>
        <w:spacing w:line="360" w:lineRule="auto"/>
        <w:jc w:val="left"/>
        <w:rPr>
          <w:rFonts w:hint="eastAsia" w:ascii="宋体" w:hAnsi="宋体" w:cs="宋体"/>
          <w:kern w:val="0"/>
          <w:sz w:val="24"/>
        </w:rPr>
      </w:pPr>
    </w:p>
    <w:p w14:paraId="3CBFB431">
      <w:pPr>
        <w:widowControl/>
        <w:topLinePunct/>
        <w:jc w:val="center"/>
        <w:outlineLvl w:val="2"/>
        <w:rPr>
          <w:rStyle w:val="52"/>
          <w:rFonts w:hint="eastAsia"/>
        </w:rPr>
      </w:pPr>
      <w:r>
        <w:rPr>
          <w:rFonts w:hint="eastAsia" w:ascii="宋体" w:hAnsi="宋体" w:cs="宋体"/>
          <w:kern w:val="0"/>
          <w:sz w:val="24"/>
          <w:highlight w:val="white"/>
        </w:rPr>
        <w:br w:type="page"/>
      </w:r>
      <w:bookmarkStart w:id="250" w:name="_Toc256000358"/>
      <w:r>
        <w:rPr>
          <w:rStyle w:val="52"/>
          <w:rFonts w:hint="eastAsia"/>
          <w:highlight w:val="white"/>
        </w:rPr>
        <w:t>（一）投标人基本情况表</w:t>
      </w:r>
      <w:bookmarkEnd w:id="250"/>
    </w:p>
    <w:p w14:paraId="186A641B">
      <w:pPr>
        <w:rPr>
          <w:rFonts w:hint="eastAsia"/>
        </w:rPr>
      </w:pPr>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7F4BBC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CBB5D18">
            <w:pPr>
              <w:topLinePunct/>
              <w:spacing w:line="360" w:lineRule="auto"/>
              <w:jc w:val="center"/>
              <w:rPr>
                <w:szCs w:val="21"/>
              </w:rPr>
            </w:pPr>
            <w:r>
              <w:rPr>
                <w:szCs w:val="21"/>
                <w:highlight w:val="white"/>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18564D42">
            <w:pPr>
              <w:topLinePunct/>
              <w:spacing w:line="360" w:lineRule="auto"/>
              <w:jc w:val="center"/>
              <w:rPr>
                <w:szCs w:val="21"/>
              </w:rPr>
            </w:pPr>
          </w:p>
        </w:tc>
      </w:tr>
      <w:tr w14:paraId="4C5DF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38A5313">
            <w:pPr>
              <w:topLinePunct/>
              <w:spacing w:line="360" w:lineRule="auto"/>
              <w:jc w:val="center"/>
              <w:rPr>
                <w:szCs w:val="21"/>
              </w:rPr>
            </w:pPr>
            <w:r>
              <w:rPr>
                <w:szCs w:val="21"/>
                <w:highlight w:val="white"/>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26A99825">
            <w:pPr>
              <w:topLinePunct/>
              <w:spacing w:line="360" w:lineRule="auto"/>
              <w:jc w:val="center"/>
              <w:rPr>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6B0BCD96">
            <w:pPr>
              <w:topLinePunct/>
              <w:spacing w:line="360" w:lineRule="auto"/>
              <w:jc w:val="center"/>
              <w:rPr>
                <w:szCs w:val="21"/>
              </w:rPr>
            </w:pPr>
            <w:r>
              <w:rPr>
                <w:szCs w:val="21"/>
                <w:highlight w:val="white"/>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3C3D2229">
            <w:pPr>
              <w:topLinePunct/>
              <w:spacing w:line="360" w:lineRule="auto"/>
              <w:jc w:val="center"/>
              <w:rPr>
                <w:szCs w:val="21"/>
              </w:rPr>
            </w:pPr>
          </w:p>
        </w:tc>
      </w:tr>
      <w:tr w14:paraId="42E1C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649A767C">
            <w:pPr>
              <w:topLinePunct/>
              <w:spacing w:line="360" w:lineRule="auto"/>
              <w:jc w:val="center"/>
              <w:rPr>
                <w:szCs w:val="21"/>
              </w:rPr>
            </w:pPr>
            <w:r>
              <w:rPr>
                <w:szCs w:val="21"/>
                <w:highlight w:val="white"/>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569451E">
            <w:pPr>
              <w:topLinePunct/>
              <w:spacing w:line="360" w:lineRule="auto"/>
              <w:jc w:val="center"/>
              <w:rPr>
                <w:szCs w:val="21"/>
              </w:rPr>
            </w:pPr>
            <w:r>
              <w:rPr>
                <w:szCs w:val="21"/>
                <w:highlight w:val="white"/>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7EED4EFE">
            <w:pPr>
              <w:topLinePunct/>
              <w:spacing w:line="360" w:lineRule="auto"/>
              <w:jc w:val="center"/>
              <w:rPr>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6F194EFB">
            <w:pPr>
              <w:topLinePunct/>
              <w:spacing w:line="360" w:lineRule="auto"/>
              <w:jc w:val="center"/>
              <w:rPr>
                <w:szCs w:val="21"/>
              </w:rPr>
            </w:pPr>
            <w:r>
              <w:rPr>
                <w:szCs w:val="21"/>
                <w:highlight w:val="white"/>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1E336129">
            <w:pPr>
              <w:topLinePunct/>
              <w:spacing w:line="360" w:lineRule="auto"/>
              <w:jc w:val="center"/>
              <w:rPr>
                <w:szCs w:val="21"/>
              </w:rPr>
            </w:pPr>
          </w:p>
        </w:tc>
      </w:tr>
      <w:tr w14:paraId="7206C5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23D9F186">
            <w:pPr>
              <w:topLinePunct/>
              <w:spacing w:line="360" w:lineRule="auto"/>
              <w:jc w:val="center"/>
              <w:rPr>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16D2B5C">
            <w:pPr>
              <w:topLinePunct/>
              <w:spacing w:line="360" w:lineRule="auto"/>
              <w:jc w:val="center"/>
              <w:rPr>
                <w:szCs w:val="21"/>
              </w:rPr>
            </w:pPr>
            <w:r>
              <w:rPr>
                <w:szCs w:val="21"/>
                <w:highlight w:val="white"/>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4E1ECD47">
            <w:pPr>
              <w:topLinePunct/>
              <w:spacing w:line="360" w:lineRule="auto"/>
              <w:jc w:val="center"/>
              <w:rPr>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472A12C">
            <w:pPr>
              <w:topLinePunct/>
              <w:spacing w:line="360" w:lineRule="auto"/>
              <w:jc w:val="center"/>
              <w:rPr>
                <w:szCs w:val="21"/>
              </w:rPr>
            </w:pPr>
            <w:r>
              <w:rPr>
                <w:szCs w:val="21"/>
                <w:highlight w:val="white"/>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744D4533">
            <w:pPr>
              <w:topLinePunct/>
              <w:spacing w:line="360" w:lineRule="auto"/>
              <w:jc w:val="center"/>
              <w:rPr>
                <w:szCs w:val="21"/>
              </w:rPr>
            </w:pPr>
          </w:p>
        </w:tc>
      </w:tr>
      <w:tr w14:paraId="47682A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59FCC77">
            <w:pPr>
              <w:topLinePunct/>
              <w:spacing w:line="360" w:lineRule="auto"/>
              <w:jc w:val="center"/>
              <w:rPr>
                <w:szCs w:val="21"/>
              </w:rPr>
            </w:pPr>
            <w:r>
              <w:rPr>
                <w:szCs w:val="21"/>
                <w:highlight w:val="white"/>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5A371329">
            <w:pPr>
              <w:topLinePunct/>
              <w:spacing w:line="360" w:lineRule="auto"/>
              <w:jc w:val="center"/>
              <w:rPr>
                <w:szCs w:val="21"/>
              </w:rPr>
            </w:pPr>
          </w:p>
        </w:tc>
      </w:tr>
      <w:tr w14:paraId="72D37E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32912ECD">
            <w:pPr>
              <w:topLinePunct/>
              <w:spacing w:line="360" w:lineRule="auto"/>
              <w:jc w:val="center"/>
              <w:rPr>
                <w:szCs w:val="21"/>
              </w:rPr>
            </w:pPr>
            <w:r>
              <w:rPr>
                <w:szCs w:val="21"/>
                <w:highlight w:val="white"/>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5103DAD">
            <w:pPr>
              <w:topLinePunct/>
              <w:spacing w:line="360" w:lineRule="auto"/>
              <w:jc w:val="center"/>
              <w:rPr>
                <w:szCs w:val="21"/>
              </w:rPr>
            </w:pPr>
            <w:r>
              <w:rPr>
                <w:szCs w:val="21"/>
                <w:highlight w:val="whit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3E1FA42F">
            <w:pPr>
              <w:topLinePunct/>
              <w:spacing w:line="360" w:lineRule="auto"/>
              <w:jc w:val="center"/>
              <w:rPr>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14B3D223">
            <w:pPr>
              <w:topLinePunct/>
              <w:spacing w:line="360" w:lineRule="auto"/>
              <w:jc w:val="center"/>
              <w:rPr>
                <w:szCs w:val="21"/>
              </w:rPr>
            </w:pPr>
            <w:r>
              <w:rPr>
                <w:rFonts w:hint="eastAsia"/>
                <w:szCs w:val="21"/>
                <w:highlight w:val="white"/>
              </w:rPr>
              <w:t>专业</w:t>
            </w:r>
            <w:r>
              <w:rPr>
                <w:szCs w:val="21"/>
                <w:highlight w:val="whit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7351CE76">
            <w:pPr>
              <w:topLinePunct/>
              <w:spacing w:line="360" w:lineRule="auto"/>
              <w:jc w:val="center"/>
              <w:rPr>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275A84B4">
            <w:pPr>
              <w:topLinePunct/>
              <w:spacing w:line="360" w:lineRule="auto"/>
              <w:jc w:val="center"/>
              <w:rPr>
                <w:szCs w:val="21"/>
              </w:rPr>
            </w:pPr>
            <w:r>
              <w:rPr>
                <w:szCs w:val="21"/>
                <w:highlight w:val="whit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FFEA0BE">
            <w:pPr>
              <w:topLinePunct/>
              <w:spacing w:line="360" w:lineRule="auto"/>
              <w:jc w:val="center"/>
              <w:rPr>
                <w:szCs w:val="21"/>
              </w:rPr>
            </w:pPr>
          </w:p>
        </w:tc>
      </w:tr>
      <w:tr w14:paraId="19791C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3A18027">
            <w:pPr>
              <w:topLinePunct/>
              <w:spacing w:line="360" w:lineRule="auto"/>
              <w:jc w:val="center"/>
              <w:rPr>
                <w:szCs w:val="21"/>
              </w:rPr>
            </w:pPr>
            <w:r>
              <w:rPr>
                <w:szCs w:val="21"/>
                <w:highlight w:val="white"/>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73C3590">
            <w:pPr>
              <w:topLinePunct/>
              <w:spacing w:line="360" w:lineRule="auto"/>
              <w:jc w:val="center"/>
              <w:rPr>
                <w:szCs w:val="21"/>
              </w:rPr>
            </w:pPr>
            <w:r>
              <w:rPr>
                <w:szCs w:val="21"/>
                <w:highlight w:val="whit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435C4610">
            <w:pPr>
              <w:topLinePunct/>
              <w:spacing w:line="360" w:lineRule="auto"/>
              <w:jc w:val="center"/>
              <w:rPr>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4C632145">
            <w:pPr>
              <w:topLinePunct/>
              <w:spacing w:line="360" w:lineRule="auto"/>
              <w:jc w:val="center"/>
              <w:rPr>
                <w:szCs w:val="21"/>
              </w:rPr>
            </w:pPr>
            <w:r>
              <w:rPr>
                <w:rFonts w:hint="eastAsia"/>
                <w:szCs w:val="21"/>
                <w:highlight w:val="white"/>
              </w:rPr>
              <w:t>专业</w:t>
            </w:r>
            <w:r>
              <w:rPr>
                <w:szCs w:val="21"/>
                <w:highlight w:val="whit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49D75837">
            <w:pPr>
              <w:topLinePunct/>
              <w:spacing w:line="360" w:lineRule="auto"/>
              <w:jc w:val="center"/>
              <w:rPr>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7AC9AA39">
            <w:pPr>
              <w:topLinePunct/>
              <w:spacing w:line="360" w:lineRule="auto"/>
              <w:jc w:val="center"/>
              <w:rPr>
                <w:szCs w:val="21"/>
              </w:rPr>
            </w:pPr>
            <w:r>
              <w:rPr>
                <w:szCs w:val="21"/>
                <w:highlight w:val="whit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1A40EFA">
            <w:pPr>
              <w:topLinePunct/>
              <w:spacing w:line="360" w:lineRule="auto"/>
              <w:jc w:val="center"/>
              <w:rPr>
                <w:szCs w:val="21"/>
              </w:rPr>
            </w:pPr>
          </w:p>
        </w:tc>
      </w:tr>
      <w:tr w14:paraId="7B33E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AF8406B">
            <w:pPr>
              <w:topLinePunct/>
              <w:spacing w:line="360" w:lineRule="auto"/>
              <w:jc w:val="center"/>
              <w:rPr>
                <w:szCs w:val="21"/>
              </w:rPr>
            </w:pPr>
            <w:r>
              <w:rPr>
                <w:szCs w:val="21"/>
                <w:highlight w:val="white"/>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F812971">
            <w:pPr>
              <w:topLinePunct/>
              <w:spacing w:line="360" w:lineRule="auto"/>
              <w:jc w:val="center"/>
              <w:rPr>
                <w:szCs w:val="21"/>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1267C13A">
            <w:pPr>
              <w:topLinePunct/>
              <w:spacing w:line="360" w:lineRule="auto"/>
              <w:ind w:firstLine="105" w:firstLineChars="50"/>
              <w:jc w:val="center"/>
              <w:rPr>
                <w:szCs w:val="21"/>
              </w:rPr>
            </w:pPr>
            <w:r>
              <w:rPr>
                <w:szCs w:val="21"/>
                <w:highlight w:val="white"/>
              </w:rPr>
              <w:t>员工总人数：</w:t>
            </w:r>
          </w:p>
        </w:tc>
      </w:tr>
      <w:tr w14:paraId="071D9E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4851688">
            <w:pPr>
              <w:topLinePunct/>
              <w:spacing w:line="360" w:lineRule="auto"/>
              <w:jc w:val="center"/>
              <w:rPr>
                <w:szCs w:val="21"/>
              </w:rPr>
            </w:pPr>
            <w:r>
              <w:rPr>
                <w:szCs w:val="21"/>
                <w:highlight w:val="white"/>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3E636229">
            <w:pPr>
              <w:topLinePunct/>
              <w:spacing w:line="360" w:lineRule="auto"/>
              <w:jc w:val="center"/>
              <w:rPr>
                <w:szCs w:val="21"/>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755EB951">
            <w:pPr>
              <w:topLinePunct/>
              <w:spacing w:line="360" w:lineRule="auto"/>
              <w:jc w:val="center"/>
              <w:rPr>
                <w:szCs w:val="21"/>
              </w:rPr>
            </w:pPr>
            <w:r>
              <w:rPr>
                <w:szCs w:val="21"/>
                <w:highlight w:val="white"/>
              </w:rPr>
              <w:t>其中</w:t>
            </w:r>
          </w:p>
        </w:tc>
        <w:tc>
          <w:tcPr>
            <w:tcW w:w="2299" w:type="dxa"/>
            <w:gridSpan w:val="4"/>
            <w:vMerge w:val="restart"/>
            <w:tcBorders>
              <w:top w:val="single" w:color="auto" w:sz="4" w:space="0"/>
              <w:left w:val="single" w:color="auto" w:sz="4" w:space="0"/>
              <w:right w:val="single" w:color="auto" w:sz="4" w:space="0"/>
            </w:tcBorders>
            <w:noWrap w:val="0"/>
            <w:vAlign w:val="center"/>
          </w:tcPr>
          <w:p w14:paraId="68A69460">
            <w:pPr>
              <w:topLinePunct/>
              <w:spacing w:line="360" w:lineRule="auto"/>
              <w:jc w:val="center"/>
              <w:rPr>
                <w:szCs w:val="21"/>
              </w:rPr>
            </w:pPr>
            <w:r>
              <w:rPr>
                <w:szCs w:val="21"/>
                <w:highlight w:val="white"/>
              </w:rPr>
              <w:t>高级</w:t>
            </w:r>
            <w:r>
              <w:rPr>
                <w:rFonts w:hint="eastAsia"/>
                <w:szCs w:val="21"/>
                <w:highlight w:val="white"/>
              </w:rPr>
              <w:t>专业</w:t>
            </w:r>
            <w:r>
              <w:rPr>
                <w:szCs w:val="21"/>
                <w:highlight w:val="white"/>
              </w:rPr>
              <w:t>技术职称</w:t>
            </w:r>
          </w:p>
          <w:p w14:paraId="69E1D117">
            <w:pPr>
              <w:topLinePunct/>
              <w:spacing w:line="360" w:lineRule="auto"/>
              <w:jc w:val="center"/>
              <w:rPr>
                <w:szCs w:val="21"/>
              </w:rPr>
            </w:pPr>
            <w:r>
              <w:rPr>
                <w:szCs w:val="21"/>
                <w:highlight w:val="white"/>
              </w:rPr>
              <w:t>人员</w:t>
            </w:r>
          </w:p>
        </w:tc>
        <w:tc>
          <w:tcPr>
            <w:tcW w:w="1852" w:type="dxa"/>
            <w:gridSpan w:val="2"/>
            <w:vMerge w:val="restart"/>
            <w:tcBorders>
              <w:top w:val="single" w:color="auto" w:sz="4" w:space="0"/>
              <w:left w:val="single" w:color="auto" w:sz="4" w:space="0"/>
              <w:right w:val="single" w:color="auto" w:sz="4" w:space="0"/>
            </w:tcBorders>
            <w:noWrap w:val="0"/>
            <w:vAlign w:val="center"/>
          </w:tcPr>
          <w:p w14:paraId="65D4BECE">
            <w:pPr>
              <w:topLinePunct/>
              <w:spacing w:line="360" w:lineRule="auto"/>
              <w:jc w:val="center"/>
              <w:rPr>
                <w:szCs w:val="21"/>
              </w:rPr>
            </w:pPr>
          </w:p>
        </w:tc>
      </w:tr>
      <w:tr w14:paraId="48B55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A4CF080">
            <w:pPr>
              <w:topLinePunct/>
              <w:spacing w:line="360" w:lineRule="auto"/>
              <w:jc w:val="center"/>
              <w:rPr>
                <w:szCs w:val="21"/>
              </w:rPr>
            </w:pPr>
            <w:r>
              <w:rPr>
                <w:szCs w:val="21"/>
                <w:highlight w:val="white"/>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43630E48">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05B9DBB">
            <w:pPr>
              <w:topLinePunct/>
              <w:spacing w:line="360" w:lineRule="auto"/>
              <w:jc w:val="center"/>
              <w:rPr>
                <w:szCs w:val="21"/>
              </w:rPr>
            </w:pPr>
          </w:p>
        </w:tc>
        <w:tc>
          <w:tcPr>
            <w:tcW w:w="2299" w:type="dxa"/>
            <w:gridSpan w:val="4"/>
            <w:vMerge w:val="continue"/>
            <w:tcBorders>
              <w:left w:val="single" w:color="auto" w:sz="4" w:space="0"/>
              <w:bottom w:val="single" w:color="auto" w:sz="4" w:space="0"/>
              <w:right w:val="single" w:color="auto" w:sz="4" w:space="0"/>
            </w:tcBorders>
            <w:noWrap w:val="0"/>
            <w:vAlign w:val="center"/>
          </w:tcPr>
          <w:p w14:paraId="3B0F9715">
            <w:pPr>
              <w:topLinePunct/>
              <w:spacing w:line="360" w:lineRule="auto"/>
              <w:jc w:val="center"/>
              <w:rPr>
                <w:szCs w:val="21"/>
              </w:rPr>
            </w:pPr>
          </w:p>
        </w:tc>
        <w:tc>
          <w:tcPr>
            <w:tcW w:w="1852" w:type="dxa"/>
            <w:gridSpan w:val="2"/>
            <w:vMerge w:val="continue"/>
            <w:tcBorders>
              <w:left w:val="single" w:color="auto" w:sz="4" w:space="0"/>
              <w:bottom w:val="single" w:color="auto" w:sz="4" w:space="0"/>
              <w:right w:val="single" w:color="auto" w:sz="4" w:space="0"/>
            </w:tcBorders>
            <w:noWrap w:val="0"/>
            <w:vAlign w:val="center"/>
          </w:tcPr>
          <w:p w14:paraId="25C7C3D4">
            <w:pPr>
              <w:topLinePunct/>
              <w:spacing w:line="360" w:lineRule="auto"/>
              <w:jc w:val="center"/>
              <w:rPr>
                <w:szCs w:val="21"/>
              </w:rPr>
            </w:pPr>
          </w:p>
        </w:tc>
      </w:tr>
      <w:tr w14:paraId="0D4221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32CA7E42">
            <w:pPr>
              <w:topLinePunct/>
              <w:spacing w:line="360" w:lineRule="auto"/>
              <w:jc w:val="center"/>
              <w:rPr>
                <w:szCs w:val="21"/>
              </w:rPr>
            </w:pPr>
            <w:r>
              <w:rPr>
                <w:szCs w:val="21"/>
                <w:highlight w:val="white"/>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0D06BCB">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776E8ED">
            <w:pPr>
              <w:topLinePunct/>
              <w:spacing w:line="360" w:lineRule="auto"/>
              <w:jc w:val="center"/>
              <w:rPr>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240DFD63">
            <w:pPr>
              <w:topLinePunct/>
              <w:spacing w:line="360" w:lineRule="auto"/>
              <w:jc w:val="center"/>
              <w:rPr>
                <w:szCs w:val="21"/>
              </w:rPr>
            </w:pPr>
            <w:r>
              <w:rPr>
                <w:szCs w:val="21"/>
                <w:highlight w:val="white"/>
              </w:rPr>
              <w:t>中级</w:t>
            </w:r>
            <w:r>
              <w:rPr>
                <w:rFonts w:hint="eastAsia"/>
                <w:szCs w:val="21"/>
                <w:highlight w:val="white"/>
              </w:rPr>
              <w:t>专业</w:t>
            </w:r>
            <w:r>
              <w:rPr>
                <w:szCs w:val="21"/>
                <w:highlight w:val="white"/>
              </w:rPr>
              <w:t>技术职称</w:t>
            </w:r>
          </w:p>
          <w:p w14:paraId="7EF65972">
            <w:pPr>
              <w:topLinePunct/>
              <w:spacing w:line="360" w:lineRule="auto"/>
              <w:jc w:val="center"/>
              <w:rPr>
                <w:szCs w:val="21"/>
              </w:rPr>
            </w:pPr>
            <w:r>
              <w:rPr>
                <w:szCs w:val="21"/>
                <w:highlight w:val="white"/>
              </w:rPr>
              <w:t>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35EF4547">
            <w:pPr>
              <w:topLinePunct/>
              <w:spacing w:line="360" w:lineRule="auto"/>
              <w:jc w:val="center"/>
              <w:rPr>
                <w:szCs w:val="21"/>
              </w:rPr>
            </w:pPr>
          </w:p>
        </w:tc>
      </w:tr>
      <w:tr w14:paraId="5973B5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5A54A48">
            <w:pPr>
              <w:topLinePunct/>
              <w:spacing w:line="360" w:lineRule="auto"/>
              <w:jc w:val="center"/>
              <w:rPr>
                <w:szCs w:val="21"/>
              </w:rPr>
            </w:pPr>
            <w:r>
              <w:rPr>
                <w:szCs w:val="21"/>
                <w:highlight w:val="white"/>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8CA6672">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38638B6E">
            <w:pPr>
              <w:topLinePunct/>
              <w:spacing w:line="360" w:lineRule="auto"/>
              <w:jc w:val="center"/>
              <w:rPr>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2862FEAB">
            <w:pPr>
              <w:topLinePunct/>
              <w:spacing w:line="360" w:lineRule="auto"/>
              <w:jc w:val="center"/>
              <w:rPr>
                <w:szCs w:val="21"/>
              </w:rPr>
            </w:pPr>
            <w:r>
              <w:rPr>
                <w:szCs w:val="21"/>
                <w:highlight w:val="white"/>
              </w:rPr>
              <w:t>初级</w:t>
            </w:r>
            <w:r>
              <w:rPr>
                <w:rFonts w:hint="eastAsia"/>
                <w:szCs w:val="21"/>
                <w:highlight w:val="white"/>
              </w:rPr>
              <w:t>专业</w:t>
            </w:r>
            <w:r>
              <w:rPr>
                <w:szCs w:val="21"/>
                <w:highlight w:val="white"/>
              </w:rPr>
              <w:t>技术职称</w:t>
            </w:r>
          </w:p>
          <w:p w14:paraId="0E38DB28">
            <w:pPr>
              <w:topLinePunct/>
              <w:spacing w:line="360" w:lineRule="auto"/>
              <w:jc w:val="center"/>
              <w:rPr>
                <w:szCs w:val="21"/>
              </w:rPr>
            </w:pPr>
            <w:r>
              <w:rPr>
                <w:szCs w:val="21"/>
                <w:highlight w:val="white"/>
              </w:rPr>
              <w:t>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F30A145">
            <w:pPr>
              <w:topLinePunct/>
              <w:spacing w:line="360" w:lineRule="auto"/>
              <w:jc w:val="center"/>
              <w:rPr>
                <w:szCs w:val="21"/>
              </w:rPr>
            </w:pPr>
          </w:p>
        </w:tc>
      </w:tr>
      <w:tr w14:paraId="46E31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7B11A15">
            <w:pPr>
              <w:topLinePunct/>
              <w:spacing w:line="360" w:lineRule="auto"/>
              <w:jc w:val="center"/>
              <w:rPr>
                <w:szCs w:val="21"/>
              </w:rPr>
            </w:pPr>
            <w:r>
              <w:rPr>
                <w:szCs w:val="21"/>
                <w:highlight w:val="white"/>
              </w:rPr>
              <w:t>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3F6E8E1">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3FB6DB75">
            <w:pPr>
              <w:topLinePunct/>
              <w:spacing w:line="360" w:lineRule="auto"/>
              <w:jc w:val="center"/>
              <w:rPr>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512282F2">
            <w:pPr>
              <w:topLinePunct/>
              <w:spacing w:line="360" w:lineRule="auto"/>
              <w:jc w:val="center"/>
            </w:pPr>
            <w:r>
              <w:rPr>
                <w:szCs w:val="21"/>
                <w:highlight w:val="white"/>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3049438">
            <w:pPr>
              <w:topLinePunct/>
              <w:spacing w:line="360" w:lineRule="auto"/>
              <w:jc w:val="center"/>
              <w:rPr>
                <w:szCs w:val="21"/>
              </w:rPr>
            </w:pPr>
          </w:p>
        </w:tc>
      </w:tr>
      <w:tr w14:paraId="63B7A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right w:val="single" w:color="auto" w:sz="4" w:space="0"/>
            </w:tcBorders>
            <w:noWrap w:val="0"/>
            <w:vAlign w:val="center"/>
          </w:tcPr>
          <w:p w14:paraId="4C15FE77">
            <w:pPr>
              <w:topLinePunct/>
              <w:spacing w:line="360" w:lineRule="auto"/>
              <w:ind w:firstLine="210" w:firstLineChars="100"/>
              <w:jc w:val="center"/>
              <w:rPr>
                <w:szCs w:val="21"/>
              </w:rPr>
            </w:pPr>
            <w:r>
              <w:rPr>
                <w:szCs w:val="21"/>
                <w:highlight w:val="white"/>
              </w:rPr>
              <w:t>经营范围</w:t>
            </w:r>
          </w:p>
        </w:tc>
        <w:tc>
          <w:tcPr>
            <w:tcW w:w="6840" w:type="dxa"/>
            <w:gridSpan w:val="9"/>
            <w:tcBorders>
              <w:top w:val="single" w:color="auto" w:sz="4" w:space="0"/>
              <w:left w:val="single" w:color="auto" w:sz="4" w:space="0"/>
              <w:right w:val="single" w:color="auto" w:sz="4" w:space="0"/>
            </w:tcBorders>
            <w:noWrap w:val="0"/>
            <w:vAlign w:val="center"/>
          </w:tcPr>
          <w:p w14:paraId="22045790">
            <w:pPr>
              <w:topLinePunct/>
              <w:spacing w:line="360" w:lineRule="auto"/>
              <w:rPr>
                <w:szCs w:val="21"/>
              </w:rPr>
            </w:pPr>
          </w:p>
        </w:tc>
      </w:tr>
      <w:tr w14:paraId="7BE4D2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right w:val="single" w:color="auto" w:sz="4" w:space="0"/>
            </w:tcBorders>
            <w:noWrap w:val="0"/>
            <w:vAlign w:val="center"/>
          </w:tcPr>
          <w:p w14:paraId="129E00BD">
            <w:pPr>
              <w:topLinePunct/>
              <w:spacing w:line="360" w:lineRule="auto"/>
              <w:jc w:val="center"/>
              <w:rPr>
                <w:szCs w:val="21"/>
              </w:rPr>
            </w:pPr>
            <w:r>
              <w:rPr>
                <w:rFonts w:hint="eastAsia" w:ascii="宋体" w:hAnsi="宋体" w:cs="宋体"/>
                <w:szCs w:val="21"/>
                <w:highlight w:val="white"/>
              </w:rPr>
              <w:t>与投标人的单位负责人为同一人的单位</w:t>
            </w:r>
          </w:p>
        </w:tc>
        <w:tc>
          <w:tcPr>
            <w:tcW w:w="6840" w:type="dxa"/>
            <w:gridSpan w:val="9"/>
            <w:tcBorders>
              <w:top w:val="single" w:color="auto" w:sz="4" w:space="0"/>
              <w:left w:val="single" w:color="auto" w:sz="4" w:space="0"/>
              <w:right w:val="single" w:color="auto" w:sz="4" w:space="0"/>
            </w:tcBorders>
            <w:noWrap w:val="0"/>
            <w:vAlign w:val="center"/>
          </w:tcPr>
          <w:p w14:paraId="1A1BA6B6">
            <w:pPr>
              <w:topLinePunct/>
              <w:spacing w:line="360" w:lineRule="auto"/>
              <w:rPr>
                <w:szCs w:val="21"/>
              </w:rPr>
            </w:pPr>
          </w:p>
        </w:tc>
      </w:tr>
      <w:tr w14:paraId="0F1F09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right w:val="single" w:color="auto" w:sz="4" w:space="0"/>
            </w:tcBorders>
            <w:noWrap w:val="0"/>
            <w:vAlign w:val="center"/>
          </w:tcPr>
          <w:p w14:paraId="4F270A70">
            <w:pPr>
              <w:topLinePunct/>
              <w:spacing w:line="360" w:lineRule="auto"/>
              <w:jc w:val="center"/>
              <w:rPr>
                <w:szCs w:val="21"/>
              </w:rPr>
            </w:pPr>
            <w:r>
              <w:rPr>
                <w:rFonts w:hint="eastAsia"/>
                <w:szCs w:val="21"/>
                <w:highlight w:val="white"/>
              </w:rPr>
              <w:t>与投标人存在控股关系的单位</w:t>
            </w:r>
          </w:p>
        </w:tc>
        <w:tc>
          <w:tcPr>
            <w:tcW w:w="6840" w:type="dxa"/>
            <w:gridSpan w:val="9"/>
            <w:tcBorders>
              <w:top w:val="single" w:color="auto" w:sz="4" w:space="0"/>
              <w:left w:val="single" w:color="auto" w:sz="4" w:space="0"/>
              <w:right w:val="single" w:color="auto" w:sz="4" w:space="0"/>
            </w:tcBorders>
            <w:noWrap w:val="0"/>
            <w:vAlign w:val="center"/>
          </w:tcPr>
          <w:p w14:paraId="49BFCFE6">
            <w:pPr>
              <w:topLinePunct/>
              <w:spacing w:line="360" w:lineRule="auto"/>
              <w:rPr>
                <w:szCs w:val="21"/>
              </w:rPr>
            </w:pPr>
          </w:p>
        </w:tc>
      </w:tr>
      <w:tr w14:paraId="53949D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right w:val="single" w:color="auto" w:sz="4" w:space="0"/>
            </w:tcBorders>
            <w:noWrap w:val="0"/>
            <w:vAlign w:val="center"/>
          </w:tcPr>
          <w:p w14:paraId="362934E6">
            <w:pPr>
              <w:topLinePunct/>
              <w:spacing w:line="360" w:lineRule="auto"/>
              <w:jc w:val="center"/>
              <w:rPr>
                <w:szCs w:val="21"/>
              </w:rPr>
            </w:pPr>
            <w:r>
              <w:rPr>
                <w:rFonts w:hint="eastAsia"/>
                <w:szCs w:val="21"/>
                <w:highlight w:val="white"/>
              </w:rPr>
              <w:t>与投标人存在管理关系的单位</w:t>
            </w:r>
          </w:p>
        </w:tc>
        <w:tc>
          <w:tcPr>
            <w:tcW w:w="6840" w:type="dxa"/>
            <w:gridSpan w:val="9"/>
            <w:tcBorders>
              <w:top w:val="single" w:color="auto" w:sz="4" w:space="0"/>
              <w:left w:val="single" w:color="auto" w:sz="4" w:space="0"/>
              <w:right w:val="single" w:color="auto" w:sz="4" w:space="0"/>
            </w:tcBorders>
            <w:noWrap w:val="0"/>
            <w:vAlign w:val="center"/>
          </w:tcPr>
          <w:p w14:paraId="34E5FA33">
            <w:pPr>
              <w:topLinePunct/>
              <w:spacing w:line="360" w:lineRule="auto"/>
              <w:rPr>
                <w:szCs w:val="21"/>
              </w:rPr>
            </w:pPr>
          </w:p>
        </w:tc>
      </w:tr>
      <w:tr w14:paraId="761E73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6362AA6">
            <w:pPr>
              <w:topLinePunct/>
              <w:spacing w:line="360" w:lineRule="auto"/>
              <w:jc w:val="center"/>
              <w:rPr>
                <w:szCs w:val="21"/>
              </w:rPr>
            </w:pPr>
            <w:r>
              <w:rPr>
                <w:szCs w:val="21"/>
                <w:highlight w:val="white"/>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CA2EB6A">
            <w:pPr>
              <w:topLinePunct/>
              <w:spacing w:line="360" w:lineRule="auto"/>
              <w:rPr>
                <w:szCs w:val="21"/>
              </w:rPr>
            </w:pPr>
          </w:p>
        </w:tc>
      </w:tr>
    </w:tbl>
    <w:p w14:paraId="51F124C4">
      <w:pPr>
        <w:topLinePunct/>
        <w:spacing w:line="360" w:lineRule="auto"/>
        <w:rPr>
          <w:rFonts w:hint="eastAsia" w:ascii="宋体" w:hAnsi="宋体" w:cs="宋体"/>
          <w:kern w:val="0"/>
          <w:sz w:val="24"/>
        </w:rPr>
      </w:pPr>
    </w:p>
    <w:p w14:paraId="3E2B4F63">
      <w:pPr>
        <w:topLinePunct/>
        <w:spacing w:line="360" w:lineRule="auto"/>
        <w:rPr>
          <w:rFonts w:hint="eastAsia" w:ascii="宋体" w:hAnsi="宋体" w:cs="宋体"/>
          <w:kern w:val="0"/>
          <w:sz w:val="24"/>
        </w:rPr>
      </w:pPr>
    </w:p>
    <w:p w14:paraId="34F951FE">
      <w:pPr>
        <w:topLinePunct/>
        <w:spacing w:line="360" w:lineRule="auto"/>
        <w:rPr>
          <w:rFonts w:hint="eastAsia" w:ascii="宋体" w:hAnsi="宋体" w:cs="宋体"/>
          <w:kern w:val="0"/>
          <w:sz w:val="24"/>
        </w:rPr>
      </w:pPr>
    </w:p>
    <w:p w14:paraId="71FE8396">
      <w:pPr>
        <w:topLinePunct/>
        <w:spacing w:line="360" w:lineRule="auto"/>
        <w:rPr>
          <w:rFonts w:hint="eastAsia" w:ascii="宋体" w:hAnsi="宋体" w:cs="宋体"/>
          <w:kern w:val="0"/>
          <w:sz w:val="24"/>
        </w:rPr>
      </w:pPr>
    </w:p>
    <w:p w14:paraId="0A025948">
      <w:pPr>
        <w:topLinePunct/>
        <w:spacing w:line="360" w:lineRule="auto"/>
        <w:rPr>
          <w:rFonts w:hint="eastAsia" w:ascii="宋体" w:hAnsi="宋体" w:cs="宋体"/>
          <w:kern w:val="0"/>
          <w:sz w:val="24"/>
        </w:rPr>
      </w:pPr>
      <w:r>
        <w:rPr>
          <w:rFonts w:hint="eastAsia" w:ascii="宋体" w:hAnsi="宋体" w:cs="宋体"/>
          <w:kern w:val="0"/>
          <w:sz w:val="24"/>
          <w:highlight w:val="white"/>
        </w:rPr>
        <w:t>注：投标人应根据投标人须知第 3.5.1 项的要求在本表后附相关证明材料扫描件。</w:t>
      </w:r>
    </w:p>
    <w:p w14:paraId="46A961AA">
      <w:pPr>
        <w:widowControl/>
        <w:topLinePunct/>
        <w:spacing w:line="360" w:lineRule="auto"/>
        <w:jc w:val="center"/>
        <w:outlineLvl w:val="2"/>
        <w:rPr>
          <w:rStyle w:val="52"/>
          <w:rFonts w:hint="eastAsia"/>
        </w:rPr>
      </w:pPr>
      <w:r>
        <w:rPr>
          <w:rFonts w:hint="eastAsia" w:ascii="宋体" w:hAnsi="宋体" w:cs="宋体"/>
          <w:b/>
          <w:highlight w:val="white"/>
        </w:rPr>
        <w:br w:type="page"/>
      </w:r>
      <w:bookmarkStart w:id="251" w:name="_Toc256000359"/>
      <w:r>
        <w:rPr>
          <w:rStyle w:val="52"/>
          <w:rFonts w:hint="eastAsia"/>
          <w:highlight w:val="white"/>
        </w:rPr>
        <w:t>（一）投标人基本情况表（成员单位）</w:t>
      </w:r>
      <w:bookmarkEnd w:id="251"/>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29"/>
        <w:gridCol w:w="914"/>
        <w:gridCol w:w="734"/>
        <w:gridCol w:w="840"/>
        <w:gridCol w:w="662"/>
        <w:gridCol w:w="69"/>
        <w:gridCol w:w="1078"/>
        <w:gridCol w:w="421"/>
        <w:gridCol w:w="929"/>
        <w:gridCol w:w="992"/>
      </w:tblGrid>
      <w:tr w14:paraId="3898B8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2E7D32CD">
            <w:pPr>
              <w:topLinePunct/>
              <w:spacing w:line="360" w:lineRule="auto"/>
              <w:jc w:val="center"/>
              <w:rPr>
                <w:szCs w:val="21"/>
              </w:rPr>
            </w:pPr>
            <w:r>
              <w:rPr>
                <w:rFonts w:hint="eastAsia"/>
                <w:szCs w:val="21"/>
                <w:highlight w:val="white"/>
              </w:rPr>
              <w:t>联合体成员</w:t>
            </w:r>
            <w:r>
              <w:rPr>
                <w:szCs w:val="21"/>
                <w:highlight w:val="white"/>
              </w:rPr>
              <w:t>名称</w:t>
            </w:r>
          </w:p>
        </w:tc>
        <w:tc>
          <w:tcPr>
            <w:tcW w:w="6639" w:type="dxa"/>
            <w:gridSpan w:val="9"/>
            <w:tcBorders>
              <w:top w:val="single" w:color="auto" w:sz="4" w:space="0"/>
              <w:left w:val="single" w:color="auto" w:sz="4" w:space="0"/>
              <w:bottom w:val="single" w:color="auto" w:sz="4" w:space="0"/>
              <w:right w:val="single" w:color="auto" w:sz="4" w:space="0"/>
            </w:tcBorders>
            <w:noWrap w:val="0"/>
            <w:vAlign w:val="center"/>
          </w:tcPr>
          <w:p w14:paraId="759707B1">
            <w:pPr>
              <w:topLinePunct/>
              <w:spacing w:line="360" w:lineRule="auto"/>
              <w:jc w:val="center"/>
              <w:rPr>
                <w:szCs w:val="21"/>
              </w:rPr>
            </w:pPr>
          </w:p>
        </w:tc>
      </w:tr>
      <w:tr w14:paraId="2312D7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373EE96C">
            <w:pPr>
              <w:topLinePunct/>
              <w:spacing w:line="360" w:lineRule="auto"/>
              <w:jc w:val="center"/>
              <w:rPr>
                <w:szCs w:val="21"/>
              </w:rPr>
            </w:pPr>
            <w:r>
              <w:rPr>
                <w:szCs w:val="21"/>
                <w:highlight w:val="white"/>
              </w:rPr>
              <w:t>注册地址</w:t>
            </w:r>
          </w:p>
        </w:tc>
        <w:tc>
          <w:tcPr>
            <w:tcW w:w="3219" w:type="dxa"/>
            <w:gridSpan w:val="5"/>
            <w:tcBorders>
              <w:top w:val="single" w:color="auto" w:sz="4" w:space="0"/>
              <w:left w:val="single" w:color="auto" w:sz="4" w:space="0"/>
              <w:bottom w:val="single" w:color="auto" w:sz="4" w:space="0"/>
              <w:right w:val="single" w:color="auto" w:sz="4" w:space="0"/>
            </w:tcBorders>
            <w:noWrap w:val="0"/>
            <w:vAlign w:val="center"/>
          </w:tcPr>
          <w:p w14:paraId="6F138FFB">
            <w:pPr>
              <w:topLinePunct/>
              <w:spacing w:line="360" w:lineRule="auto"/>
              <w:jc w:val="center"/>
              <w:rPr>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A54B62A">
            <w:pPr>
              <w:topLinePunct/>
              <w:spacing w:line="360" w:lineRule="auto"/>
              <w:jc w:val="center"/>
              <w:rPr>
                <w:szCs w:val="21"/>
              </w:rPr>
            </w:pPr>
            <w:r>
              <w:rPr>
                <w:szCs w:val="21"/>
                <w:highlight w:val="white"/>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4C506D9F">
            <w:pPr>
              <w:topLinePunct/>
              <w:spacing w:line="360" w:lineRule="auto"/>
              <w:jc w:val="center"/>
              <w:rPr>
                <w:szCs w:val="21"/>
              </w:rPr>
            </w:pPr>
          </w:p>
        </w:tc>
      </w:tr>
      <w:tr w14:paraId="35B5F3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vMerge w:val="restart"/>
            <w:tcBorders>
              <w:top w:val="single" w:color="auto" w:sz="4" w:space="0"/>
              <w:left w:val="single" w:color="auto" w:sz="4" w:space="0"/>
              <w:bottom w:val="single" w:color="auto" w:sz="4" w:space="0"/>
              <w:right w:val="single" w:color="auto" w:sz="4" w:space="0"/>
            </w:tcBorders>
            <w:noWrap w:val="0"/>
            <w:vAlign w:val="center"/>
          </w:tcPr>
          <w:p w14:paraId="20AFCAFA">
            <w:pPr>
              <w:topLinePunct/>
              <w:spacing w:line="360" w:lineRule="auto"/>
              <w:jc w:val="center"/>
              <w:rPr>
                <w:szCs w:val="21"/>
              </w:rPr>
            </w:pPr>
            <w:r>
              <w:rPr>
                <w:szCs w:val="21"/>
                <w:highlight w:val="white"/>
              </w:rPr>
              <w:t>联系方式</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568E1E2F">
            <w:pPr>
              <w:topLinePunct/>
              <w:spacing w:line="360" w:lineRule="auto"/>
              <w:jc w:val="center"/>
              <w:rPr>
                <w:szCs w:val="21"/>
              </w:rPr>
            </w:pPr>
            <w:r>
              <w:rPr>
                <w:szCs w:val="21"/>
                <w:highlight w:val="white"/>
              </w:rPr>
              <w:t>联系人</w:t>
            </w:r>
          </w:p>
        </w:tc>
        <w:tc>
          <w:tcPr>
            <w:tcW w:w="2305" w:type="dxa"/>
            <w:gridSpan w:val="4"/>
            <w:tcBorders>
              <w:top w:val="single" w:color="auto" w:sz="4" w:space="0"/>
              <w:left w:val="single" w:color="auto" w:sz="4" w:space="0"/>
              <w:bottom w:val="single" w:color="auto" w:sz="4" w:space="0"/>
              <w:right w:val="single" w:color="auto" w:sz="4" w:space="0"/>
            </w:tcBorders>
            <w:noWrap w:val="0"/>
            <w:vAlign w:val="center"/>
          </w:tcPr>
          <w:p w14:paraId="01FBC3B7">
            <w:pPr>
              <w:topLinePunct/>
              <w:spacing w:line="360" w:lineRule="auto"/>
              <w:jc w:val="center"/>
              <w:rPr>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41A0A5C">
            <w:pPr>
              <w:topLinePunct/>
              <w:spacing w:line="360" w:lineRule="auto"/>
              <w:jc w:val="center"/>
              <w:rPr>
                <w:szCs w:val="21"/>
              </w:rPr>
            </w:pPr>
            <w:r>
              <w:rPr>
                <w:szCs w:val="21"/>
                <w:highlight w:val="white"/>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12D14521">
            <w:pPr>
              <w:topLinePunct/>
              <w:spacing w:line="360" w:lineRule="auto"/>
              <w:jc w:val="center"/>
              <w:rPr>
                <w:szCs w:val="21"/>
              </w:rPr>
            </w:pPr>
          </w:p>
        </w:tc>
      </w:tr>
      <w:tr w14:paraId="446F16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vMerge w:val="continue"/>
            <w:tcBorders>
              <w:top w:val="single" w:color="auto" w:sz="4" w:space="0"/>
              <w:left w:val="single" w:color="auto" w:sz="4" w:space="0"/>
              <w:bottom w:val="single" w:color="auto" w:sz="4" w:space="0"/>
              <w:right w:val="single" w:color="auto" w:sz="4" w:space="0"/>
            </w:tcBorders>
            <w:noWrap w:val="0"/>
            <w:vAlign w:val="center"/>
          </w:tcPr>
          <w:p w14:paraId="1A65C103">
            <w:pPr>
              <w:topLinePunct/>
              <w:spacing w:line="360" w:lineRule="auto"/>
              <w:jc w:val="center"/>
              <w:rPr>
                <w:szCs w:val="21"/>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73B59E3E">
            <w:pPr>
              <w:topLinePunct/>
              <w:spacing w:line="360" w:lineRule="auto"/>
              <w:jc w:val="center"/>
              <w:rPr>
                <w:szCs w:val="21"/>
              </w:rPr>
            </w:pPr>
            <w:r>
              <w:rPr>
                <w:szCs w:val="21"/>
                <w:highlight w:val="white"/>
              </w:rPr>
              <w:t>传  真</w:t>
            </w:r>
          </w:p>
        </w:tc>
        <w:tc>
          <w:tcPr>
            <w:tcW w:w="2305" w:type="dxa"/>
            <w:gridSpan w:val="4"/>
            <w:tcBorders>
              <w:top w:val="single" w:color="auto" w:sz="4" w:space="0"/>
              <w:left w:val="single" w:color="auto" w:sz="4" w:space="0"/>
              <w:bottom w:val="single" w:color="auto" w:sz="4" w:space="0"/>
              <w:right w:val="single" w:color="auto" w:sz="4" w:space="0"/>
            </w:tcBorders>
            <w:noWrap w:val="0"/>
            <w:vAlign w:val="center"/>
          </w:tcPr>
          <w:p w14:paraId="747EE211">
            <w:pPr>
              <w:topLinePunct/>
              <w:spacing w:line="360" w:lineRule="auto"/>
              <w:jc w:val="center"/>
              <w:rPr>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03702A85">
            <w:pPr>
              <w:topLinePunct/>
              <w:spacing w:line="360" w:lineRule="auto"/>
              <w:jc w:val="center"/>
              <w:rPr>
                <w:szCs w:val="21"/>
              </w:rPr>
            </w:pPr>
            <w:r>
              <w:rPr>
                <w:szCs w:val="21"/>
                <w:highlight w:val="white"/>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45BCA251">
            <w:pPr>
              <w:topLinePunct/>
              <w:spacing w:line="360" w:lineRule="auto"/>
              <w:jc w:val="center"/>
              <w:rPr>
                <w:szCs w:val="21"/>
              </w:rPr>
            </w:pPr>
          </w:p>
        </w:tc>
      </w:tr>
      <w:tr w14:paraId="20F7AD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08E7D6B5">
            <w:pPr>
              <w:topLinePunct/>
              <w:spacing w:line="360" w:lineRule="auto"/>
              <w:jc w:val="center"/>
              <w:rPr>
                <w:szCs w:val="21"/>
              </w:rPr>
            </w:pPr>
            <w:r>
              <w:rPr>
                <w:szCs w:val="21"/>
                <w:highlight w:val="white"/>
              </w:rPr>
              <w:t>组织结构</w:t>
            </w:r>
          </w:p>
        </w:tc>
        <w:tc>
          <w:tcPr>
            <w:tcW w:w="6639" w:type="dxa"/>
            <w:gridSpan w:val="9"/>
            <w:tcBorders>
              <w:top w:val="single" w:color="auto" w:sz="4" w:space="0"/>
              <w:left w:val="single" w:color="auto" w:sz="4" w:space="0"/>
              <w:bottom w:val="single" w:color="auto" w:sz="4" w:space="0"/>
              <w:right w:val="single" w:color="auto" w:sz="4" w:space="0"/>
            </w:tcBorders>
            <w:noWrap w:val="0"/>
            <w:vAlign w:val="center"/>
          </w:tcPr>
          <w:p w14:paraId="0DE247DD">
            <w:pPr>
              <w:topLinePunct/>
              <w:spacing w:line="360" w:lineRule="auto"/>
              <w:jc w:val="center"/>
              <w:rPr>
                <w:szCs w:val="21"/>
              </w:rPr>
            </w:pPr>
          </w:p>
        </w:tc>
      </w:tr>
      <w:tr w14:paraId="682E6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61F1004E">
            <w:pPr>
              <w:topLinePunct/>
              <w:spacing w:line="360" w:lineRule="auto"/>
              <w:jc w:val="center"/>
              <w:rPr>
                <w:szCs w:val="21"/>
              </w:rPr>
            </w:pPr>
            <w:r>
              <w:rPr>
                <w:szCs w:val="21"/>
                <w:highlight w:val="white"/>
              </w:rPr>
              <w:t>法定代表人</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7C55AA80">
            <w:pPr>
              <w:topLinePunct/>
              <w:spacing w:line="360" w:lineRule="auto"/>
              <w:jc w:val="center"/>
              <w:rPr>
                <w:szCs w:val="21"/>
              </w:rPr>
            </w:pPr>
            <w:r>
              <w:rPr>
                <w:szCs w:val="21"/>
                <w:highlight w:val="white"/>
              </w:rPr>
              <w:t>姓名</w:t>
            </w:r>
          </w:p>
        </w:tc>
        <w:tc>
          <w:tcPr>
            <w:tcW w:w="734" w:type="dxa"/>
            <w:tcBorders>
              <w:top w:val="single" w:color="auto" w:sz="4" w:space="0"/>
              <w:left w:val="single" w:color="auto" w:sz="4" w:space="0"/>
              <w:bottom w:val="single" w:color="auto" w:sz="4" w:space="0"/>
              <w:right w:val="single" w:color="auto" w:sz="4" w:space="0"/>
            </w:tcBorders>
            <w:noWrap w:val="0"/>
            <w:vAlign w:val="center"/>
          </w:tcPr>
          <w:p w14:paraId="6A32B206">
            <w:pPr>
              <w:topLinePunct/>
              <w:spacing w:line="360" w:lineRule="auto"/>
              <w:jc w:val="center"/>
              <w:rPr>
                <w:szCs w:val="21"/>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4499D068">
            <w:pPr>
              <w:topLinePunct/>
              <w:spacing w:line="360" w:lineRule="auto"/>
              <w:jc w:val="center"/>
              <w:rPr>
                <w:szCs w:val="21"/>
              </w:rPr>
            </w:pPr>
            <w:r>
              <w:rPr>
                <w:rFonts w:hint="eastAsia"/>
                <w:szCs w:val="21"/>
                <w:highlight w:val="white"/>
              </w:rPr>
              <w:t>专业</w:t>
            </w:r>
            <w:r>
              <w:rPr>
                <w:szCs w:val="21"/>
                <w:highlight w:val="white"/>
              </w:rPr>
              <w:t>技术职称</w:t>
            </w:r>
          </w:p>
        </w:tc>
        <w:tc>
          <w:tcPr>
            <w:tcW w:w="1568" w:type="dxa"/>
            <w:gridSpan w:val="3"/>
            <w:tcBorders>
              <w:top w:val="single" w:color="auto" w:sz="4" w:space="0"/>
              <w:left w:val="single" w:color="auto" w:sz="4" w:space="0"/>
              <w:bottom w:val="single" w:color="auto" w:sz="4" w:space="0"/>
              <w:right w:val="single" w:color="auto" w:sz="4" w:space="0"/>
            </w:tcBorders>
            <w:noWrap w:val="0"/>
            <w:vAlign w:val="center"/>
          </w:tcPr>
          <w:p w14:paraId="1DA5CB76">
            <w:pPr>
              <w:topLinePunct/>
              <w:spacing w:line="360" w:lineRule="auto"/>
              <w:jc w:val="center"/>
              <w:rPr>
                <w:szCs w:val="21"/>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6C5338FB">
            <w:pPr>
              <w:topLinePunct/>
              <w:spacing w:line="360" w:lineRule="auto"/>
              <w:jc w:val="center"/>
              <w:rPr>
                <w:szCs w:val="21"/>
              </w:rPr>
            </w:pPr>
            <w:r>
              <w:rPr>
                <w:szCs w:val="21"/>
                <w:highlight w:val="whit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5FA6825">
            <w:pPr>
              <w:topLinePunct/>
              <w:spacing w:line="360" w:lineRule="auto"/>
              <w:jc w:val="center"/>
              <w:rPr>
                <w:szCs w:val="21"/>
              </w:rPr>
            </w:pPr>
          </w:p>
        </w:tc>
      </w:tr>
      <w:tr w14:paraId="4C0E1B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647FED2A">
            <w:pPr>
              <w:topLinePunct/>
              <w:spacing w:line="360" w:lineRule="auto"/>
              <w:jc w:val="center"/>
              <w:rPr>
                <w:szCs w:val="21"/>
              </w:rPr>
            </w:pPr>
            <w:r>
              <w:rPr>
                <w:szCs w:val="21"/>
                <w:highlight w:val="white"/>
              </w:rPr>
              <w:t>技术负责人</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0EFD7BEB">
            <w:pPr>
              <w:topLinePunct/>
              <w:spacing w:line="360" w:lineRule="auto"/>
              <w:jc w:val="center"/>
              <w:rPr>
                <w:szCs w:val="21"/>
              </w:rPr>
            </w:pPr>
            <w:r>
              <w:rPr>
                <w:szCs w:val="21"/>
                <w:highlight w:val="white"/>
              </w:rPr>
              <w:t>姓名</w:t>
            </w:r>
          </w:p>
        </w:tc>
        <w:tc>
          <w:tcPr>
            <w:tcW w:w="734" w:type="dxa"/>
            <w:tcBorders>
              <w:top w:val="single" w:color="auto" w:sz="4" w:space="0"/>
              <w:left w:val="single" w:color="auto" w:sz="4" w:space="0"/>
              <w:bottom w:val="single" w:color="auto" w:sz="4" w:space="0"/>
              <w:right w:val="single" w:color="auto" w:sz="4" w:space="0"/>
            </w:tcBorders>
            <w:noWrap w:val="0"/>
            <w:vAlign w:val="center"/>
          </w:tcPr>
          <w:p w14:paraId="3B8CCE2B">
            <w:pPr>
              <w:topLinePunct/>
              <w:spacing w:line="360" w:lineRule="auto"/>
              <w:jc w:val="center"/>
              <w:rPr>
                <w:szCs w:val="21"/>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5FFB0E0B">
            <w:pPr>
              <w:topLinePunct/>
              <w:spacing w:line="360" w:lineRule="auto"/>
              <w:jc w:val="center"/>
              <w:rPr>
                <w:szCs w:val="21"/>
              </w:rPr>
            </w:pPr>
            <w:r>
              <w:rPr>
                <w:rFonts w:hint="eastAsia"/>
                <w:szCs w:val="21"/>
                <w:highlight w:val="white"/>
              </w:rPr>
              <w:t>专业</w:t>
            </w:r>
            <w:r>
              <w:rPr>
                <w:szCs w:val="21"/>
                <w:highlight w:val="white"/>
              </w:rPr>
              <w:t>技术职称</w:t>
            </w:r>
          </w:p>
        </w:tc>
        <w:tc>
          <w:tcPr>
            <w:tcW w:w="1568" w:type="dxa"/>
            <w:gridSpan w:val="3"/>
            <w:tcBorders>
              <w:top w:val="single" w:color="auto" w:sz="4" w:space="0"/>
              <w:left w:val="single" w:color="auto" w:sz="4" w:space="0"/>
              <w:bottom w:val="single" w:color="auto" w:sz="4" w:space="0"/>
              <w:right w:val="single" w:color="auto" w:sz="4" w:space="0"/>
            </w:tcBorders>
            <w:noWrap w:val="0"/>
            <w:vAlign w:val="center"/>
          </w:tcPr>
          <w:p w14:paraId="33921FC5">
            <w:pPr>
              <w:topLinePunct/>
              <w:spacing w:line="360" w:lineRule="auto"/>
              <w:jc w:val="center"/>
              <w:rPr>
                <w:szCs w:val="21"/>
              </w:rPr>
            </w:pPr>
          </w:p>
        </w:tc>
        <w:tc>
          <w:tcPr>
            <w:tcW w:w="929" w:type="dxa"/>
            <w:tcBorders>
              <w:top w:val="single" w:color="auto" w:sz="4" w:space="0"/>
              <w:left w:val="single" w:color="auto" w:sz="4" w:space="0"/>
              <w:bottom w:val="single" w:color="auto" w:sz="4" w:space="0"/>
              <w:right w:val="single" w:color="auto" w:sz="4" w:space="0"/>
            </w:tcBorders>
            <w:noWrap w:val="0"/>
            <w:vAlign w:val="center"/>
          </w:tcPr>
          <w:p w14:paraId="5FBEBDC5">
            <w:pPr>
              <w:topLinePunct/>
              <w:spacing w:line="360" w:lineRule="auto"/>
              <w:jc w:val="center"/>
              <w:rPr>
                <w:szCs w:val="21"/>
              </w:rPr>
            </w:pPr>
            <w:r>
              <w:rPr>
                <w:szCs w:val="21"/>
                <w:highlight w:val="whit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8502C5C">
            <w:pPr>
              <w:topLinePunct/>
              <w:spacing w:line="360" w:lineRule="auto"/>
              <w:jc w:val="center"/>
              <w:rPr>
                <w:szCs w:val="21"/>
              </w:rPr>
            </w:pPr>
          </w:p>
        </w:tc>
      </w:tr>
      <w:tr w14:paraId="4BDC0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6C7BAFD1">
            <w:pPr>
              <w:topLinePunct/>
              <w:spacing w:line="360" w:lineRule="auto"/>
              <w:jc w:val="center"/>
              <w:rPr>
                <w:szCs w:val="21"/>
              </w:rPr>
            </w:pPr>
            <w:r>
              <w:rPr>
                <w:szCs w:val="21"/>
                <w:highlight w:val="white"/>
              </w:rPr>
              <w:t>成立时间</w:t>
            </w:r>
          </w:p>
        </w:tc>
        <w:tc>
          <w:tcPr>
            <w:tcW w:w="1648" w:type="dxa"/>
            <w:gridSpan w:val="2"/>
            <w:tcBorders>
              <w:top w:val="single" w:color="auto" w:sz="4" w:space="0"/>
              <w:left w:val="single" w:color="auto" w:sz="4" w:space="0"/>
              <w:bottom w:val="single" w:color="auto" w:sz="4" w:space="0"/>
              <w:right w:val="single" w:color="auto" w:sz="4" w:space="0"/>
            </w:tcBorders>
            <w:noWrap w:val="0"/>
            <w:vAlign w:val="center"/>
          </w:tcPr>
          <w:p w14:paraId="5CAF0C63">
            <w:pPr>
              <w:topLinePunct/>
              <w:spacing w:line="360" w:lineRule="auto"/>
              <w:jc w:val="center"/>
              <w:rPr>
                <w:szCs w:val="21"/>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20578465">
            <w:pPr>
              <w:topLinePunct/>
              <w:spacing w:line="360" w:lineRule="auto"/>
              <w:ind w:firstLine="105" w:firstLineChars="50"/>
              <w:jc w:val="center"/>
              <w:rPr>
                <w:szCs w:val="21"/>
              </w:rPr>
            </w:pPr>
            <w:r>
              <w:rPr>
                <w:szCs w:val="21"/>
                <w:highlight w:val="white"/>
              </w:rPr>
              <w:t>员工总人数：</w:t>
            </w:r>
          </w:p>
        </w:tc>
      </w:tr>
      <w:tr w14:paraId="2D905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2AB690DA">
            <w:pPr>
              <w:topLinePunct/>
              <w:spacing w:line="360" w:lineRule="auto"/>
              <w:jc w:val="center"/>
              <w:rPr>
                <w:szCs w:val="21"/>
              </w:rPr>
            </w:pPr>
            <w:r>
              <w:rPr>
                <w:szCs w:val="21"/>
                <w:highlight w:val="white"/>
              </w:rPr>
              <w:t>企业资质等级</w:t>
            </w:r>
          </w:p>
        </w:tc>
        <w:tc>
          <w:tcPr>
            <w:tcW w:w="1648" w:type="dxa"/>
            <w:gridSpan w:val="2"/>
            <w:tcBorders>
              <w:top w:val="single" w:color="auto" w:sz="4" w:space="0"/>
              <w:left w:val="single" w:color="auto" w:sz="4" w:space="0"/>
              <w:bottom w:val="single" w:color="auto" w:sz="4" w:space="0"/>
              <w:right w:val="single" w:color="auto" w:sz="4" w:space="0"/>
            </w:tcBorders>
            <w:noWrap w:val="0"/>
            <w:vAlign w:val="center"/>
          </w:tcPr>
          <w:p w14:paraId="50A5C12C">
            <w:pPr>
              <w:topLinePunct/>
              <w:spacing w:line="360" w:lineRule="auto"/>
              <w:jc w:val="center"/>
              <w:rPr>
                <w:szCs w:val="21"/>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36938CCB">
            <w:pPr>
              <w:topLinePunct/>
              <w:spacing w:line="360" w:lineRule="auto"/>
              <w:jc w:val="center"/>
              <w:rPr>
                <w:szCs w:val="21"/>
              </w:rPr>
            </w:pPr>
            <w:r>
              <w:rPr>
                <w:szCs w:val="21"/>
                <w:highlight w:val="white"/>
              </w:rPr>
              <w:t>其中</w:t>
            </w:r>
          </w:p>
        </w:tc>
        <w:tc>
          <w:tcPr>
            <w:tcW w:w="2230" w:type="dxa"/>
            <w:gridSpan w:val="4"/>
            <w:vMerge w:val="restart"/>
            <w:tcBorders>
              <w:top w:val="single" w:color="auto" w:sz="4" w:space="0"/>
              <w:left w:val="single" w:color="auto" w:sz="4" w:space="0"/>
              <w:right w:val="single" w:color="auto" w:sz="4" w:space="0"/>
            </w:tcBorders>
            <w:noWrap w:val="0"/>
            <w:vAlign w:val="center"/>
          </w:tcPr>
          <w:p w14:paraId="39B0CC36">
            <w:pPr>
              <w:topLinePunct/>
              <w:spacing w:line="360" w:lineRule="auto"/>
              <w:jc w:val="center"/>
              <w:rPr>
                <w:szCs w:val="21"/>
              </w:rPr>
            </w:pPr>
            <w:r>
              <w:rPr>
                <w:szCs w:val="21"/>
                <w:highlight w:val="white"/>
              </w:rPr>
              <w:t>高级</w:t>
            </w:r>
            <w:r>
              <w:rPr>
                <w:rFonts w:hint="eastAsia"/>
                <w:szCs w:val="21"/>
                <w:highlight w:val="white"/>
              </w:rPr>
              <w:t>专业</w:t>
            </w:r>
            <w:r>
              <w:rPr>
                <w:szCs w:val="21"/>
                <w:highlight w:val="white"/>
              </w:rPr>
              <w:t>技术职称</w:t>
            </w:r>
          </w:p>
          <w:p w14:paraId="35D852C2">
            <w:pPr>
              <w:topLinePunct/>
              <w:spacing w:line="360" w:lineRule="auto"/>
              <w:jc w:val="center"/>
              <w:rPr>
                <w:szCs w:val="21"/>
              </w:rPr>
            </w:pPr>
            <w:r>
              <w:rPr>
                <w:szCs w:val="21"/>
                <w:highlight w:val="white"/>
              </w:rPr>
              <w:t>人员</w:t>
            </w:r>
          </w:p>
        </w:tc>
        <w:tc>
          <w:tcPr>
            <w:tcW w:w="1921" w:type="dxa"/>
            <w:gridSpan w:val="2"/>
            <w:vMerge w:val="restart"/>
            <w:tcBorders>
              <w:top w:val="single" w:color="auto" w:sz="4" w:space="0"/>
              <w:left w:val="single" w:color="auto" w:sz="4" w:space="0"/>
              <w:right w:val="single" w:color="auto" w:sz="4" w:space="0"/>
            </w:tcBorders>
            <w:noWrap w:val="0"/>
            <w:vAlign w:val="center"/>
          </w:tcPr>
          <w:p w14:paraId="327A75E6">
            <w:pPr>
              <w:topLinePunct/>
              <w:spacing w:line="360" w:lineRule="auto"/>
              <w:jc w:val="center"/>
              <w:rPr>
                <w:szCs w:val="21"/>
              </w:rPr>
            </w:pPr>
          </w:p>
        </w:tc>
      </w:tr>
      <w:tr w14:paraId="0F4DD3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25009444">
            <w:pPr>
              <w:topLinePunct/>
              <w:spacing w:line="360" w:lineRule="auto"/>
              <w:jc w:val="center"/>
              <w:rPr>
                <w:szCs w:val="21"/>
              </w:rPr>
            </w:pPr>
            <w:r>
              <w:rPr>
                <w:szCs w:val="21"/>
                <w:highlight w:val="white"/>
              </w:rPr>
              <w:t>营业执照号</w:t>
            </w:r>
          </w:p>
        </w:tc>
        <w:tc>
          <w:tcPr>
            <w:tcW w:w="1648" w:type="dxa"/>
            <w:gridSpan w:val="2"/>
            <w:tcBorders>
              <w:top w:val="single" w:color="auto" w:sz="4" w:space="0"/>
              <w:left w:val="single" w:color="auto" w:sz="4" w:space="0"/>
              <w:bottom w:val="single" w:color="auto" w:sz="4" w:space="0"/>
              <w:right w:val="single" w:color="auto" w:sz="4" w:space="0"/>
            </w:tcBorders>
            <w:noWrap w:val="0"/>
            <w:vAlign w:val="center"/>
          </w:tcPr>
          <w:p w14:paraId="44BC6341">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3AD0B9D">
            <w:pPr>
              <w:topLinePunct/>
              <w:spacing w:line="360" w:lineRule="auto"/>
              <w:jc w:val="center"/>
              <w:rPr>
                <w:szCs w:val="21"/>
              </w:rPr>
            </w:pPr>
          </w:p>
        </w:tc>
        <w:tc>
          <w:tcPr>
            <w:tcW w:w="2230" w:type="dxa"/>
            <w:gridSpan w:val="4"/>
            <w:vMerge w:val="continue"/>
            <w:tcBorders>
              <w:left w:val="single" w:color="auto" w:sz="4" w:space="0"/>
              <w:bottom w:val="single" w:color="auto" w:sz="4" w:space="0"/>
              <w:right w:val="single" w:color="auto" w:sz="4" w:space="0"/>
            </w:tcBorders>
            <w:noWrap w:val="0"/>
            <w:vAlign w:val="center"/>
          </w:tcPr>
          <w:p w14:paraId="6C43EF9A">
            <w:pPr>
              <w:topLinePunct/>
              <w:spacing w:line="360" w:lineRule="auto"/>
              <w:jc w:val="center"/>
              <w:rPr>
                <w:szCs w:val="21"/>
              </w:rPr>
            </w:pPr>
          </w:p>
        </w:tc>
        <w:tc>
          <w:tcPr>
            <w:tcW w:w="1921" w:type="dxa"/>
            <w:gridSpan w:val="2"/>
            <w:vMerge w:val="continue"/>
            <w:tcBorders>
              <w:left w:val="single" w:color="auto" w:sz="4" w:space="0"/>
              <w:bottom w:val="single" w:color="auto" w:sz="4" w:space="0"/>
              <w:right w:val="single" w:color="auto" w:sz="4" w:space="0"/>
            </w:tcBorders>
            <w:noWrap w:val="0"/>
            <w:vAlign w:val="center"/>
          </w:tcPr>
          <w:p w14:paraId="71086975">
            <w:pPr>
              <w:topLinePunct/>
              <w:spacing w:line="360" w:lineRule="auto"/>
              <w:jc w:val="center"/>
              <w:rPr>
                <w:szCs w:val="21"/>
              </w:rPr>
            </w:pPr>
          </w:p>
        </w:tc>
      </w:tr>
      <w:tr w14:paraId="42068A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2390B7BD">
            <w:pPr>
              <w:topLinePunct/>
              <w:spacing w:line="360" w:lineRule="auto"/>
              <w:jc w:val="center"/>
              <w:rPr>
                <w:szCs w:val="21"/>
              </w:rPr>
            </w:pPr>
            <w:r>
              <w:rPr>
                <w:szCs w:val="21"/>
                <w:highlight w:val="white"/>
              </w:rPr>
              <w:t>注册资金</w:t>
            </w:r>
          </w:p>
        </w:tc>
        <w:tc>
          <w:tcPr>
            <w:tcW w:w="1648" w:type="dxa"/>
            <w:gridSpan w:val="2"/>
            <w:tcBorders>
              <w:top w:val="single" w:color="auto" w:sz="4" w:space="0"/>
              <w:left w:val="single" w:color="auto" w:sz="4" w:space="0"/>
              <w:bottom w:val="single" w:color="auto" w:sz="4" w:space="0"/>
              <w:right w:val="single" w:color="auto" w:sz="4" w:space="0"/>
            </w:tcBorders>
            <w:noWrap w:val="0"/>
            <w:vAlign w:val="center"/>
          </w:tcPr>
          <w:p w14:paraId="2671701F">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E1713FE">
            <w:pPr>
              <w:topLinePunct/>
              <w:spacing w:line="360" w:lineRule="auto"/>
              <w:jc w:val="center"/>
              <w:rPr>
                <w:szCs w:val="21"/>
              </w:rPr>
            </w:pPr>
          </w:p>
        </w:tc>
        <w:tc>
          <w:tcPr>
            <w:tcW w:w="2230" w:type="dxa"/>
            <w:gridSpan w:val="4"/>
            <w:tcBorders>
              <w:top w:val="single" w:color="auto" w:sz="4" w:space="0"/>
              <w:left w:val="single" w:color="auto" w:sz="4" w:space="0"/>
              <w:bottom w:val="single" w:color="auto" w:sz="4" w:space="0"/>
              <w:right w:val="single" w:color="auto" w:sz="4" w:space="0"/>
            </w:tcBorders>
            <w:noWrap w:val="0"/>
            <w:vAlign w:val="center"/>
          </w:tcPr>
          <w:p w14:paraId="176A63D2">
            <w:pPr>
              <w:topLinePunct/>
              <w:spacing w:line="360" w:lineRule="auto"/>
              <w:jc w:val="center"/>
              <w:rPr>
                <w:szCs w:val="21"/>
              </w:rPr>
            </w:pPr>
            <w:r>
              <w:rPr>
                <w:szCs w:val="21"/>
                <w:highlight w:val="white"/>
              </w:rPr>
              <w:t>中级</w:t>
            </w:r>
            <w:r>
              <w:rPr>
                <w:rFonts w:hint="eastAsia"/>
                <w:szCs w:val="21"/>
                <w:highlight w:val="white"/>
              </w:rPr>
              <w:t>专业</w:t>
            </w:r>
            <w:r>
              <w:rPr>
                <w:szCs w:val="21"/>
                <w:highlight w:val="white"/>
              </w:rPr>
              <w:t>技术职称</w:t>
            </w:r>
          </w:p>
          <w:p w14:paraId="52D44F40">
            <w:pPr>
              <w:topLinePunct/>
              <w:spacing w:line="360" w:lineRule="auto"/>
              <w:jc w:val="center"/>
              <w:rPr>
                <w:szCs w:val="21"/>
              </w:rPr>
            </w:pPr>
            <w:r>
              <w:rPr>
                <w:szCs w:val="21"/>
                <w:highlight w:val="white"/>
              </w:rPr>
              <w:t>人员</w:t>
            </w:r>
          </w:p>
        </w:tc>
        <w:tc>
          <w:tcPr>
            <w:tcW w:w="1921" w:type="dxa"/>
            <w:gridSpan w:val="2"/>
            <w:tcBorders>
              <w:top w:val="single" w:color="auto" w:sz="4" w:space="0"/>
              <w:left w:val="single" w:color="auto" w:sz="4" w:space="0"/>
              <w:bottom w:val="single" w:color="auto" w:sz="4" w:space="0"/>
              <w:right w:val="single" w:color="auto" w:sz="4" w:space="0"/>
            </w:tcBorders>
            <w:noWrap w:val="0"/>
            <w:vAlign w:val="center"/>
          </w:tcPr>
          <w:p w14:paraId="38DA134D">
            <w:pPr>
              <w:topLinePunct/>
              <w:spacing w:line="360" w:lineRule="auto"/>
              <w:jc w:val="center"/>
              <w:rPr>
                <w:szCs w:val="21"/>
              </w:rPr>
            </w:pPr>
          </w:p>
        </w:tc>
      </w:tr>
      <w:tr w14:paraId="42A9A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6F3A16B0">
            <w:pPr>
              <w:topLinePunct/>
              <w:spacing w:line="360" w:lineRule="auto"/>
              <w:jc w:val="center"/>
              <w:rPr>
                <w:szCs w:val="21"/>
              </w:rPr>
            </w:pPr>
            <w:r>
              <w:rPr>
                <w:szCs w:val="21"/>
                <w:highlight w:val="white"/>
              </w:rPr>
              <w:t>开户银行</w:t>
            </w:r>
          </w:p>
        </w:tc>
        <w:tc>
          <w:tcPr>
            <w:tcW w:w="1648" w:type="dxa"/>
            <w:gridSpan w:val="2"/>
            <w:tcBorders>
              <w:top w:val="single" w:color="auto" w:sz="4" w:space="0"/>
              <w:left w:val="single" w:color="auto" w:sz="4" w:space="0"/>
              <w:bottom w:val="single" w:color="auto" w:sz="4" w:space="0"/>
              <w:right w:val="single" w:color="auto" w:sz="4" w:space="0"/>
            </w:tcBorders>
            <w:noWrap w:val="0"/>
            <w:vAlign w:val="center"/>
          </w:tcPr>
          <w:p w14:paraId="2EF2D819">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3C5F1711">
            <w:pPr>
              <w:topLinePunct/>
              <w:spacing w:line="360" w:lineRule="auto"/>
              <w:jc w:val="center"/>
              <w:rPr>
                <w:szCs w:val="21"/>
              </w:rPr>
            </w:pPr>
          </w:p>
        </w:tc>
        <w:tc>
          <w:tcPr>
            <w:tcW w:w="2230" w:type="dxa"/>
            <w:gridSpan w:val="4"/>
            <w:tcBorders>
              <w:top w:val="single" w:color="auto" w:sz="4" w:space="0"/>
              <w:left w:val="single" w:color="auto" w:sz="4" w:space="0"/>
              <w:bottom w:val="single" w:color="auto" w:sz="4" w:space="0"/>
              <w:right w:val="single" w:color="auto" w:sz="4" w:space="0"/>
            </w:tcBorders>
            <w:noWrap w:val="0"/>
            <w:vAlign w:val="center"/>
          </w:tcPr>
          <w:p w14:paraId="3AAE930E">
            <w:pPr>
              <w:topLinePunct/>
              <w:spacing w:line="360" w:lineRule="auto"/>
              <w:jc w:val="center"/>
              <w:rPr>
                <w:szCs w:val="21"/>
              </w:rPr>
            </w:pPr>
            <w:r>
              <w:rPr>
                <w:szCs w:val="21"/>
                <w:highlight w:val="white"/>
              </w:rPr>
              <w:t>初级</w:t>
            </w:r>
            <w:r>
              <w:rPr>
                <w:rFonts w:hint="eastAsia"/>
                <w:szCs w:val="21"/>
                <w:highlight w:val="white"/>
              </w:rPr>
              <w:t>专业</w:t>
            </w:r>
            <w:r>
              <w:rPr>
                <w:szCs w:val="21"/>
                <w:highlight w:val="white"/>
              </w:rPr>
              <w:t>技术职称</w:t>
            </w:r>
          </w:p>
          <w:p w14:paraId="21256BD7">
            <w:pPr>
              <w:topLinePunct/>
              <w:spacing w:line="360" w:lineRule="auto"/>
              <w:jc w:val="center"/>
              <w:rPr>
                <w:szCs w:val="21"/>
              </w:rPr>
            </w:pPr>
            <w:r>
              <w:rPr>
                <w:szCs w:val="21"/>
                <w:highlight w:val="white"/>
              </w:rPr>
              <w:t>人员</w:t>
            </w:r>
          </w:p>
        </w:tc>
        <w:tc>
          <w:tcPr>
            <w:tcW w:w="1921" w:type="dxa"/>
            <w:gridSpan w:val="2"/>
            <w:tcBorders>
              <w:top w:val="single" w:color="auto" w:sz="4" w:space="0"/>
              <w:left w:val="single" w:color="auto" w:sz="4" w:space="0"/>
              <w:bottom w:val="single" w:color="auto" w:sz="4" w:space="0"/>
              <w:right w:val="single" w:color="auto" w:sz="4" w:space="0"/>
            </w:tcBorders>
            <w:noWrap w:val="0"/>
            <w:vAlign w:val="center"/>
          </w:tcPr>
          <w:p w14:paraId="45C0FF74">
            <w:pPr>
              <w:topLinePunct/>
              <w:spacing w:line="360" w:lineRule="auto"/>
              <w:jc w:val="center"/>
              <w:rPr>
                <w:szCs w:val="21"/>
              </w:rPr>
            </w:pPr>
          </w:p>
        </w:tc>
      </w:tr>
      <w:tr w14:paraId="413BA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19B64200">
            <w:pPr>
              <w:topLinePunct/>
              <w:spacing w:line="360" w:lineRule="auto"/>
              <w:jc w:val="center"/>
              <w:rPr>
                <w:szCs w:val="21"/>
              </w:rPr>
            </w:pPr>
            <w:r>
              <w:rPr>
                <w:szCs w:val="21"/>
                <w:highlight w:val="white"/>
              </w:rPr>
              <w:t>账号</w:t>
            </w:r>
          </w:p>
        </w:tc>
        <w:tc>
          <w:tcPr>
            <w:tcW w:w="1648" w:type="dxa"/>
            <w:gridSpan w:val="2"/>
            <w:tcBorders>
              <w:top w:val="single" w:color="auto" w:sz="4" w:space="0"/>
              <w:left w:val="single" w:color="auto" w:sz="4" w:space="0"/>
              <w:bottom w:val="single" w:color="auto" w:sz="4" w:space="0"/>
              <w:right w:val="single" w:color="auto" w:sz="4" w:space="0"/>
            </w:tcBorders>
            <w:noWrap w:val="0"/>
            <w:vAlign w:val="center"/>
          </w:tcPr>
          <w:p w14:paraId="2645DB21">
            <w:pPr>
              <w:topLinePunct/>
              <w:spacing w:line="360" w:lineRule="auto"/>
              <w:jc w:val="center"/>
              <w:rPr>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5E2FF823">
            <w:pPr>
              <w:topLinePunct/>
              <w:spacing w:line="360" w:lineRule="auto"/>
              <w:jc w:val="center"/>
              <w:rPr>
                <w:szCs w:val="21"/>
              </w:rPr>
            </w:pPr>
          </w:p>
        </w:tc>
        <w:tc>
          <w:tcPr>
            <w:tcW w:w="2230" w:type="dxa"/>
            <w:gridSpan w:val="4"/>
            <w:tcBorders>
              <w:top w:val="single" w:color="auto" w:sz="4" w:space="0"/>
              <w:left w:val="single" w:color="auto" w:sz="4" w:space="0"/>
              <w:bottom w:val="single" w:color="auto" w:sz="4" w:space="0"/>
              <w:right w:val="single" w:color="auto" w:sz="4" w:space="0"/>
            </w:tcBorders>
            <w:noWrap w:val="0"/>
            <w:vAlign w:val="center"/>
          </w:tcPr>
          <w:p w14:paraId="7F52EFBF">
            <w:pPr>
              <w:topLinePunct/>
              <w:spacing w:line="360" w:lineRule="auto"/>
              <w:jc w:val="center"/>
            </w:pPr>
            <w:r>
              <w:rPr>
                <w:szCs w:val="21"/>
                <w:highlight w:val="white"/>
              </w:rPr>
              <w:t>技工</w:t>
            </w:r>
          </w:p>
        </w:tc>
        <w:tc>
          <w:tcPr>
            <w:tcW w:w="1921" w:type="dxa"/>
            <w:gridSpan w:val="2"/>
            <w:tcBorders>
              <w:top w:val="single" w:color="auto" w:sz="4" w:space="0"/>
              <w:left w:val="single" w:color="auto" w:sz="4" w:space="0"/>
              <w:bottom w:val="single" w:color="auto" w:sz="4" w:space="0"/>
              <w:right w:val="single" w:color="auto" w:sz="4" w:space="0"/>
            </w:tcBorders>
            <w:noWrap w:val="0"/>
            <w:vAlign w:val="center"/>
          </w:tcPr>
          <w:p w14:paraId="0AF1AB02">
            <w:pPr>
              <w:topLinePunct/>
              <w:spacing w:line="360" w:lineRule="auto"/>
              <w:jc w:val="center"/>
              <w:rPr>
                <w:szCs w:val="21"/>
              </w:rPr>
            </w:pPr>
          </w:p>
        </w:tc>
      </w:tr>
      <w:tr w14:paraId="7D168B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wBefore w:w="0" w:type="dxa"/>
          <w:trHeight w:val="57" w:hRule="atLeast"/>
        </w:trPr>
        <w:tc>
          <w:tcPr>
            <w:tcW w:w="1929" w:type="dxa"/>
            <w:tcBorders>
              <w:top w:val="single" w:color="auto" w:sz="4" w:space="0"/>
              <w:left w:val="single" w:color="auto" w:sz="4" w:space="0"/>
              <w:right w:val="single" w:color="auto" w:sz="4" w:space="0"/>
            </w:tcBorders>
            <w:noWrap w:val="0"/>
            <w:vAlign w:val="center"/>
          </w:tcPr>
          <w:p w14:paraId="63CF27E7">
            <w:pPr>
              <w:topLinePunct/>
              <w:spacing w:line="360" w:lineRule="auto"/>
              <w:ind w:firstLine="210" w:firstLineChars="100"/>
              <w:jc w:val="center"/>
              <w:rPr>
                <w:szCs w:val="21"/>
              </w:rPr>
            </w:pPr>
            <w:r>
              <w:rPr>
                <w:szCs w:val="21"/>
                <w:highlight w:val="white"/>
              </w:rPr>
              <w:t>经营范围</w:t>
            </w:r>
          </w:p>
        </w:tc>
        <w:tc>
          <w:tcPr>
            <w:tcW w:w="6639" w:type="dxa"/>
            <w:gridSpan w:val="9"/>
            <w:tcBorders>
              <w:top w:val="single" w:color="auto" w:sz="4" w:space="0"/>
              <w:left w:val="single" w:color="auto" w:sz="4" w:space="0"/>
              <w:right w:val="single" w:color="auto" w:sz="4" w:space="0"/>
            </w:tcBorders>
            <w:noWrap w:val="0"/>
            <w:vAlign w:val="center"/>
          </w:tcPr>
          <w:p w14:paraId="0A20532F">
            <w:pPr>
              <w:topLinePunct/>
              <w:spacing w:line="360" w:lineRule="auto"/>
              <w:rPr>
                <w:szCs w:val="21"/>
              </w:rPr>
            </w:pPr>
          </w:p>
        </w:tc>
      </w:tr>
      <w:tr w14:paraId="54D78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right w:val="single" w:color="auto" w:sz="4" w:space="0"/>
            </w:tcBorders>
            <w:noWrap w:val="0"/>
            <w:vAlign w:val="center"/>
          </w:tcPr>
          <w:p w14:paraId="53AE6481">
            <w:pPr>
              <w:topLinePunct/>
              <w:spacing w:line="360" w:lineRule="auto"/>
              <w:jc w:val="center"/>
              <w:rPr>
                <w:szCs w:val="21"/>
              </w:rPr>
            </w:pPr>
            <w:r>
              <w:rPr>
                <w:rFonts w:hint="eastAsia" w:ascii="宋体" w:hAnsi="宋体" w:cs="宋体"/>
                <w:szCs w:val="21"/>
                <w:highlight w:val="white"/>
              </w:rPr>
              <w:t>与投标人的单位负责人为同一人的单位</w:t>
            </w:r>
          </w:p>
        </w:tc>
        <w:tc>
          <w:tcPr>
            <w:tcW w:w="6639" w:type="dxa"/>
            <w:gridSpan w:val="9"/>
            <w:tcBorders>
              <w:top w:val="single" w:color="auto" w:sz="4" w:space="0"/>
              <w:left w:val="single" w:color="auto" w:sz="4" w:space="0"/>
              <w:right w:val="single" w:color="auto" w:sz="4" w:space="0"/>
            </w:tcBorders>
            <w:noWrap w:val="0"/>
            <w:vAlign w:val="center"/>
          </w:tcPr>
          <w:p w14:paraId="18402D50">
            <w:pPr>
              <w:topLinePunct/>
              <w:spacing w:line="360" w:lineRule="auto"/>
              <w:rPr>
                <w:szCs w:val="21"/>
              </w:rPr>
            </w:pPr>
          </w:p>
        </w:tc>
      </w:tr>
      <w:tr w14:paraId="070C86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right w:val="single" w:color="auto" w:sz="4" w:space="0"/>
            </w:tcBorders>
            <w:noWrap w:val="0"/>
            <w:vAlign w:val="center"/>
          </w:tcPr>
          <w:p w14:paraId="719E0661">
            <w:pPr>
              <w:topLinePunct/>
              <w:spacing w:line="360" w:lineRule="auto"/>
              <w:jc w:val="center"/>
              <w:rPr>
                <w:szCs w:val="21"/>
              </w:rPr>
            </w:pPr>
            <w:r>
              <w:rPr>
                <w:rFonts w:hint="eastAsia"/>
                <w:szCs w:val="21"/>
                <w:highlight w:val="white"/>
              </w:rPr>
              <w:t>与投标人存在控股关系的单位</w:t>
            </w:r>
          </w:p>
        </w:tc>
        <w:tc>
          <w:tcPr>
            <w:tcW w:w="6639" w:type="dxa"/>
            <w:gridSpan w:val="9"/>
            <w:tcBorders>
              <w:top w:val="single" w:color="auto" w:sz="4" w:space="0"/>
              <w:left w:val="single" w:color="auto" w:sz="4" w:space="0"/>
              <w:right w:val="single" w:color="auto" w:sz="4" w:space="0"/>
            </w:tcBorders>
            <w:noWrap w:val="0"/>
            <w:vAlign w:val="center"/>
          </w:tcPr>
          <w:p w14:paraId="4F53561B">
            <w:pPr>
              <w:topLinePunct/>
              <w:spacing w:line="360" w:lineRule="auto"/>
              <w:rPr>
                <w:szCs w:val="21"/>
              </w:rPr>
            </w:pPr>
          </w:p>
        </w:tc>
      </w:tr>
      <w:tr w14:paraId="47BBA4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right w:val="single" w:color="auto" w:sz="4" w:space="0"/>
            </w:tcBorders>
            <w:noWrap w:val="0"/>
            <w:vAlign w:val="center"/>
          </w:tcPr>
          <w:p w14:paraId="3EEBD4E8">
            <w:pPr>
              <w:topLinePunct/>
              <w:spacing w:line="360" w:lineRule="auto"/>
              <w:jc w:val="center"/>
              <w:rPr>
                <w:szCs w:val="21"/>
              </w:rPr>
            </w:pPr>
            <w:r>
              <w:rPr>
                <w:rFonts w:hint="eastAsia"/>
                <w:szCs w:val="21"/>
                <w:highlight w:val="white"/>
              </w:rPr>
              <w:t>与投标人存在管理关系的单位</w:t>
            </w:r>
          </w:p>
        </w:tc>
        <w:tc>
          <w:tcPr>
            <w:tcW w:w="6639" w:type="dxa"/>
            <w:gridSpan w:val="9"/>
            <w:tcBorders>
              <w:top w:val="single" w:color="auto" w:sz="4" w:space="0"/>
              <w:left w:val="single" w:color="auto" w:sz="4" w:space="0"/>
              <w:right w:val="single" w:color="auto" w:sz="4" w:space="0"/>
            </w:tcBorders>
            <w:noWrap w:val="0"/>
            <w:vAlign w:val="center"/>
          </w:tcPr>
          <w:p w14:paraId="25C0C041">
            <w:pPr>
              <w:topLinePunct/>
              <w:spacing w:line="360" w:lineRule="auto"/>
              <w:rPr>
                <w:szCs w:val="21"/>
              </w:rPr>
            </w:pPr>
          </w:p>
        </w:tc>
      </w:tr>
      <w:tr w14:paraId="3E9B5E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wBefore w:w="0" w:type="dxa"/>
          <w:trHeight w:val="57" w:hRule="atLeast"/>
        </w:trPr>
        <w:tc>
          <w:tcPr>
            <w:tcW w:w="1929" w:type="dxa"/>
            <w:tcBorders>
              <w:top w:val="single" w:color="auto" w:sz="4" w:space="0"/>
              <w:left w:val="single" w:color="auto" w:sz="4" w:space="0"/>
              <w:bottom w:val="single" w:color="auto" w:sz="4" w:space="0"/>
              <w:right w:val="single" w:color="auto" w:sz="4" w:space="0"/>
            </w:tcBorders>
            <w:noWrap w:val="0"/>
            <w:vAlign w:val="center"/>
          </w:tcPr>
          <w:p w14:paraId="5037271A">
            <w:pPr>
              <w:topLinePunct/>
              <w:spacing w:line="360" w:lineRule="auto"/>
              <w:jc w:val="center"/>
              <w:rPr>
                <w:szCs w:val="21"/>
              </w:rPr>
            </w:pPr>
            <w:r>
              <w:rPr>
                <w:szCs w:val="21"/>
                <w:highlight w:val="white"/>
              </w:rPr>
              <w:t>备注</w:t>
            </w:r>
          </w:p>
        </w:tc>
        <w:tc>
          <w:tcPr>
            <w:tcW w:w="6639" w:type="dxa"/>
            <w:gridSpan w:val="9"/>
            <w:tcBorders>
              <w:top w:val="single" w:color="auto" w:sz="4" w:space="0"/>
              <w:left w:val="single" w:color="auto" w:sz="4" w:space="0"/>
              <w:bottom w:val="single" w:color="auto" w:sz="4" w:space="0"/>
              <w:right w:val="single" w:color="auto" w:sz="4" w:space="0"/>
            </w:tcBorders>
            <w:noWrap w:val="0"/>
            <w:vAlign w:val="center"/>
          </w:tcPr>
          <w:p w14:paraId="3DDB2850">
            <w:pPr>
              <w:topLinePunct/>
              <w:spacing w:line="360" w:lineRule="auto"/>
              <w:rPr>
                <w:szCs w:val="21"/>
              </w:rPr>
            </w:pPr>
          </w:p>
        </w:tc>
      </w:tr>
    </w:tbl>
    <w:p w14:paraId="1A9E379A">
      <w:pPr>
        <w:widowControl/>
        <w:topLinePunct/>
        <w:spacing w:line="360" w:lineRule="auto"/>
        <w:jc w:val="left"/>
        <w:rPr>
          <w:rFonts w:hint="eastAsia" w:ascii="宋体" w:hAnsi="宋体" w:cs="Arial"/>
          <w:kern w:val="0"/>
          <w:sz w:val="24"/>
        </w:rPr>
      </w:pPr>
      <w:r>
        <w:rPr>
          <w:rFonts w:hint="eastAsia" w:ascii="宋体" w:hAnsi="宋体" w:cs="宋体"/>
          <w:kern w:val="0"/>
          <w:sz w:val="24"/>
          <w:highlight w:val="white"/>
        </w:rPr>
        <w:t>注：投标人应根据投标人须知第 3.5.1 项的要求在本表后附相关证明材料扫描件。</w:t>
      </w:r>
      <w:r>
        <w:rPr>
          <w:rFonts w:hint="eastAsia" w:ascii="宋体" w:hAnsi="宋体" w:cs="Arial"/>
          <w:kern w:val="0"/>
          <w:sz w:val="24"/>
          <w:highlight w:val="white"/>
        </w:rPr>
        <w:t>非联合体投标时无需填写。</w:t>
      </w:r>
    </w:p>
    <w:p w14:paraId="74078944">
      <w:pPr>
        <w:pStyle w:val="4"/>
        <w:pageBreakBefore/>
        <w:spacing w:line="360" w:lineRule="auto"/>
        <w:jc w:val="center"/>
      </w:pPr>
      <w:bookmarkStart w:id="252" w:name="_Toc256000360"/>
      <w:r>
        <w:rPr>
          <w:highlight w:val="white"/>
        </w:rPr>
        <w:t>（二）近年财务状况表</w:t>
      </w:r>
      <w:bookmarkEnd w:id="252"/>
    </w:p>
    <w:p w14:paraId="3641D2C5">
      <w:pPr>
        <w:topLinePunct/>
        <w:spacing w:line="360" w:lineRule="auto"/>
        <w:jc w:val="center"/>
        <w:rPr>
          <w:rFonts w:eastAsia="黑体"/>
          <w:sz w:val="20"/>
          <w:szCs w:val="20"/>
        </w:rPr>
      </w:pPr>
    </w:p>
    <w:p w14:paraId="7DE3FF48">
      <w:pPr>
        <w:topLinePunct/>
        <w:spacing w:line="360" w:lineRule="auto"/>
        <w:jc w:val="center"/>
        <w:rPr>
          <w:rFonts w:eastAsia="黑体"/>
          <w:sz w:val="20"/>
          <w:szCs w:val="20"/>
        </w:rPr>
      </w:pPr>
    </w:p>
    <w:p w14:paraId="3A62A1FE">
      <w:pPr>
        <w:topLinePunct/>
        <w:spacing w:line="360" w:lineRule="auto"/>
        <w:jc w:val="center"/>
        <w:rPr>
          <w:rFonts w:eastAsia="黑体"/>
          <w:sz w:val="20"/>
          <w:szCs w:val="20"/>
        </w:rPr>
      </w:pPr>
    </w:p>
    <w:p w14:paraId="6E823DCB">
      <w:pPr>
        <w:topLinePunct/>
        <w:spacing w:line="360" w:lineRule="auto"/>
        <w:jc w:val="center"/>
        <w:rPr>
          <w:rFonts w:eastAsia="黑体"/>
          <w:sz w:val="20"/>
          <w:szCs w:val="20"/>
        </w:rPr>
      </w:pPr>
    </w:p>
    <w:p w14:paraId="3E11430B">
      <w:pPr>
        <w:topLinePunct/>
        <w:spacing w:line="360" w:lineRule="auto"/>
        <w:jc w:val="center"/>
        <w:rPr>
          <w:rFonts w:eastAsia="黑体"/>
          <w:sz w:val="20"/>
          <w:szCs w:val="20"/>
        </w:rPr>
      </w:pPr>
    </w:p>
    <w:p w14:paraId="7EB48328">
      <w:pPr>
        <w:spacing w:line="360" w:lineRule="auto"/>
        <w:rPr>
          <w:rFonts w:hint="eastAsia" w:ascii="宋体" w:hAnsi="宋体" w:cs="宋体"/>
          <w:sz w:val="24"/>
        </w:rPr>
      </w:pPr>
      <w:r>
        <w:rPr>
          <w:rFonts w:hint="eastAsia" w:ascii="宋体" w:hAnsi="宋体" w:cs="宋体"/>
          <w:sz w:val="24"/>
          <w:highlight w:val="white"/>
        </w:rPr>
        <w:t>注：（1）投标人应按照第二章“投标人须知”3.5.2提供相应年份的财务状况表扫描件，可以不含财务情况说明书。</w:t>
      </w:r>
    </w:p>
    <w:p w14:paraId="72925EA5">
      <w:pPr>
        <w:spacing w:line="360" w:lineRule="auto"/>
        <w:ind w:firstLine="480"/>
        <w:rPr>
          <w:rFonts w:hint="eastAsia" w:ascii="宋体" w:hAnsi="宋体" w:cs="宋体"/>
          <w:sz w:val="24"/>
        </w:rPr>
      </w:pPr>
      <w:r>
        <w:rPr>
          <w:rFonts w:hint="eastAsia" w:ascii="宋体" w:hAnsi="宋体" w:cs="宋体"/>
          <w:sz w:val="24"/>
          <w:highlight w:val="white"/>
        </w:rPr>
        <w:t>“近年财务状况表”分两种情况。例：招标文件开始下载的时间在6月1日以前的，若投标人须知前附表规定为“近3年”，“近3年”是指当年之前的3个年度或当年的上一年之前的3个年度。如某项目招标，招标文件开始下载的时间是2020年5 月1日，“近年财务状况表”是指 2017 年、2018 年、2019 年的财务状况，或 2016 年、2017 年、2018 年的财务状况，采用哪3个年度，由投标人选择；招标文件开始下载的时间在6 月 1 日以后（含6月1日）的，“近3 年”是指当年之前的3个年度，如某项目招标，招标文件开始下载的时间是 2020 年 6月5日，“近年财务状况表”是指 2017 年、2018 年、2019年的财务状况。投标人须知前附表规定的时间不足3年的，以此类推。</w:t>
      </w:r>
    </w:p>
    <w:p w14:paraId="44B820CE">
      <w:pPr>
        <w:spacing w:line="360" w:lineRule="auto"/>
        <w:ind w:firstLine="240" w:firstLineChars="100"/>
        <w:rPr>
          <w:rFonts w:hint="eastAsia" w:ascii="宋体" w:hAnsi="宋体" w:cs="宋体"/>
          <w:sz w:val="24"/>
        </w:rPr>
      </w:pPr>
      <w:r>
        <w:rPr>
          <w:rFonts w:hint="eastAsia" w:ascii="宋体" w:hAnsi="宋体" w:cs="宋体"/>
          <w:sz w:val="24"/>
          <w:highlight w:val="white"/>
        </w:rPr>
        <w:t>（</w:t>
      </w:r>
      <w:r>
        <w:rPr>
          <w:rFonts w:ascii="宋体" w:hAnsi="宋体" w:cs="宋体"/>
          <w:sz w:val="24"/>
          <w:highlight w:val="white"/>
        </w:rPr>
        <w:t>2</w:t>
      </w:r>
      <w:r>
        <w:rPr>
          <w:rFonts w:hint="eastAsia" w:ascii="宋体" w:hAnsi="宋体" w:cs="宋体"/>
          <w:sz w:val="24"/>
          <w:highlight w:val="white"/>
        </w:rPr>
        <w:t>）新设立企业只提供设立以来的财务状况表</w:t>
      </w:r>
      <w:r>
        <w:rPr>
          <w:rFonts w:ascii="宋体" w:hAnsi="宋体" w:cs="宋体"/>
          <w:sz w:val="24"/>
          <w:highlight w:val="white"/>
        </w:rPr>
        <w:t>,</w:t>
      </w:r>
      <w:r>
        <w:rPr>
          <w:rFonts w:hint="eastAsia" w:ascii="宋体" w:hAnsi="宋体" w:cs="宋体"/>
          <w:sz w:val="24"/>
          <w:highlight w:val="white"/>
        </w:rPr>
        <w:t>破产重整企业视为新设立企业。</w:t>
      </w:r>
    </w:p>
    <w:p w14:paraId="292663FC">
      <w:pPr>
        <w:spacing w:line="360" w:lineRule="auto"/>
        <w:ind w:firstLine="240" w:firstLineChars="100"/>
        <w:rPr>
          <w:rFonts w:hint="eastAsia" w:ascii="宋体" w:hAnsi="宋体" w:cs="宋体"/>
          <w:sz w:val="24"/>
        </w:rPr>
      </w:pPr>
      <w:r>
        <w:rPr>
          <w:rFonts w:hint="eastAsia" w:ascii="宋体" w:hAnsi="宋体" w:cs="宋体"/>
          <w:sz w:val="24"/>
          <w:highlight w:val="white"/>
        </w:rPr>
        <w:t>（3）若为联合体投标，所有成员单位均须提供。</w:t>
      </w:r>
    </w:p>
    <w:p w14:paraId="1D68F545">
      <w:pPr>
        <w:spacing w:line="360" w:lineRule="auto"/>
        <w:ind w:firstLine="240" w:firstLineChars="100"/>
        <w:rPr>
          <w:rFonts w:hint="eastAsia" w:ascii="宋体" w:hAnsi="宋体" w:cs="宋体"/>
          <w:sz w:val="24"/>
        </w:rPr>
      </w:pPr>
      <w:r>
        <w:rPr>
          <w:rFonts w:hint="eastAsia" w:ascii="宋体" w:hAnsi="宋体" w:cs="宋体"/>
          <w:sz w:val="24"/>
          <w:highlight w:val="white"/>
        </w:rPr>
        <w:t>（4）若无要求，无需填写。</w:t>
      </w:r>
    </w:p>
    <w:p w14:paraId="29F9B805">
      <w:pPr>
        <w:pStyle w:val="4"/>
        <w:pageBreakBefore/>
        <w:jc w:val="center"/>
        <w:rPr>
          <w:rFonts w:hint="eastAsia"/>
        </w:rPr>
      </w:pPr>
      <w:bookmarkStart w:id="253" w:name="_Toc256000361"/>
      <w:r>
        <w:rPr>
          <w:rFonts w:hint="eastAsia"/>
          <w:highlight w:val="white"/>
        </w:rPr>
        <w:t>（三）近年完成的类似项目情况表</w:t>
      </w:r>
      <w:bookmarkEnd w:id="253"/>
    </w:p>
    <w:p w14:paraId="699BE8AD">
      <w:pPr>
        <w:rPr>
          <w:rFonts w:hint="eastAsia"/>
          <w:u w:val="single"/>
        </w:rPr>
      </w:pPr>
      <w:r>
        <w:rPr>
          <w:rFonts w:hint="eastAsia" w:ascii="宋体" w:hAnsi="宋体"/>
          <w:szCs w:val="21"/>
          <w:highlight w:val="white"/>
        </w:rPr>
        <w:t>序号：</w:t>
      </w:r>
      <w:r>
        <w:rPr>
          <w:rFonts w:hint="eastAsia"/>
          <w:highlight w:val="white"/>
          <w:u w:val="single"/>
        </w:rPr>
        <w:t xml:space="preserve">            </w:t>
      </w:r>
    </w:p>
    <w:p w14:paraId="53168EDD">
      <w:pPr>
        <w:rPr>
          <w:rFonts w:hint="eastAsia"/>
          <w:u w:val="single"/>
        </w:rPr>
      </w:pPr>
    </w:p>
    <w:tbl>
      <w:tblPr>
        <w:tblStyle w:val="3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2075"/>
        <w:gridCol w:w="7301"/>
      </w:tblGrid>
      <w:tr w14:paraId="30CB81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342B48A7">
            <w:pPr>
              <w:spacing w:line="360" w:lineRule="auto"/>
              <w:jc w:val="center"/>
              <w:rPr>
                <w:rFonts w:hint="eastAsia" w:ascii="宋体" w:hAnsi="宋体"/>
                <w:szCs w:val="21"/>
              </w:rPr>
            </w:pPr>
            <w:r>
              <w:rPr>
                <w:rFonts w:hint="eastAsia" w:ascii="宋体" w:hAnsi="宋体"/>
                <w:szCs w:val="21"/>
                <w:highlight w:val="white"/>
              </w:rPr>
              <w:t>项目名称</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36D49F4A">
            <w:pPr>
              <w:spacing w:line="360" w:lineRule="auto"/>
              <w:jc w:val="center"/>
              <w:rPr>
                <w:rFonts w:ascii="宋体" w:hAnsi="宋体"/>
                <w:szCs w:val="21"/>
              </w:rPr>
            </w:pPr>
          </w:p>
        </w:tc>
      </w:tr>
      <w:tr w14:paraId="044905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47"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09CD6F8E">
            <w:pPr>
              <w:spacing w:line="360" w:lineRule="auto"/>
              <w:jc w:val="center"/>
              <w:rPr>
                <w:rFonts w:hint="eastAsia" w:ascii="宋体" w:hAnsi="宋体"/>
                <w:szCs w:val="21"/>
              </w:rPr>
            </w:pPr>
            <w:r>
              <w:rPr>
                <w:rFonts w:hint="eastAsia" w:ascii="宋体" w:hAnsi="宋体"/>
                <w:szCs w:val="21"/>
                <w:highlight w:val="white"/>
              </w:rPr>
              <w:t>项目所在地</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67F8AD4B">
            <w:pPr>
              <w:spacing w:line="360" w:lineRule="auto"/>
              <w:jc w:val="center"/>
              <w:rPr>
                <w:rFonts w:ascii="宋体" w:hAnsi="宋体"/>
                <w:szCs w:val="21"/>
              </w:rPr>
            </w:pPr>
          </w:p>
        </w:tc>
      </w:tr>
      <w:tr w14:paraId="77EE58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17"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43FDFE39">
            <w:pPr>
              <w:spacing w:line="360" w:lineRule="auto"/>
              <w:jc w:val="center"/>
              <w:rPr>
                <w:rFonts w:hint="eastAsia" w:ascii="宋体" w:hAnsi="宋体"/>
                <w:szCs w:val="21"/>
              </w:rPr>
            </w:pPr>
            <w:r>
              <w:rPr>
                <w:rFonts w:hint="eastAsia" w:ascii="宋体" w:hAnsi="宋体"/>
                <w:szCs w:val="21"/>
                <w:highlight w:val="white"/>
              </w:rPr>
              <w:t>发包人名称</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693B2747">
            <w:pPr>
              <w:spacing w:line="360" w:lineRule="auto"/>
              <w:jc w:val="center"/>
              <w:rPr>
                <w:rFonts w:ascii="宋体" w:hAnsi="宋体"/>
                <w:szCs w:val="21"/>
              </w:rPr>
            </w:pPr>
          </w:p>
        </w:tc>
      </w:tr>
      <w:tr w14:paraId="094FE5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62"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0535E9C8">
            <w:pPr>
              <w:spacing w:line="360" w:lineRule="auto"/>
              <w:jc w:val="center"/>
              <w:rPr>
                <w:rFonts w:hint="eastAsia" w:ascii="宋体" w:hAnsi="宋体"/>
                <w:szCs w:val="21"/>
              </w:rPr>
            </w:pPr>
            <w:r>
              <w:rPr>
                <w:rFonts w:hint="eastAsia" w:ascii="宋体" w:hAnsi="宋体"/>
                <w:szCs w:val="21"/>
                <w:highlight w:val="white"/>
              </w:rPr>
              <w:t>发包人地址</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13561C40">
            <w:pPr>
              <w:spacing w:line="360" w:lineRule="auto"/>
              <w:jc w:val="center"/>
              <w:rPr>
                <w:rFonts w:ascii="宋体" w:hAnsi="宋体"/>
                <w:szCs w:val="21"/>
              </w:rPr>
            </w:pPr>
          </w:p>
        </w:tc>
      </w:tr>
      <w:tr w14:paraId="703A78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384E37CC">
            <w:pPr>
              <w:spacing w:line="360" w:lineRule="auto"/>
              <w:jc w:val="center"/>
              <w:rPr>
                <w:rFonts w:hint="eastAsia" w:ascii="宋体" w:hAnsi="宋体"/>
                <w:szCs w:val="21"/>
              </w:rPr>
            </w:pPr>
            <w:r>
              <w:rPr>
                <w:rFonts w:hint="eastAsia" w:ascii="宋体" w:hAnsi="宋体"/>
                <w:szCs w:val="21"/>
                <w:highlight w:val="white"/>
              </w:rPr>
              <w:t>发包人电话</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2D940DD7">
            <w:pPr>
              <w:spacing w:line="360" w:lineRule="auto"/>
              <w:jc w:val="center"/>
              <w:rPr>
                <w:rFonts w:ascii="宋体" w:hAnsi="宋体"/>
                <w:szCs w:val="21"/>
              </w:rPr>
            </w:pPr>
          </w:p>
        </w:tc>
      </w:tr>
      <w:tr w14:paraId="1C980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33C9962E">
            <w:pPr>
              <w:spacing w:line="360" w:lineRule="auto"/>
              <w:jc w:val="center"/>
              <w:rPr>
                <w:rFonts w:hint="eastAsia" w:ascii="宋体" w:hAnsi="宋体"/>
                <w:szCs w:val="21"/>
              </w:rPr>
            </w:pPr>
            <w:r>
              <w:rPr>
                <w:rFonts w:hint="eastAsia" w:ascii="宋体" w:hAnsi="宋体"/>
                <w:szCs w:val="21"/>
                <w:highlight w:val="white"/>
              </w:rPr>
              <w:t>合同价格</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31A3BA0C">
            <w:pPr>
              <w:spacing w:line="360" w:lineRule="auto"/>
              <w:jc w:val="center"/>
              <w:rPr>
                <w:rFonts w:ascii="宋体" w:hAnsi="宋体"/>
                <w:szCs w:val="21"/>
              </w:rPr>
            </w:pPr>
          </w:p>
        </w:tc>
      </w:tr>
      <w:tr w14:paraId="31105A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58"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354DBFED">
            <w:pPr>
              <w:spacing w:line="360" w:lineRule="auto"/>
              <w:jc w:val="center"/>
              <w:rPr>
                <w:rFonts w:hint="eastAsia" w:ascii="宋体" w:hAnsi="宋体"/>
                <w:szCs w:val="21"/>
              </w:rPr>
            </w:pPr>
            <w:r>
              <w:rPr>
                <w:rFonts w:hint="eastAsia" w:ascii="宋体" w:hAnsi="宋体"/>
                <w:szCs w:val="21"/>
                <w:highlight w:val="white"/>
              </w:rPr>
              <w:t>设计（施工）服务期限（工期）</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30CC4AD3">
            <w:pPr>
              <w:spacing w:line="360" w:lineRule="auto"/>
              <w:jc w:val="center"/>
              <w:rPr>
                <w:rFonts w:ascii="宋体" w:hAnsi="宋体"/>
                <w:szCs w:val="21"/>
              </w:rPr>
            </w:pPr>
          </w:p>
        </w:tc>
      </w:tr>
      <w:tr w14:paraId="33D56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03"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79FB6722">
            <w:pPr>
              <w:spacing w:line="360" w:lineRule="auto"/>
              <w:jc w:val="center"/>
              <w:rPr>
                <w:rFonts w:hint="eastAsia" w:ascii="宋体" w:hAnsi="宋体"/>
                <w:szCs w:val="21"/>
              </w:rPr>
            </w:pPr>
            <w:r>
              <w:rPr>
                <w:rFonts w:hint="eastAsia" w:ascii="宋体" w:hAnsi="宋体"/>
                <w:szCs w:val="21"/>
                <w:highlight w:val="white"/>
              </w:rPr>
              <w:t>设计（施工）</w:t>
            </w:r>
          </w:p>
          <w:p w14:paraId="466A5421">
            <w:pPr>
              <w:spacing w:line="360" w:lineRule="auto"/>
              <w:jc w:val="center"/>
              <w:rPr>
                <w:rFonts w:hint="eastAsia" w:ascii="宋体" w:hAnsi="宋体"/>
                <w:szCs w:val="21"/>
              </w:rPr>
            </w:pPr>
            <w:r>
              <w:rPr>
                <w:rFonts w:hint="eastAsia" w:ascii="宋体" w:hAnsi="宋体"/>
                <w:szCs w:val="21"/>
                <w:highlight w:val="white"/>
              </w:rPr>
              <w:t>内容</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3BBA135F">
            <w:pPr>
              <w:spacing w:line="360" w:lineRule="auto"/>
              <w:rPr>
                <w:rFonts w:ascii="宋体" w:hAnsi="宋体"/>
                <w:szCs w:val="21"/>
              </w:rPr>
            </w:pPr>
          </w:p>
        </w:tc>
      </w:tr>
      <w:tr w14:paraId="44C23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77"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12CF41C1">
            <w:pPr>
              <w:spacing w:line="360" w:lineRule="auto"/>
              <w:jc w:val="center"/>
              <w:rPr>
                <w:rFonts w:hint="eastAsia" w:ascii="宋体" w:hAnsi="宋体"/>
                <w:szCs w:val="21"/>
              </w:rPr>
            </w:pPr>
            <w:r>
              <w:rPr>
                <w:rFonts w:hint="eastAsia" w:ascii="宋体" w:hAnsi="宋体"/>
                <w:szCs w:val="21"/>
                <w:highlight w:val="white"/>
              </w:rPr>
              <w:t>项目负责人</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1BA9D342">
            <w:pPr>
              <w:spacing w:line="360" w:lineRule="auto"/>
              <w:jc w:val="center"/>
              <w:rPr>
                <w:rFonts w:ascii="宋体" w:hAnsi="宋体"/>
                <w:szCs w:val="21"/>
              </w:rPr>
            </w:pPr>
          </w:p>
        </w:tc>
      </w:tr>
      <w:tr w14:paraId="6629A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87"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03BC21A1">
            <w:pPr>
              <w:spacing w:line="360" w:lineRule="auto"/>
              <w:jc w:val="center"/>
              <w:rPr>
                <w:rFonts w:hint="eastAsia" w:ascii="宋体" w:hAnsi="宋体"/>
                <w:szCs w:val="21"/>
              </w:rPr>
            </w:pPr>
            <w:r>
              <w:rPr>
                <w:rFonts w:hint="eastAsia" w:ascii="宋体" w:hAnsi="宋体"/>
                <w:szCs w:val="21"/>
                <w:highlight w:val="white"/>
              </w:rPr>
              <w:t>项目描述</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28133E23">
            <w:pPr>
              <w:spacing w:line="360" w:lineRule="auto"/>
              <w:jc w:val="center"/>
              <w:rPr>
                <w:rFonts w:ascii="宋体" w:hAnsi="宋体"/>
                <w:szCs w:val="21"/>
              </w:rPr>
            </w:pPr>
          </w:p>
        </w:tc>
      </w:tr>
      <w:tr w14:paraId="6140B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189C66EF">
            <w:pPr>
              <w:spacing w:line="360" w:lineRule="auto"/>
              <w:jc w:val="center"/>
              <w:rPr>
                <w:rFonts w:hint="eastAsia" w:ascii="宋体" w:hAnsi="宋体"/>
                <w:szCs w:val="21"/>
              </w:rPr>
            </w:pPr>
            <w:r>
              <w:rPr>
                <w:rFonts w:hint="eastAsia" w:ascii="宋体" w:hAnsi="宋体"/>
                <w:szCs w:val="21"/>
                <w:highlight w:val="white"/>
              </w:rPr>
              <w:t>备注</w:t>
            </w:r>
          </w:p>
        </w:tc>
        <w:tc>
          <w:tcPr>
            <w:tcW w:w="7301" w:type="dxa"/>
            <w:tcBorders>
              <w:top w:val="single" w:color="auto" w:sz="4" w:space="0"/>
              <w:left w:val="single" w:color="auto" w:sz="4" w:space="0"/>
              <w:bottom w:val="single" w:color="auto" w:sz="4" w:space="0"/>
              <w:right w:val="single" w:color="auto" w:sz="4" w:space="0"/>
            </w:tcBorders>
            <w:noWrap w:val="0"/>
            <w:vAlign w:val="center"/>
          </w:tcPr>
          <w:p w14:paraId="67A89FBB">
            <w:pPr>
              <w:spacing w:line="360" w:lineRule="auto"/>
              <w:jc w:val="center"/>
              <w:rPr>
                <w:rFonts w:ascii="宋体" w:hAnsi="宋体"/>
                <w:szCs w:val="21"/>
              </w:rPr>
            </w:pPr>
          </w:p>
        </w:tc>
      </w:tr>
    </w:tbl>
    <w:p w14:paraId="1730D672">
      <w:pPr>
        <w:spacing w:line="360" w:lineRule="auto"/>
        <w:rPr>
          <w:rFonts w:hint="eastAsia" w:ascii="宋体" w:hAnsi="宋体" w:cs="宋体"/>
          <w:sz w:val="24"/>
        </w:rPr>
      </w:pPr>
      <w:r>
        <w:rPr>
          <w:rFonts w:hint="eastAsia" w:ascii="宋体" w:hAnsi="宋体" w:cs="宋体"/>
          <w:sz w:val="24"/>
          <w:highlight w:val="white"/>
        </w:rPr>
        <w:t>注:（1）投标人应根据投标人须知第3.5.3项的要求在本表后附相关证明材料扫描件。</w:t>
      </w:r>
    </w:p>
    <w:p w14:paraId="7F3E48EA">
      <w:pPr>
        <w:spacing w:line="360" w:lineRule="auto"/>
        <w:ind w:firstLine="420" w:firstLineChars="175"/>
        <w:rPr>
          <w:rFonts w:hint="eastAsia" w:ascii="宋体" w:hAnsi="宋体" w:cs="宋体"/>
          <w:sz w:val="24"/>
        </w:rPr>
      </w:pPr>
      <w:r>
        <w:rPr>
          <w:rFonts w:hint="eastAsia" w:ascii="宋体" w:hAnsi="宋体" w:cs="宋体"/>
          <w:sz w:val="24"/>
          <w:highlight w:val="white"/>
        </w:rPr>
        <w:t>（2）类似项目业绩是指:详见资格条件及评标办法要求；</w:t>
      </w:r>
    </w:p>
    <w:p w14:paraId="60E220D3">
      <w:pPr>
        <w:spacing w:line="360" w:lineRule="auto"/>
        <w:ind w:firstLine="420" w:firstLineChars="175"/>
        <w:rPr>
          <w:rFonts w:hint="eastAsia" w:ascii="宋体" w:hAnsi="宋体" w:cs="宋体"/>
          <w:sz w:val="24"/>
        </w:rPr>
      </w:pPr>
      <w:r>
        <w:rPr>
          <w:rFonts w:hint="eastAsia" w:ascii="宋体" w:hAnsi="宋体" w:cs="宋体"/>
          <w:sz w:val="24"/>
          <w:highlight w:val="white"/>
        </w:rPr>
        <w:t>“近年完成的类似工程设计项目”应附合同协议书、发包人出具的证明文件，类似项目业绩时间以发包人出具的证明文件中载明的设计成果文件提交时间为准；</w:t>
      </w:r>
    </w:p>
    <w:p w14:paraId="6C8779CF">
      <w:pPr>
        <w:spacing w:line="360" w:lineRule="auto"/>
        <w:ind w:firstLine="420" w:firstLineChars="175"/>
        <w:rPr>
          <w:rFonts w:hint="eastAsia" w:ascii="宋体" w:hAnsi="宋体" w:cs="宋体"/>
          <w:sz w:val="24"/>
        </w:rPr>
      </w:pPr>
      <w:r>
        <w:rPr>
          <w:rFonts w:hint="eastAsia" w:ascii="宋体" w:hAnsi="宋体" w:cs="宋体"/>
          <w:sz w:val="24"/>
          <w:highlight w:val="white"/>
        </w:rPr>
        <w:t>“近年完成的类似施工项目”应附合同协议书、竣工验收证明材料（总承包工程是指竣工验收报告，专业承包工程是指专业工程竣工报告或专业工程验收表或发包人&lt;总承包人&gt;出具的证明文件等材料）。提供的业绩为总承包工程的，还须提供全国建筑市场监管公共服务平台(四库一平台)或四川省建筑市场监管公共服务平台（以下简称“两平台”）业绩信息网页截图，截图内容需确保截图页面内容完整清晰，且体现网站名称、查询网址等关键要素，至少包括“工程基本信息”中的“详细信息”（数据等级应为C级及以上），专业承包工程业绩无需提供“两平台”业绩信息网页截图。类似项目业绩时间以竣工验收证明材料上的竣工时间为准；</w:t>
      </w:r>
    </w:p>
    <w:p w14:paraId="428264D6">
      <w:pPr>
        <w:spacing w:line="360" w:lineRule="auto"/>
        <w:ind w:firstLine="420" w:firstLineChars="175"/>
        <w:rPr>
          <w:rFonts w:hint="eastAsia" w:ascii="宋体" w:hAnsi="宋体" w:cs="宋体"/>
          <w:sz w:val="24"/>
        </w:rPr>
      </w:pPr>
      <w:r>
        <w:rPr>
          <w:rFonts w:hint="eastAsia" w:ascii="宋体" w:hAnsi="宋体" w:cs="宋体"/>
          <w:sz w:val="24"/>
          <w:highlight w:val="white"/>
        </w:rPr>
        <w:t>“近年完成的类似工程总承包项目”应附合同协议书、竣工验收证明材料（工程总承包是指竣工验收报告，专业承包工程采用工程总承包方式的是指专业工程竣工报告或专业工程验收表或发包人&lt;总承包人&gt;出具的证明文件等材料）。提供的业绩为工程总承包的，还须提供全国建筑市场监管公共服务平台(四库一平台)或四川省建筑市场监管公共服务平台业绩信息网页截图，截图内容需确保截图页面内容完整清晰，且体现网站名称、查询网址等关键要素，至少包括“工程基本信息”中的“详细信息”（数据等级应为C级及以上），专业承包工程采用工程总承包方式的业绩无需提供“两平台”业绩信息网页截图。类似项目业绩时间以竣工验收证明材料上的竣工时间为准。类似工程总承包项目是指设计施工总承包项目或设计采购施工总承包项目（含勘察一并发包的项目）。</w:t>
      </w:r>
    </w:p>
    <w:p w14:paraId="2DACFA47">
      <w:pPr>
        <w:spacing w:line="360" w:lineRule="auto"/>
        <w:ind w:firstLine="420" w:firstLineChars="175"/>
        <w:rPr>
          <w:rFonts w:hint="eastAsia" w:ascii="宋体" w:hAnsi="宋体" w:cs="宋体"/>
          <w:sz w:val="24"/>
        </w:rPr>
      </w:pPr>
      <w:r>
        <w:rPr>
          <w:rFonts w:hint="eastAsia" w:ascii="宋体" w:hAnsi="宋体" w:cs="宋体"/>
          <w:sz w:val="24"/>
          <w:highlight w:val="white"/>
        </w:rPr>
        <w:t>（3）招标文件要求的类似项目业绩的建设规模或技术指标以合同协议书和除发包人（总承包人）出具的证明文件以外的竣工验收证明材料为准，若合同协议书和除发包人（总承包人）出具的证明文件以外的竣工验收证明材料无法体现招标文件要求的建设规模或技术指标的，则投标人还需提供发包人（总承包人）出具的证明文件。</w:t>
      </w:r>
    </w:p>
    <w:p w14:paraId="3D05ADA4">
      <w:pPr>
        <w:spacing w:line="360" w:lineRule="auto"/>
        <w:ind w:firstLine="480" w:firstLineChars="200"/>
        <w:rPr>
          <w:rFonts w:hint="eastAsia" w:ascii="宋体" w:hAnsi="宋体" w:cs="宋体"/>
          <w:sz w:val="24"/>
        </w:rPr>
      </w:pPr>
      <w:r>
        <w:rPr>
          <w:rFonts w:hint="eastAsia" w:ascii="宋体" w:hAnsi="宋体" w:cs="宋体"/>
          <w:sz w:val="24"/>
          <w:highlight w:val="white"/>
        </w:rPr>
        <w:t>（4）若无要求，无需填写。</w:t>
      </w:r>
    </w:p>
    <w:p w14:paraId="33BEA735">
      <w:pPr>
        <w:pStyle w:val="4"/>
        <w:pageBreakBefore/>
        <w:spacing w:line="360" w:lineRule="auto"/>
        <w:jc w:val="center"/>
      </w:pPr>
      <w:bookmarkStart w:id="254" w:name="_Toc256000362"/>
      <w:r>
        <w:rPr>
          <w:highlight w:val="white"/>
        </w:rPr>
        <w:t>（四）正在</w:t>
      </w:r>
      <w:r>
        <w:rPr>
          <w:rFonts w:hint="eastAsia"/>
          <w:highlight w:val="white"/>
        </w:rPr>
        <w:t>设计（施工实施工程总承包）</w:t>
      </w:r>
      <w:r>
        <w:rPr>
          <w:highlight w:val="white"/>
        </w:rPr>
        <w:t>和新承接的项目情况表</w:t>
      </w:r>
      <w:bookmarkEnd w:id="254"/>
    </w:p>
    <w:p w14:paraId="48FC6438">
      <w:r>
        <w:rPr>
          <w:rFonts w:hint="eastAsia" w:ascii="宋体" w:hAnsi="宋体"/>
          <w:szCs w:val="21"/>
          <w:highlight w:val="white"/>
        </w:rPr>
        <w:t>序号：</w:t>
      </w:r>
      <w:r>
        <w:rPr>
          <w:rFonts w:hint="eastAsia"/>
          <w:highlight w:val="white"/>
          <w:u w:val="single"/>
        </w:rPr>
        <w:t xml:space="preserve">            </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6107"/>
      </w:tblGrid>
      <w:tr w14:paraId="43F8B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35" w:hRule="atLeast"/>
        </w:trPr>
        <w:tc>
          <w:tcPr>
            <w:tcW w:w="2415" w:type="dxa"/>
            <w:noWrap w:val="0"/>
            <w:vAlign w:val="center"/>
          </w:tcPr>
          <w:p w14:paraId="0F4C4802">
            <w:pPr>
              <w:topLinePunct/>
              <w:spacing w:line="360" w:lineRule="auto"/>
              <w:jc w:val="center"/>
              <w:rPr>
                <w:szCs w:val="21"/>
              </w:rPr>
            </w:pPr>
            <w:r>
              <w:rPr>
                <w:szCs w:val="21"/>
                <w:highlight w:val="white"/>
              </w:rPr>
              <w:t>项目名称</w:t>
            </w:r>
          </w:p>
        </w:tc>
        <w:tc>
          <w:tcPr>
            <w:tcW w:w="6107" w:type="dxa"/>
            <w:noWrap w:val="0"/>
            <w:vAlign w:val="top"/>
          </w:tcPr>
          <w:p w14:paraId="3F448A5B">
            <w:pPr>
              <w:topLinePunct/>
              <w:spacing w:line="360" w:lineRule="auto"/>
              <w:rPr>
                <w:szCs w:val="21"/>
              </w:rPr>
            </w:pPr>
          </w:p>
        </w:tc>
      </w:tr>
      <w:tr w14:paraId="530C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16" w:hRule="atLeast"/>
        </w:trPr>
        <w:tc>
          <w:tcPr>
            <w:tcW w:w="2415" w:type="dxa"/>
            <w:noWrap w:val="0"/>
            <w:vAlign w:val="center"/>
          </w:tcPr>
          <w:p w14:paraId="45582B28">
            <w:pPr>
              <w:topLinePunct/>
              <w:spacing w:line="360" w:lineRule="auto"/>
              <w:jc w:val="center"/>
              <w:rPr>
                <w:szCs w:val="21"/>
              </w:rPr>
            </w:pPr>
            <w:r>
              <w:rPr>
                <w:szCs w:val="21"/>
                <w:highlight w:val="white"/>
              </w:rPr>
              <w:t>项目所在地</w:t>
            </w:r>
          </w:p>
        </w:tc>
        <w:tc>
          <w:tcPr>
            <w:tcW w:w="6107" w:type="dxa"/>
            <w:noWrap w:val="0"/>
            <w:vAlign w:val="top"/>
          </w:tcPr>
          <w:p w14:paraId="06FEE9AD">
            <w:pPr>
              <w:topLinePunct/>
              <w:spacing w:line="360" w:lineRule="auto"/>
              <w:rPr>
                <w:szCs w:val="21"/>
              </w:rPr>
            </w:pPr>
          </w:p>
        </w:tc>
      </w:tr>
      <w:tr w14:paraId="2D5D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4" w:hRule="atLeast"/>
        </w:trPr>
        <w:tc>
          <w:tcPr>
            <w:tcW w:w="2415" w:type="dxa"/>
            <w:noWrap w:val="0"/>
            <w:vAlign w:val="center"/>
          </w:tcPr>
          <w:p w14:paraId="7B0B0DCF">
            <w:pPr>
              <w:topLinePunct/>
              <w:spacing w:line="360" w:lineRule="auto"/>
              <w:jc w:val="center"/>
              <w:rPr>
                <w:szCs w:val="21"/>
              </w:rPr>
            </w:pPr>
            <w:r>
              <w:rPr>
                <w:szCs w:val="21"/>
                <w:highlight w:val="white"/>
              </w:rPr>
              <w:t>发包人名称</w:t>
            </w:r>
          </w:p>
        </w:tc>
        <w:tc>
          <w:tcPr>
            <w:tcW w:w="6107" w:type="dxa"/>
            <w:noWrap w:val="0"/>
            <w:vAlign w:val="top"/>
          </w:tcPr>
          <w:p w14:paraId="2F881E1D">
            <w:pPr>
              <w:topLinePunct/>
              <w:spacing w:line="360" w:lineRule="auto"/>
              <w:rPr>
                <w:szCs w:val="21"/>
              </w:rPr>
            </w:pPr>
          </w:p>
        </w:tc>
      </w:tr>
      <w:tr w14:paraId="7EC0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8" w:hRule="atLeast"/>
        </w:trPr>
        <w:tc>
          <w:tcPr>
            <w:tcW w:w="2415" w:type="dxa"/>
            <w:noWrap w:val="0"/>
            <w:vAlign w:val="center"/>
          </w:tcPr>
          <w:p w14:paraId="7E9F620E">
            <w:pPr>
              <w:topLinePunct/>
              <w:spacing w:line="360" w:lineRule="auto"/>
              <w:jc w:val="center"/>
              <w:rPr>
                <w:szCs w:val="21"/>
              </w:rPr>
            </w:pPr>
            <w:r>
              <w:rPr>
                <w:szCs w:val="21"/>
                <w:highlight w:val="white"/>
              </w:rPr>
              <w:t>发包人地址</w:t>
            </w:r>
          </w:p>
        </w:tc>
        <w:tc>
          <w:tcPr>
            <w:tcW w:w="6107" w:type="dxa"/>
            <w:noWrap w:val="0"/>
            <w:vAlign w:val="top"/>
          </w:tcPr>
          <w:p w14:paraId="6E32320F">
            <w:pPr>
              <w:topLinePunct/>
              <w:spacing w:line="360" w:lineRule="auto"/>
              <w:rPr>
                <w:szCs w:val="21"/>
              </w:rPr>
            </w:pPr>
          </w:p>
        </w:tc>
      </w:tr>
      <w:tr w14:paraId="0215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6" w:hRule="atLeast"/>
        </w:trPr>
        <w:tc>
          <w:tcPr>
            <w:tcW w:w="2415" w:type="dxa"/>
            <w:noWrap w:val="0"/>
            <w:vAlign w:val="center"/>
          </w:tcPr>
          <w:p w14:paraId="1A5FD169">
            <w:pPr>
              <w:topLinePunct/>
              <w:spacing w:line="360" w:lineRule="auto"/>
              <w:jc w:val="center"/>
              <w:rPr>
                <w:szCs w:val="21"/>
              </w:rPr>
            </w:pPr>
            <w:r>
              <w:rPr>
                <w:szCs w:val="21"/>
                <w:highlight w:val="white"/>
              </w:rPr>
              <w:t>发包人电话</w:t>
            </w:r>
          </w:p>
        </w:tc>
        <w:tc>
          <w:tcPr>
            <w:tcW w:w="6107" w:type="dxa"/>
            <w:noWrap w:val="0"/>
            <w:vAlign w:val="top"/>
          </w:tcPr>
          <w:p w14:paraId="2521DA6E">
            <w:pPr>
              <w:topLinePunct/>
              <w:spacing w:line="360" w:lineRule="auto"/>
              <w:rPr>
                <w:szCs w:val="21"/>
              </w:rPr>
            </w:pPr>
          </w:p>
        </w:tc>
      </w:tr>
      <w:tr w14:paraId="6CF4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0" w:hRule="atLeast"/>
        </w:trPr>
        <w:tc>
          <w:tcPr>
            <w:tcW w:w="2415" w:type="dxa"/>
            <w:noWrap w:val="0"/>
            <w:vAlign w:val="center"/>
          </w:tcPr>
          <w:p w14:paraId="25060E2C">
            <w:pPr>
              <w:topLinePunct/>
              <w:spacing w:line="360" w:lineRule="auto"/>
              <w:jc w:val="center"/>
              <w:rPr>
                <w:szCs w:val="21"/>
              </w:rPr>
            </w:pPr>
            <w:r>
              <w:rPr>
                <w:szCs w:val="21"/>
                <w:highlight w:val="white"/>
              </w:rPr>
              <w:t>签约合同价</w:t>
            </w:r>
          </w:p>
        </w:tc>
        <w:tc>
          <w:tcPr>
            <w:tcW w:w="6107" w:type="dxa"/>
            <w:noWrap w:val="0"/>
            <w:vAlign w:val="top"/>
          </w:tcPr>
          <w:p w14:paraId="1D753EC3">
            <w:pPr>
              <w:topLinePunct/>
              <w:spacing w:line="360" w:lineRule="auto"/>
              <w:rPr>
                <w:szCs w:val="21"/>
              </w:rPr>
            </w:pPr>
          </w:p>
        </w:tc>
      </w:tr>
      <w:tr w14:paraId="65A2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4" w:hRule="atLeast"/>
        </w:trPr>
        <w:tc>
          <w:tcPr>
            <w:tcW w:w="2415" w:type="dxa"/>
            <w:noWrap w:val="0"/>
            <w:vAlign w:val="center"/>
          </w:tcPr>
          <w:p w14:paraId="79B3476D">
            <w:pPr>
              <w:topLinePunct/>
              <w:spacing w:line="360" w:lineRule="auto"/>
              <w:jc w:val="center"/>
              <w:rPr>
                <w:szCs w:val="21"/>
              </w:rPr>
            </w:pPr>
            <w:r>
              <w:rPr>
                <w:szCs w:val="21"/>
                <w:highlight w:val="white"/>
              </w:rPr>
              <w:t>开工日期</w:t>
            </w:r>
          </w:p>
        </w:tc>
        <w:tc>
          <w:tcPr>
            <w:tcW w:w="6107" w:type="dxa"/>
            <w:noWrap w:val="0"/>
            <w:vAlign w:val="top"/>
          </w:tcPr>
          <w:p w14:paraId="464125AA">
            <w:pPr>
              <w:topLinePunct/>
              <w:spacing w:line="360" w:lineRule="auto"/>
              <w:rPr>
                <w:szCs w:val="21"/>
              </w:rPr>
            </w:pPr>
          </w:p>
        </w:tc>
      </w:tr>
      <w:tr w14:paraId="060A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27" w:hRule="atLeast"/>
        </w:trPr>
        <w:tc>
          <w:tcPr>
            <w:tcW w:w="2415" w:type="dxa"/>
            <w:noWrap w:val="0"/>
            <w:vAlign w:val="center"/>
          </w:tcPr>
          <w:p w14:paraId="369A280F">
            <w:pPr>
              <w:topLinePunct/>
              <w:spacing w:line="360" w:lineRule="auto"/>
              <w:jc w:val="center"/>
              <w:rPr>
                <w:szCs w:val="21"/>
              </w:rPr>
            </w:pPr>
            <w:r>
              <w:rPr>
                <w:szCs w:val="21"/>
                <w:highlight w:val="white"/>
              </w:rPr>
              <w:t>计划</w:t>
            </w:r>
            <w:r>
              <w:rPr>
                <w:rFonts w:hint="eastAsia"/>
                <w:highlight w:val="white"/>
              </w:rPr>
              <w:t>竣工</w:t>
            </w:r>
            <w:r>
              <w:rPr>
                <w:szCs w:val="21"/>
                <w:highlight w:val="white"/>
              </w:rPr>
              <w:t>日期</w:t>
            </w:r>
          </w:p>
        </w:tc>
        <w:tc>
          <w:tcPr>
            <w:tcW w:w="6107" w:type="dxa"/>
            <w:noWrap w:val="0"/>
            <w:vAlign w:val="top"/>
          </w:tcPr>
          <w:p w14:paraId="7DCB4C76">
            <w:pPr>
              <w:topLinePunct/>
              <w:spacing w:line="360" w:lineRule="auto"/>
              <w:rPr>
                <w:szCs w:val="21"/>
              </w:rPr>
            </w:pPr>
          </w:p>
        </w:tc>
      </w:tr>
      <w:tr w14:paraId="64D6D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17" w:hRule="atLeast"/>
        </w:trPr>
        <w:tc>
          <w:tcPr>
            <w:tcW w:w="2415" w:type="dxa"/>
            <w:noWrap w:val="0"/>
            <w:vAlign w:val="center"/>
          </w:tcPr>
          <w:p w14:paraId="18AB257C">
            <w:pPr>
              <w:topLinePunct/>
              <w:spacing w:line="360" w:lineRule="auto"/>
              <w:jc w:val="center"/>
              <w:rPr>
                <w:szCs w:val="21"/>
              </w:rPr>
            </w:pPr>
            <w:r>
              <w:rPr>
                <w:szCs w:val="21"/>
                <w:highlight w:val="white"/>
              </w:rPr>
              <w:t>承担的工作</w:t>
            </w:r>
          </w:p>
        </w:tc>
        <w:tc>
          <w:tcPr>
            <w:tcW w:w="6107" w:type="dxa"/>
            <w:noWrap w:val="0"/>
            <w:vAlign w:val="top"/>
          </w:tcPr>
          <w:p w14:paraId="353A37EF">
            <w:pPr>
              <w:topLinePunct/>
              <w:spacing w:line="360" w:lineRule="auto"/>
              <w:rPr>
                <w:szCs w:val="21"/>
              </w:rPr>
            </w:pPr>
          </w:p>
        </w:tc>
      </w:tr>
      <w:tr w14:paraId="75F8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15" w:hRule="atLeast"/>
        </w:trPr>
        <w:tc>
          <w:tcPr>
            <w:tcW w:w="2415" w:type="dxa"/>
            <w:noWrap w:val="0"/>
            <w:vAlign w:val="center"/>
          </w:tcPr>
          <w:p w14:paraId="6FC92183">
            <w:pPr>
              <w:topLinePunct/>
              <w:spacing w:line="360" w:lineRule="auto"/>
              <w:jc w:val="center"/>
              <w:rPr>
                <w:szCs w:val="21"/>
              </w:rPr>
            </w:pPr>
            <w:r>
              <w:rPr>
                <w:szCs w:val="21"/>
                <w:highlight w:val="white"/>
              </w:rPr>
              <w:t>工程质量</w:t>
            </w:r>
          </w:p>
        </w:tc>
        <w:tc>
          <w:tcPr>
            <w:tcW w:w="6107" w:type="dxa"/>
            <w:noWrap w:val="0"/>
            <w:vAlign w:val="top"/>
          </w:tcPr>
          <w:p w14:paraId="6EE116B9">
            <w:pPr>
              <w:topLinePunct/>
              <w:spacing w:line="360" w:lineRule="auto"/>
              <w:rPr>
                <w:szCs w:val="21"/>
              </w:rPr>
            </w:pPr>
          </w:p>
        </w:tc>
      </w:tr>
      <w:tr w14:paraId="7161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9" w:hRule="atLeast"/>
        </w:trPr>
        <w:tc>
          <w:tcPr>
            <w:tcW w:w="2415" w:type="dxa"/>
            <w:noWrap w:val="0"/>
            <w:vAlign w:val="center"/>
          </w:tcPr>
          <w:p w14:paraId="65B1ED51">
            <w:pPr>
              <w:topLinePunct/>
              <w:spacing w:line="360" w:lineRule="auto"/>
              <w:jc w:val="center"/>
              <w:rPr>
                <w:rFonts w:hint="eastAsia"/>
                <w:szCs w:val="21"/>
              </w:rPr>
            </w:pPr>
            <w:r>
              <w:rPr>
                <w:szCs w:val="21"/>
                <w:highlight w:val="white"/>
              </w:rPr>
              <w:t>项目经理</w:t>
            </w:r>
            <w:r>
              <w:rPr>
                <w:rFonts w:hint="eastAsia"/>
                <w:szCs w:val="21"/>
                <w:highlight w:val="white"/>
              </w:rPr>
              <w:t>（项目负责人）</w:t>
            </w:r>
          </w:p>
        </w:tc>
        <w:tc>
          <w:tcPr>
            <w:tcW w:w="6107" w:type="dxa"/>
            <w:noWrap w:val="0"/>
            <w:vAlign w:val="top"/>
          </w:tcPr>
          <w:p w14:paraId="77729BFD">
            <w:pPr>
              <w:topLinePunct/>
              <w:spacing w:line="360" w:lineRule="auto"/>
              <w:rPr>
                <w:szCs w:val="21"/>
              </w:rPr>
            </w:pPr>
          </w:p>
        </w:tc>
      </w:tr>
      <w:tr w14:paraId="7EA1E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235" w:hRule="atLeast"/>
        </w:trPr>
        <w:tc>
          <w:tcPr>
            <w:tcW w:w="2415" w:type="dxa"/>
            <w:noWrap w:val="0"/>
            <w:vAlign w:val="center"/>
          </w:tcPr>
          <w:p w14:paraId="5253FDCB">
            <w:pPr>
              <w:topLinePunct/>
              <w:spacing w:line="360" w:lineRule="auto"/>
              <w:jc w:val="center"/>
              <w:rPr>
                <w:szCs w:val="21"/>
              </w:rPr>
            </w:pPr>
            <w:r>
              <w:rPr>
                <w:szCs w:val="21"/>
                <w:highlight w:val="white"/>
              </w:rPr>
              <w:t>项目描述</w:t>
            </w:r>
          </w:p>
        </w:tc>
        <w:tc>
          <w:tcPr>
            <w:tcW w:w="6107" w:type="dxa"/>
            <w:noWrap w:val="0"/>
            <w:vAlign w:val="top"/>
          </w:tcPr>
          <w:p w14:paraId="494B0C45">
            <w:pPr>
              <w:topLinePunct/>
              <w:spacing w:line="360" w:lineRule="auto"/>
              <w:rPr>
                <w:szCs w:val="21"/>
              </w:rPr>
            </w:pPr>
          </w:p>
          <w:p w14:paraId="62213940">
            <w:pPr>
              <w:topLinePunct/>
              <w:spacing w:line="360" w:lineRule="auto"/>
              <w:rPr>
                <w:szCs w:val="21"/>
              </w:rPr>
            </w:pPr>
          </w:p>
          <w:p w14:paraId="62EC06A7">
            <w:pPr>
              <w:topLinePunct/>
              <w:spacing w:line="360" w:lineRule="auto"/>
              <w:rPr>
                <w:szCs w:val="21"/>
              </w:rPr>
            </w:pPr>
          </w:p>
        </w:tc>
      </w:tr>
      <w:tr w14:paraId="06CF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48" w:hRule="atLeast"/>
        </w:trPr>
        <w:tc>
          <w:tcPr>
            <w:tcW w:w="2415" w:type="dxa"/>
            <w:noWrap w:val="0"/>
            <w:vAlign w:val="center"/>
          </w:tcPr>
          <w:p w14:paraId="6DFBB556">
            <w:pPr>
              <w:topLinePunct/>
              <w:spacing w:line="360" w:lineRule="auto"/>
              <w:jc w:val="center"/>
              <w:rPr>
                <w:szCs w:val="21"/>
              </w:rPr>
            </w:pPr>
            <w:r>
              <w:rPr>
                <w:szCs w:val="21"/>
                <w:highlight w:val="white"/>
              </w:rPr>
              <w:t>备注</w:t>
            </w:r>
          </w:p>
        </w:tc>
        <w:tc>
          <w:tcPr>
            <w:tcW w:w="6107" w:type="dxa"/>
            <w:noWrap w:val="0"/>
            <w:vAlign w:val="top"/>
          </w:tcPr>
          <w:p w14:paraId="78078AB2">
            <w:pPr>
              <w:topLinePunct/>
              <w:spacing w:line="360" w:lineRule="auto"/>
              <w:rPr>
                <w:szCs w:val="21"/>
              </w:rPr>
            </w:pPr>
          </w:p>
        </w:tc>
      </w:tr>
    </w:tbl>
    <w:p w14:paraId="0952E95A">
      <w:pPr>
        <w:spacing w:line="360" w:lineRule="auto"/>
        <w:rPr>
          <w:rFonts w:hint="eastAsia" w:ascii="宋体" w:hAnsi="宋体" w:cs="宋体"/>
          <w:sz w:val="24"/>
        </w:rPr>
      </w:pPr>
      <w:r>
        <w:rPr>
          <w:rFonts w:hint="eastAsia" w:ascii="宋体" w:hAnsi="宋体" w:cs="宋体"/>
          <w:sz w:val="24"/>
          <w:highlight w:val="white"/>
        </w:rPr>
        <w:t>注:（1）投标人应根据投标人须知第3.5.4项的要求在本表后附相关证明材料扫描件。</w:t>
      </w:r>
    </w:p>
    <w:p w14:paraId="7E07830E">
      <w:pPr>
        <w:spacing w:line="360" w:lineRule="auto"/>
        <w:ind w:firstLine="360" w:firstLineChars="150"/>
        <w:rPr>
          <w:rFonts w:hint="eastAsia" w:ascii="宋体" w:hAnsi="宋体" w:cs="宋体"/>
          <w:sz w:val="24"/>
        </w:rPr>
      </w:pPr>
      <w:r>
        <w:rPr>
          <w:rFonts w:hint="eastAsia" w:ascii="宋体" w:hAnsi="宋体" w:cs="宋体"/>
          <w:sz w:val="24"/>
          <w:highlight w:val="white"/>
        </w:rPr>
        <w:t>（2）类似项目业绩是指:详见资格条件及评标办法要求，证明材料为合同协议书。类似项目业绩时间以合同协议书签订时间为准。</w:t>
      </w:r>
    </w:p>
    <w:p w14:paraId="0E563401">
      <w:pPr>
        <w:spacing w:line="360" w:lineRule="auto"/>
        <w:ind w:firstLine="480" w:firstLineChars="200"/>
        <w:rPr>
          <w:rFonts w:hint="eastAsia" w:ascii="宋体" w:hAnsi="宋体" w:cs="宋体"/>
          <w:sz w:val="24"/>
        </w:rPr>
      </w:pPr>
      <w:r>
        <w:rPr>
          <w:rFonts w:hint="eastAsia" w:ascii="宋体" w:hAnsi="宋体" w:cs="宋体"/>
          <w:sz w:val="24"/>
          <w:highlight w:val="white"/>
        </w:rPr>
        <w:t>（3）类似项目业绩的合同协议书无法体现招标文件要求的建设规模或技术指标的，则投标人还需在发包人出具的证明文件中予以明确。</w:t>
      </w:r>
      <w:r>
        <w:rPr>
          <w:rFonts w:hint="eastAsia" w:ascii="宋体" w:hAnsi="宋体" w:cs="宋体"/>
          <w:sz w:val="24"/>
          <w:highlight w:val="white"/>
        </w:rPr>
        <w:br w:type="textWrapping"/>
      </w:r>
      <w:r>
        <w:rPr>
          <w:rFonts w:hint="eastAsia" w:ascii="宋体" w:hAnsi="宋体" w:cs="宋体"/>
          <w:sz w:val="24"/>
          <w:highlight w:val="white"/>
        </w:rPr>
        <w:t xml:space="preserve">    （4）工程总承包是指设计施工总承包或设计采购施工总承包。</w:t>
      </w:r>
    </w:p>
    <w:p w14:paraId="049D4AD6">
      <w:pPr>
        <w:spacing w:line="360" w:lineRule="auto"/>
        <w:ind w:firstLine="480" w:firstLineChars="200"/>
        <w:rPr>
          <w:rFonts w:hint="eastAsia" w:ascii="宋体" w:hAnsi="宋体" w:cs="宋体"/>
          <w:sz w:val="24"/>
        </w:rPr>
      </w:pPr>
      <w:r>
        <w:rPr>
          <w:rFonts w:hint="eastAsia" w:ascii="宋体" w:hAnsi="宋体" w:cs="宋体"/>
          <w:sz w:val="24"/>
          <w:highlight w:val="white"/>
        </w:rPr>
        <w:t>（5）若无要求，无需填写。</w:t>
      </w:r>
    </w:p>
    <w:p w14:paraId="3C35C5AA">
      <w:pPr>
        <w:pStyle w:val="4"/>
        <w:spacing w:line="360" w:lineRule="auto"/>
        <w:jc w:val="center"/>
      </w:pPr>
      <w:bookmarkStart w:id="255" w:name="_Toc256000363"/>
      <w:r>
        <w:rPr>
          <w:highlight w:val="white"/>
        </w:rPr>
        <w:t>（五）近年发生的</w:t>
      </w:r>
      <w:r>
        <w:rPr>
          <w:rFonts w:hint="eastAsia"/>
          <w:highlight w:val="white"/>
        </w:rPr>
        <w:t>重大</w:t>
      </w:r>
      <w:r>
        <w:rPr>
          <w:highlight w:val="white"/>
        </w:rPr>
        <w:t>诉讼及仲裁情况</w:t>
      </w:r>
      <w:bookmarkEnd w:id="255"/>
    </w:p>
    <w:tbl>
      <w:tblPr>
        <w:tblStyle w:val="3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93"/>
        <w:gridCol w:w="1712"/>
        <w:gridCol w:w="2976"/>
        <w:gridCol w:w="2842"/>
      </w:tblGrid>
      <w:tr w14:paraId="0CB3FA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42" w:hRule="atLeast"/>
        </w:trPr>
        <w:tc>
          <w:tcPr>
            <w:tcW w:w="993" w:type="dxa"/>
            <w:noWrap w:val="0"/>
            <w:vAlign w:val="center"/>
          </w:tcPr>
          <w:p w14:paraId="169B1457">
            <w:pPr>
              <w:spacing w:line="36" w:lineRule="auto"/>
              <w:jc w:val="center"/>
              <w:rPr>
                <w:rFonts w:ascii="宋体" w:hAnsi="宋体"/>
                <w:sz w:val="24"/>
              </w:rPr>
            </w:pPr>
            <w:r>
              <w:rPr>
                <w:rFonts w:hint="eastAsia" w:ascii="宋体" w:hAnsi="宋体"/>
                <w:sz w:val="24"/>
                <w:highlight w:val="white"/>
              </w:rPr>
              <w:t>序号</w:t>
            </w:r>
          </w:p>
        </w:tc>
        <w:tc>
          <w:tcPr>
            <w:tcW w:w="1712" w:type="dxa"/>
            <w:noWrap w:val="0"/>
            <w:vAlign w:val="center"/>
          </w:tcPr>
          <w:p w14:paraId="79AC5DB3">
            <w:pPr>
              <w:spacing w:line="36" w:lineRule="auto"/>
              <w:jc w:val="center"/>
              <w:rPr>
                <w:rFonts w:ascii="宋体" w:hAnsi="宋体"/>
                <w:sz w:val="24"/>
              </w:rPr>
            </w:pPr>
            <w:r>
              <w:rPr>
                <w:rFonts w:hint="eastAsia" w:ascii="宋体" w:hAnsi="宋体"/>
                <w:sz w:val="24"/>
                <w:highlight w:val="white"/>
              </w:rPr>
              <w:t>案由</w:t>
            </w:r>
          </w:p>
        </w:tc>
        <w:tc>
          <w:tcPr>
            <w:tcW w:w="2976" w:type="dxa"/>
            <w:noWrap w:val="0"/>
            <w:vAlign w:val="center"/>
          </w:tcPr>
          <w:p w14:paraId="71EEFE47">
            <w:pPr>
              <w:spacing w:line="36" w:lineRule="auto"/>
              <w:jc w:val="center"/>
              <w:rPr>
                <w:rFonts w:ascii="宋体" w:hAnsi="宋体"/>
                <w:sz w:val="24"/>
              </w:rPr>
            </w:pPr>
            <w:r>
              <w:rPr>
                <w:rFonts w:hint="eastAsia" w:ascii="宋体" w:hAnsi="宋体"/>
                <w:sz w:val="24"/>
                <w:highlight w:val="white"/>
              </w:rPr>
              <w:t>双方当事人名称</w:t>
            </w:r>
          </w:p>
        </w:tc>
        <w:tc>
          <w:tcPr>
            <w:tcW w:w="2842" w:type="dxa"/>
            <w:noWrap w:val="0"/>
            <w:vAlign w:val="center"/>
          </w:tcPr>
          <w:p w14:paraId="7D103EDE">
            <w:pPr>
              <w:spacing w:line="36" w:lineRule="auto"/>
              <w:jc w:val="center"/>
              <w:rPr>
                <w:rFonts w:ascii="宋体" w:hAnsi="宋体"/>
                <w:sz w:val="24"/>
              </w:rPr>
            </w:pPr>
            <w:r>
              <w:rPr>
                <w:rFonts w:hint="eastAsia" w:ascii="宋体" w:hAnsi="宋体"/>
                <w:sz w:val="24"/>
                <w:highlight w:val="white"/>
              </w:rPr>
              <w:t>判决、裁决时间</w:t>
            </w:r>
          </w:p>
        </w:tc>
      </w:tr>
      <w:tr w14:paraId="736B9F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3" w:type="dxa"/>
            <w:noWrap w:val="0"/>
            <w:vAlign w:val="center"/>
          </w:tcPr>
          <w:p w14:paraId="21930215">
            <w:pPr>
              <w:spacing w:line="36" w:lineRule="auto"/>
              <w:jc w:val="center"/>
              <w:rPr>
                <w:rFonts w:ascii="宋体" w:hAnsi="宋体"/>
                <w:sz w:val="27"/>
              </w:rPr>
            </w:pPr>
            <w:r>
              <w:rPr>
                <w:rFonts w:hint="eastAsia" w:ascii="宋体" w:hAnsi="宋体"/>
                <w:sz w:val="27"/>
                <w:highlight w:val="white"/>
              </w:rPr>
              <w:t>1</w:t>
            </w:r>
          </w:p>
        </w:tc>
        <w:tc>
          <w:tcPr>
            <w:tcW w:w="1712" w:type="dxa"/>
            <w:noWrap w:val="0"/>
            <w:vAlign w:val="center"/>
          </w:tcPr>
          <w:p w14:paraId="3C832353">
            <w:pPr>
              <w:spacing w:line="36" w:lineRule="auto"/>
              <w:jc w:val="center"/>
              <w:rPr>
                <w:rFonts w:ascii="宋体" w:hAnsi="宋体"/>
                <w:sz w:val="27"/>
              </w:rPr>
            </w:pPr>
            <w:r>
              <w:rPr>
                <w:rFonts w:hint="eastAsia" w:ascii="宋体" w:hAnsi="宋体"/>
                <w:sz w:val="27"/>
                <w:highlight w:val="white"/>
              </w:rPr>
              <w:t>……</w:t>
            </w:r>
          </w:p>
        </w:tc>
        <w:tc>
          <w:tcPr>
            <w:tcW w:w="2976" w:type="dxa"/>
            <w:noWrap w:val="0"/>
            <w:vAlign w:val="center"/>
          </w:tcPr>
          <w:p w14:paraId="6AC728E2">
            <w:pPr>
              <w:spacing w:line="36" w:lineRule="auto"/>
              <w:jc w:val="center"/>
              <w:rPr>
                <w:rFonts w:ascii="宋体" w:hAnsi="宋体"/>
                <w:sz w:val="27"/>
              </w:rPr>
            </w:pPr>
            <w:r>
              <w:rPr>
                <w:rFonts w:hint="eastAsia" w:ascii="宋体" w:hAnsi="宋体"/>
                <w:sz w:val="27"/>
                <w:highlight w:val="white"/>
              </w:rPr>
              <w:t>……</w:t>
            </w:r>
          </w:p>
        </w:tc>
        <w:tc>
          <w:tcPr>
            <w:tcW w:w="2842" w:type="dxa"/>
            <w:noWrap w:val="0"/>
            <w:vAlign w:val="center"/>
          </w:tcPr>
          <w:p w14:paraId="20E52C01">
            <w:pPr>
              <w:spacing w:line="36" w:lineRule="auto"/>
              <w:jc w:val="center"/>
              <w:rPr>
                <w:rFonts w:ascii="宋体" w:hAnsi="宋体"/>
                <w:sz w:val="27"/>
              </w:rPr>
            </w:pPr>
            <w:r>
              <w:rPr>
                <w:rFonts w:hint="eastAsia" w:ascii="宋体" w:hAnsi="宋体"/>
                <w:sz w:val="27"/>
                <w:highlight w:val="white"/>
              </w:rPr>
              <w:t>……</w:t>
            </w:r>
          </w:p>
        </w:tc>
      </w:tr>
      <w:tr w14:paraId="55887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3" w:type="dxa"/>
            <w:noWrap w:val="0"/>
            <w:vAlign w:val="center"/>
          </w:tcPr>
          <w:p w14:paraId="3F3BBBFC">
            <w:pPr>
              <w:spacing w:line="36" w:lineRule="auto"/>
              <w:jc w:val="center"/>
              <w:rPr>
                <w:rFonts w:ascii="宋体" w:hAnsi="宋体"/>
                <w:sz w:val="27"/>
              </w:rPr>
            </w:pPr>
            <w:r>
              <w:rPr>
                <w:rFonts w:hint="eastAsia" w:ascii="宋体" w:hAnsi="宋体"/>
                <w:sz w:val="27"/>
                <w:highlight w:val="white"/>
              </w:rPr>
              <w:t>……</w:t>
            </w:r>
          </w:p>
        </w:tc>
        <w:tc>
          <w:tcPr>
            <w:tcW w:w="1712" w:type="dxa"/>
            <w:noWrap w:val="0"/>
            <w:vAlign w:val="center"/>
          </w:tcPr>
          <w:p w14:paraId="127584E6">
            <w:pPr>
              <w:spacing w:line="36" w:lineRule="auto"/>
              <w:jc w:val="center"/>
              <w:rPr>
                <w:rFonts w:ascii="宋体" w:hAnsi="宋体"/>
                <w:sz w:val="27"/>
              </w:rPr>
            </w:pPr>
            <w:r>
              <w:rPr>
                <w:rFonts w:hint="eastAsia" w:ascii="宋体" w:hAnsi="宋体"/>
                <w:sz w:val="27"/>
                <w:highlight w:val="white"/>
              </w:rPr>
              <w:t>……</w:t>
            </w:r>
          </w:p>
        </w:tc>
        <w:tc>
          <w:tcPr>
            <w:tcW w:w="2976" w:type="dxa"/>
            <w:noWrap w:val="0"/>
            <w:vAlign w:val="center"/>
          </w:tcPr>
          <w:p w14:paraId="33170B6F">
            <w:pPr>
              <w:spacing w:line="36" w:lineRule="auto"/>
              <w:jc w:val="center"/>
              <w:rPr>
                <w:rFonts w:ascii="宋体" w:hAnsi="宋体"/>
                <w:sz w:val="27"/>
              </w:rPr>
            </w:pPr>
            <w:r>
              <w:rPr>
                <w:rFonts w:hint="eastAsia" w:ascii="宋体" w:hAnsi="宋体"/>
                <w:sz w:val="27"/>
                <w:highlight w:val="white"/>
              </w:rPr>
              <w:t>……</w:t>
            </w:r>
          </w:p>
        </w:tc>
        <w:tc>
          <w:tcPr>
            <w:tcW w:w="2842" w:type="dxa"/>
            <w:noWrap w:val="0"/>
            <w:vAlign w:val="center"/>
          </w:tcPr>
          <w:p w14:paraId="65CC10CD">
            <w:pPr>
              <w:spacing w:line="36" w:lineRule="auto"/>
              <w:jc w:val="center"/>
              <w:rPr>
                <w:rFonts w:ascii="宋体" w:hAnsi="宋体"/>
                <w:sz w:val="27"/>
              </w:rPr>
            </w:pPr>
            <w:r>
              <w:rPr>
                <w:rFonts w:hint="eastAsia" w:ascii="宋体" w:hAnsi="宋体"/>
                <w:sz w:val="27"/>
                <w:highlight w:val="white"/>
              </w:rPr>
              <w:t>……</w:t>
            </w:r>
          </w:p>
        </w:tc>
      </w:tr>
      <w:tr w14:paraId="3F684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3" w:type="dxa"/>
            <w:noWrap w:val="0"/>
            <w:vAlign w:val="center"/>
          </w:tcPr>
          <w:p w14:paraId="5D5C5EE8">
            <w:pPr>
              <w:spacing w:line="36" w:lineRule="auto"/>
              <w:jc w:val="center"/>
              <w:rPr>
                <w:rFonts w:ascii="宋体" w:hAnsi="宋体"/>
                <w:sz w:val="27"/>
              </w:rPr>
            </w:pPr>
            <w:r>
              <w:rPr>
                <w:rFonts w:hint="eastAsia" w:ascii="宋体" w:hAnsi="宋体"/>
                <w:sz w:val="27"/>
                <w:highlight w:val="white"/>
              </w:rPr>
              <w:t>……</w:t>
            </w:r>
          </w:p>
        </w:tc>
        <w:tc>
          <w:tcPr>
            <w:tcW w:w="1712" w:type="dxa"/>
            <w:noWrap w:val="0"/>
            <w:vAlign w:val="center"/>
          </w:tcPr>
          <w:p w14:paraId="3F17A90E">
            <w:pPr>
              <w:spacing w:line="36" w:lineRule="auto"/>
              <w:jc w:val="center"/>
              <w:rPr>
                <w:rFonts w:ascii="宋体" w:hAnsi="宋体"/>
                <w:sz w:val="27"/>
              </w:rPr>
            </w:pPr>
            <w:r>
              <w:rPr>
                <w:rFonts w:hint="eastAsia" w:ascii="宋体" w:hAnsi="宋体"/>
                <w:sz w:val="27"/>
                <w:highlight w:val="white"/>
              </w:rPr>
              <w:t>……</w:t>
            </w:r>
          </w:p>
        </w:tc>
        <w:tc>
          <w:tcPr>
            <w:tcW w:w="2976" w:type="dxa"/>
            <w:noWrap w:val="0"/>
            <w:vAlign w:val="center"/>
          </w:tcPr>
          <w:p w14:paraId="05BDD4BA">
            <w:pPr>
              <w:spacing w:line="36" w:lineRule="auto"/>
              <w:jc w:val="center"/>
              <w:rPr>
                <w:rFonts w:ascii="宋体" w:hAnsi="宋体"/>
                <w:sz w:val="27"/>
              </w:rPr>
            </w:pPr>
            <w:r>
              <w:rPr>
                <w:rFonts w:hint="eastAsia" w:ascii="宋体" w:hAnsi="宋体"/>
                <w:sz w:val="27"/>
                <w:highlight w:val="white"/>
              </w:rPr>
              <w:t>……</w:t>
            </w:r>
          </w:p>
        </w:tc>
        <w:tc>
          <w:tcPr>
            <w:tcW w:w="2842" w:type="dxa"/>
            <w:noWrap w:val="0"/>
            <w:vAlign w:val="center"/>
          </w:tcPr>
          <w:p w14:paraId="2AADA5F4">
            <w:pPr>
              <w:spacing w:line="36" w:lineRule="auto"/>
              <w:jc w:val="center"/>
              <w:rPr>
                <w:rFonts w:ascii="宋体" w:hAnsi="宋体"/>
                <w:sz w:val="27"/>
              </w:rPr>
            </w:pPr>
            <w:r>
              <w:rPr>
                <w:rFonts w:hint="eastAsia" w:ascii="宋体" w:hAnsi="宋体"/>
                <w:sz w:val="27"/>
                <w:highlight w:val="white"/>
              </w:rPr>
              <w:t>……</w:t>
            </w:r>
          </w:p>
        </w:tc>
      </w:tr>
    </w:tbl>
    <w:p w14:paraId="69A5C01B">
      <w:pPr>
        <w:spacing w:line="360" w:lineRule="auto"/>
        <w:ind w:firstLine="360" w:firstLineChars="150"/>
        <w:rPr>
          <w:rFonts w:hint="eastAsia" w:ascii="宋体" w:hAnsi="宋体" w:cs="宋体"/>
          <w:sz w:val="24"/>
        </w:rPr>
      </w:pPr>
      <w:r>
        <w:rPr>
          <w:rFonts w:hint="eastAsia" w:ascii="宋体" w:hAnsi="宋体" w:cs="宋体"/>
          <w:sz w:val="24"/>
          <w:highlight w:val="white"/>
        </w:rPr>
        <w:t>注： （1）本表为调查表，填写投标人认为可能影响其履约能力的诉讼、仲裁情况，并按投标人须知第3.5.5项的要求在本表后附相关证明材料扫描件。</w:t>
      </w:r>
    </w:p>
    <w:p w14:paraId="3345A04E">
      <w:pPr>
        <w:spacing w:line="360" w:lineRule="auto"/>
        <w:ind w:firstLine="1080" w:firstLineChars="450"/>
      </w:pPr>
      <w:r>
        <w:rPr>
          <w:rFonts w:hint="eastAsia" w:ascii="宋体" w:hAnsi="宋体" w:cs="宋体"/>
          <w:sz w:val="24"/>
          <w:highlight w:val="white"/>
        </w:rPr>
        <w:t>（2）诉讼、仲裁的起算时间为法院或仲裁机构作出的判决、裁决文书的时间。</w:t>
      </w:r>
    </w:p>
    <w:p w14:paraId="7F33C601">
      <w:pPr>
        <w:spacing w:line="360" w:lineRule="auto"/>
        <w:ind w:firstLine="1080" w:firstLineChars="450"/>
        <w:rPr>
          <w:rFonts w:hint="eastAsia"/>
        </w:rPr>
      </w:pPr>
      <w:r>
        <w:rPr>
          <w:rFonts w:hint="eastAsia" w:ascii="宋体" w:hAnsi="宋体" w:cs="宋体"/>
          <w:sz w:val="24"/>
          <w:highlight w:val="white"/>
        </w:rPr>
        <w:t>（3）若为联合体投标，所有成员单位均须提供。</w:t>
      </w:r>
    </w:p>
    <w:p w14:paraId="62573536">
      <w:pPr>
        <w:spacing w:line="360" w:lineRule="auto"/>
        <w:ind w:firstLine="480"/>
        <w:rPr>
          <w:rFonts w:hint="eastAsia"/>
        </w:rPr>
      </w:pPr>
      <w:r>
        <w:rPr>
          <w:rFonts w:hint="eastAsia"/>
          <w:highlight w:val="white"/>
        </w:rPr>
        <w:br w:type="page"/>
      </w:r>
    </w:p>
    <w:p w14:paraId="3BA916EF">
      <w:pPr>
        <w:pStyle w:val="4"/>
        <w:spacing w:line="360" w:lineRule="auto"/>
        <w:jc w:val="center"/>
        <w:rPr>
          <w:sz w:val="20"/>
          <w:szCs w:val="20"/>
        </w:rPr>
      </w:pPr>
      <w:bookmarkStart w:id="256" w:name="_Toc256000364"/>
      <w:r>
        <w:rPr>
          <w:rFonts w:hint="eastAsia"/>
          <w:highlight w:val="white"/>
        </w:rPr>
        <w:t>（六）</w:t>
      </w:r>
      <w:r>
        <w:rPr>
          <w:highlight w:val="white"/>
        </w:rPr>
        <w:t>拟投入本</w:t>
      </w:r>
      <w:r>
        <w:rPr>
          <w:rFonts w:hint="eastAsia"/>
          <w:highlight w:val="white"/>
        </w:rPr>
        <w:t>项目</w:t>
      </w:r>
      <w:r>
        <w:rPr>
          <w:highlight w:val="white"/>
        </w:rPr>
        <w:t>的主要施工设备表</w:t>
      </w:r>
      <w:bookmarkEnd w:id="256"/>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5728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center"/>
          </w:tcPr>
          <w:p w14:paraId="0F0AD2A3">
            <w:pPr>
              <w:spacing w:line="360" w:lineRule="auto"/>
              <w:rPr>
                <w:szCs w:val="21"/>
              </w:rPr>
            </w:pPr>
            <w:r>
              <w:rPr>
                <w:szCs w:val="21"/>
                <w:highlight w:val="white"/>
              </w:rPr>
              <w:t>序号</w:t>
            </w:r>
          </w:p>
        </w:tc>
        <w:tc>
          <w:tcPr>
            <w:tcW w:w="1086" w:type="dxa"/>
            <w:noWrap w:val="0"/>
            <w:vAlign w:val="center"/>
          </w:tcPr>
          <w:p w14:paraId="162D3C25">
            <w:pPr>
              <w:spacing w:line="360" w:lineRule="auto"/>
              <w:jc w:val="center"/>
              <w:rPr>
                <w:szCs w:val="21"/>
              </w:rPr>
            </w:pPr>
            <w:r>
              <w:rPr>
                <w:szCs w:val="21"/>
                <w:highlight w:val="white"/>
              </w:rPr>
              <w:t>设备名称</w:t>
            </w:r>
          </w:p>
        </w:tc>
        <w:tc>
          <w:tcPr>
            <w:tcW w:w="761" w:type="dxa"/>
            <w:noWrap w:val="0"/>
            <w:vAlign w:val="center"/>
          </w:tcPr>
          <w:p w14:paraId="4C2203EC">
            <w:pPr>
              <w:spacing w:line="360" w:lineRule="auto"/>
              <w:jc w:val="center"/>
              <w:rPr>
                <w:szCs w:val="21"/>
              </w:rPr>
            </w:pPr>
            <w:r>
              <w:rPr>
                <w:szCs w:val="21"/>
                <w:highlight w:val="white"/>
              </w:rPr>
              <w:t>型号</w:t>
            </w:r>
          </w:p>
          <w:p w14:paraId="1EC0880C">
            <w:pPr>
              <w:spacing w:line="360" w:lineRule="auto"/>
              <w:jc w:val="center"/>
              <w:rPr>
                <w:szCs w:val="21"/>
              </w:rPr>
            </w:pPr>
            <w:r>
              <w:rPr>
                <w:szCs w:val="21"/>
                <w:highlight w:val="white"/>
              </w:rPr>
              <w:t>规格</w:t>
            </w:r>
          </w:p>
        </w:tc>
        <w:tc>
          <w:tcPr>
            <w:tcW w:w="990" w:type="dxa"/>
            <w:noWrap w:val="0"/>
            <w:vAlign w:val="center"/>
          </w:tcPr>
          <w:p w14:paraId="63C53B36">
            <w:pPr>
              <w:spacing w:line="360" w:lineRule="auto"/>
              <w:jc w:val="center"/>
              <w:rPr>
                <w:szCs w:val="21"/>
              </w:rPr>
            </w:pPr>
            <w:r>
              <w:rPr>
                <w:szCs w:val="21"/>
                <w:highlight w:val="white"/>
              </w:rPr>
              <w:t>数量</w:t>
            </w:r>
          </w:p>
        </w:tc>
        <w:tc>
          <w:tcPr>
            <w:tcW w:w="672" w:type="dxa"/>
            <w:noWrap w:val="0"/>
            <w:vAlign w:val="center"/>
          </w:tcPr>
          <w:p w14:paraId="20DBD542">
            <w:pPr>
              <w:spacing w:line="360" w:lineRule="auto"/>
              <w:jc w:val="center"/>
              <w:rPr>
                <w:szCs w:val="21"/>
              </w:rPr>
            </w:pPr>
            <w:r>
              <w:rPr>
                <w:szCs w:val="21"/>
                <w:highlight w:val="white"/>
              </w:rPr>
              <w:t>国别</w:t>
            </w:r>
          </w:p>
          <w:p w14:paraId="459F0E81">
            <w:pPr>
              <w:spacing w:line="360" w:lineRule="auto"/>
              <w:jc w:val="center"/>
              <w:rPr>
                <w:szCs w:val="21"/>
              </w:rPr>
            </w:pPr>
            <w:r>
              <w:rPr>
                <w:szCs w:val="21"/>
                <w:highlight w:val="white"/>
              </w:rPr>
              <w:t>产地</w:t>
            </w:r>
          </w:p>
        </w:tc>
        <w:tc>
          <w:tcPr>
            <w:tcW w:w="738" w:type="dxa"/>
            <w:noWrap w:val="0"/>
            <w:vAlign w:val="center"/>
          </w:tcPr>
          <w:p w14:paraId="0995277E">
            <w:pPr>
              <w:spacing w:line="360" w:lineRule="auto"/>
              <w:jc w:val="center"/>
              <w:rPr>
                <w:szCs w:val="21"/>
              </w:rPr>
            </w:pPr>
            <w:r>
              <w:rPr>
                <w:szCs w:val="21"/>
                <w:highlight w:val="white"/>
              </w:rPr>
              <w:t>制造</w:t>
            </w:r>
          </w:p>
          <w:p w14:paraId="0F774C66">
            <w:pPr>
              <w:spacing w:line="360" w:lineRule="auto"/>
              <w:jc w:val="center"/>
              <w:rPr>
                <w:szCs w:val="21"/>
              </w:rPr>
            </w:pPr>
            <w:r>
              <w:rPr>
                <w:szCs w:val="21"/>
                <w:highlight w:val="white"/>
              </w:rPr>
              <w:t>年份</w:t>
            </w:r>
          </w:p>
        </w:tc>
        <w:tc>
          <w:tcPr>
            <w:tcW w:w="1212" w:type="dxa"/>
            <w:noWrap w:val="0"/>
            <w:vAlign w:val="center"/>
          </w:tcPr>
          <w:p w14:paraId="164704F7">
            <w:pPr>
              <w:spacing w:line="360" w:lineRule="auto"/>
              <w:jc w:val="center"/>
              <w:rPr>
                <w:szCs w:val="21"/>
              </w:rPr>
            </w:pPr>
            <w:r>
              <w:rPr>
                <w:szCs w:val="21"/>
                <w:highlight w:val="white"/>
              </w:rPr>
              <w:t>额定功率（</w:t>
            </w:r>
            <w:r>
              <w:rPr>
                <w:rFonts w:hint="eastAsia"/>
                <w:szCs w:val="21"/>
                <w:highlight w:val="white"/>
              </w:rPr>
              <w:t>k</w:t>
            </w:r>
            <w:r>
              <w:rPr>
                <w:szCs w:val="21"/>
                <w:highlight w:val="white"/>
              </w:rPr>
              <w:t>W）</w:t>
            </w:r>
          </w:p>
        </w:tc>
        <w:tc>
          <w:tcPr>
            <w:tcW w:w="874" w:type="dxa"/>
            <w:noWrap w:val="0"/>
            <w:vAlign w:val="center"/>
          </w:tcPr>
          <w:p w14:paraId="0AE6F192">
            <w:pPr>
              <w:spacing w:line="360" w:lineRule="auto"/>
              <w:jc w:val="center"/>
              <w:rPr>
                <w:szCs w:val="21"/>
              </w:rPr>
            </w:pPr>
            <w:r>
              <w:rPr>
                <w:szCs w:val="21"/>
                <w:highlight w:val="white"/>
              </w:rPr>
              <w:t>生产</w:t>
            </w:r>
          </w:p>
          <w:p w14:paraId="25A7C7EE">
            <w:pPr>
              <w:spacing w:line="360" w:lineRule="auto"/>
              <w:jc w:val="center"/>
              <w:rPr>
                <w:szCs w:val="21"/>
              </w:rPr>
            </w:pPr>
            <w:r>
              <w:rPr>
                <w:szCs w:val="21"/>
                <w:highlight w:val="white"/>
              </w:rPr>
              <w:t>能力</w:t>
            </w:r>
          </w:p>
        </w:tc>
        <w:tc>
          <w:tcPr>
            <w:tcW w:w="1055" w:type="dxa"/>
            <w:noWrap w:val="0"/>
            <w:vAlign w:val="center"/>
          </w:tcPr>
          <w:p w14:paraId="12496F5E">
            <w:pPr>
              <w:spacing w:line="360" w:lineRule="auto"/>
              <w:jc w:val="center"/>
              <w:rPr>
                <w:szCs w:val="21"/>
              </w:rPr>
            </w:pPr>
            <w:r>
              <w:rPr>
                <w:szCs w:val="21"/>
                <w:highlight w:val="white"/>
              </w:rPr>
              <w:t>用于施工部位</w:t>
            </w:r>
          </w:p>
        </w:tc>
        <w:tc>
          <w:tcPr>
            <w:tcW w:w="691" w:type="dxa"/>
            <w:noWrap w:val="0"/>
            <w:vAlign w:val="center"/>
          </w:tcPr>
          <w:p w14:paraId="42262416">
            <w:pPr>
              <w:spacing w:line="360" w:lineRule="auto"/>
              <w:jc w:val="center"/>
              <w:rPr>
                <w:szCs w:val="21"/>
              </w:rPr>
            </w:pPr>
            <w:r>
              <w:rPr>
                <w:szCs w:val="21"/>
                <w:highlight w:val="white"/>
              </w:rPr>
              <w:t>备注</w:t>
            </w:r>
          </w:p>
        </w:tc>
      </w:tr>
      <w:tr w14:paraId="448D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center"/>
          </w:tcPr>
          <w:p w14:paraId="7A04C31C">
            <w:pPr>
              <w:spacing w:line="360" w:lineRule="auto"/>
              <w:jc w:val="center"/>
              <w:rPr>
                <w:szCs w:val="21"/>
              </w:rPr>
            </w:pPr>
          </w:p>
        </w:tc>
        <w:tc>
          <w:tcPr>
            <w:tcW w:w="1086" w:type="dxa"/>
            <w:noWrap w:val="0"/>
            <w:vAlign w:val="center"/>
          </w:tcPr>
          <w:p w14:paraId="2C13AA83">
            <w:pPr>
              <w:spacing w:line="360" w:lineRule="auto"/>
              <w:jc w:val="center"/>
              <w:rPr>
                <w:szCs w:val="21"/>
              </w:rPr>
            </w:pPr>
          </w:p>
        </w:tc>
        <w:tc>
          <w:tcPr>
            <w:tcW w:w="761" w:type="dxa"/>
            <w:noWrap w:val="0"/>
            <w:vAlign w:val="center"/>
          </w:tcPr>
          <w:p w14:paraId="72A58B24">
            <w:pPr>
              <w:spacing w:line="360" w:lineRule="auto"/>
              <w:jc w:val="center"/>
              <w:rPr>
                <w:szCs w:val="21"/>
              </w:rPr>
            </w:pPr>
          </w:p>
        </w:tc>
        <w:tc>
          <w:tcPr>
            <w:tcW w:w="990" w:type="dxa"/>
            <w:noWrap w:val="0"/>
            <w:vAlign w:val="center"/>
          </w:tcPr>
          <w:p w14:paraId="62D7D71E">
            <w:pPr>
              <w:spacing w:line="360" w:lineRule="auto"/>
              <w:jc w:val="center"/>
              <w:rPr>
                <w:szCs w:val="21"/>
              </w:rPr>
            </w:pPr>
          </w:p>
        </w:tc>
        <w:tc>
          <w:tcPr>
            <w:tcW w:w="672" w:type="dxa"/>
            <w:noWrap w:val="0"/>
            <w:vAlign w:val="center"/>
          </w:tcPr>
          <w:p w14:paraId="49F92098">
            <w:pPr>
              <w:spacing w:line="360" w:lineRule="auto"/>
              <w:jc w:val="center"/>
              <w:rPr>
                <w:szCs w:val="21"/>
              </w:rPr>
            </w:pPr>
          </w:p>
        </w:tc>
        <w:tc>
          <w:tcPr>
            <w:tcW w:w="738" w:type="dxa"/>
            <w:noWrap w:val="0"/>
            <w:vAlign w:val="center"/>
          </w:tcPr>
          <w:p w14:paraId="36490F04">
            <w:pPr>
              <w:spacing w:line="360" w:lineRule="auto"/>
              <w:jc w:val="center"/>
              <w:rPr>
                <w:szCs w:val="21"/>
              </w:rPr>
            </w:pPr>
          </w:p>
        </w:tc>
        <w:tc>
          <w:tcPr>
            <w:tcW w:w="1212" w:type="dxa"/>
            <w:noWrap w:val="0"/>
            <w:vAlign w:val="center"/>
          </w:tcPr>
          <w:p w14:paraId="3C78C69E">
            <w:pPr>
              <w:spacing w:line="360" w:lineRule="auto"/>
              <w:jc w:val="center"/>
              <w:rPr>
                <w:szCs w:val="21"/>
              </w:rPr>
            </w:pPr>
          </w:p>
        </w:tc>
        <w:tc>
          <w:tcPr>
            <w:tcW w:w="874" w:type="dxa"/>
            <w:noWrap w:val="0"/>
            <w:vAlign w:val="center"/>
          </w:tcPr>
          <w:p w14:paraId="2F00A777">
            <w:pPr>
              <w:spacing w:line="360" w:lineRule="auto"/>
              <w:jc w:val="center"/>
              <w:rPr>
                <w:szCs w:val="21"/>
              </w:rPr>
            </w:pPr>
          </w:p>
        </w:tc>
        <w:tc>
          <w:tcPr>
            <w:tcW w:w="1055" w:type="dxa"/>
            <w:noWrap w:val="0"/>
            <w:vAlign w:val="center"/>
          </w:tcPr>
          <w:p w14:paraId="3903F0EE">
            <w:pPr>
              <w:spacing w:line="360" w:lineRule="auto"/>
              <w:jc w:val="center"/>
              <w:rPr>
                <w:szCs w:val="21"/>
              </w:rPr>
            </w:pPr>
          </w:p>
        </w:tc>
        <w:tc>
          <w:tcPr>
            <w:tcW w:w="691" w:type="dxa"/>
            <w:noWrap w:val="0"/>
            <w:vAlign w:val="center"/>
          </w:tcPr>
          <w:p w14:paraId="340B40FC">
            <w:pPr>
              <w:spacing w:line="360" w:lineRule="auto"/>
              <w:jc w:val="center"/>
              <w:rPr>
                <w:szCs w:val="21"/>
              </w:rPr>
            </w:pPr>
          </w:p>
        </w:tc>
      </w:tr>
      <w:tr w14:paraId="12AC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center"/>
          </w:tcPr>
          <w:p w14:paraId="1B507710">
            <w:pPr>
              <w:spacing w:line="360" w:lineRule="auto"/>
              <w:jc w:val="center"/>
              <w:rPr>
                <w:szCs w:val="21"/>
              </w:rPr>
            </w:pPr>
          </w:p>
        </w:tc>
        <w:tc>
          <w:tcPr>
            <w:tcW w:w="1086" w:type="dxa"/>
            <w:noWrap w:val="0"/>
            <w:vAlign w:val="center"/>
          </w:tcPr>
          <w:p w14:paraId="72083F8C">
            <w:pPr>
              <w:spacing w:line="360" w:lineRule="auto"/>
              <w:jc w:val="center"/>
              <w:rPr>
                <w:szCs w:val="21"/>
              </w:rPr>
            </w:pPr>
          </w:p>
        </w:tc>
        <w:tc>
          <w:tcPr>
            <w:tcW w:w="761" w:type="dxa"/>
            <w:noWrap w:val="0"/>
            <w:vAlign w:val="center"/>
          </w:tcPr>
          <w:p w14:paraId="2C35319F">
            <w:pPr>
              <w:spacing w:line="360" w:lineRule="auto"/>
              <w:jc w:val="center"/>
              <w:rPr>
                <w:szCs w:val="21"/>
              </w:rPr>
            </w:pPr>
          </w:p>
        </w:tc>
        <w:tc>
          <w:tcPr>
            <w:tcW w:w="990" w:type="dxa"/>
            <w:noWrap w:val="0"/>
            <w:vAlign w:val="center"/>
          </w:tcPr>
          <w:p w14:paraId="592B4983">
            <w:pPr>
              <w:spacing w:line="360" w:lineRule="auto"/>
              <w:jc w:val="center"/>
              <w:rPr>
                <w:szCs w:val="21"/>
              </w:rPr>
            </w:pPr>
          </w:p>
        </w:tc>
        <w:tc>
          <w:tcPr>
            <w:tcW w:w="672" w:type="dxa"/>
            <w:noWrap w:val="0"/>
            <w:vAlign w:val="center"/>
          </w:tcPr>
          <w:p w14:paraId="3DF0B1A0">
            <w:pPr>
              <w:spacing w:line="360" w:lineRule="auto"/>
              <w:jc w:val="center"/>
              <w:rPr>
                <w:szCs w:val="21"/>
              </w:rPr>
            </w:pPr>
          </w:p>
        </w:tc>
        <w:tc>
          <w:tcPr>
            <w:tcW w:w="738" w:type="dxa"/>
            <w:noWrap w:val="0"/>
            <w:vAlign w:val="center"/>
          </w:tcPr>
          <w:p w14:paraId="565C4401">
            <w:pPr>
              <w:spacing w:line="360" w:lineRule="auto"/>
              <w:jc w:val="center"/>
              <w:rPr>
                <w:szCs w:val="21"/>
              </w:rPr>
            </w:pPr>
          </w:p>
        </w:tc>
        <w:tc>
          <w:tcPr>
            <w:tcW w:w="1212" w:type="dxa"/>
            <w:noWrap w:val="0"/>
            <w:vAlign w:val="center"/>
          </w:tcPr>
          <w:p w14:paraId="1666E2CF">
            <w:pPr>
              <w:spacing w:line="360" w:lineRule="auto"/>
              <w:jc w:val="center"/>
              <w:rPr>
                <w:szCs w:val="21"/>
              </w:rPr>
            </w:pPr>
          </w:p>
        </w:tc>
        <w:tc>
          <w:tcPr>
            <w:tcW w:w="874" w:type="dxa"/>
            <w:noWrap w:val="0"/>
            <w:vAlign w:val="center"/>
          </w:tcPr>
          <w:p w14:paraId="34883183">
            <w:pPr>
              <w:spacing w:line="360" w:lineRule="auto"/>
              <w:jc w:val="center"/>
              <w:rPr>
                <w:szCs w:val="21"/>
              </w:rPr>
            </w:pPr>
          </w:p>
        </w:tc>
        <w:tc>
          <w:tcPr>
            <w:tcW w:w="1055" w:type="dxa"/>
            <w:noWrap w:val="0"/>
            <w:vAlign w:val="center"/>
          </w:tcPr>
          <w:p w14:paraId="38FF84F3">
            <w:pPr>
              <w:spacing w:line="360" w:lineRule="auto"/>
              <w:jc w:val="center"/>
              <w:rPr>
                <w:szCs w:val="21"/>
              </w:rPr>
            </w:pPr>
          </w:p>
        </w:tc>
        <w:tc>
          <w:tcPr>
            <w:tcW w:w="691" w:type="dxa"/>
            <w:noWrap w:val="0"/>
            <w:vAlign w:val="center"/>
          </w:tcPr>
          <w:p w14:paraId="56E28283">
            <w:pPr>
              <w:spacing w:line="360" w:lineRule="auto"/>
              <w:jc w:val="center"/>
              <w:rPr>
                <w:szCs w:val="21"/>
              </w:rPr>
            </w:pPr>
          </w:p>
        </w:tc>
      </w:tr>
      <w:tr w14:paraId="6783D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15AE58F">
            <w:pPr>
              <w:spacing w:line="360" w:lineRule="auto"/>
              <w:jc w:val="center"/>
              <w:rPr>
                <w:szCs w:val="21"/>
              </w:rPr>
            </w:pPr>
          </w:p>
        </w:tc>
        <w:tc>
          <w:tcPr>
            <w:tcW w:w="1086" w:type="dxa"/>
            <w:noWrap w:val="0"/>
            <w:vAlign w:val="top"/>
          </w:tcPr>
          <w:p w14:paraId="2D5355FB">
            <w:pPr>
              <w:spacing w:line="360" w:lineRule="auto"/>
              <w:jc w:val="center"/>
              <w:rPr>
                <w:szCs w:val="21"/>
              </w:rPr>
            </w:pPr>
          </w:p>
        </w:tc>
        <w:tc>
          <w:tcPr>
            <w:tcW w:w="761" w:type="dxa"/>
            <w:noWrap w:val="0"/>
            <w:vAlign w:val="top"/>
          </w:tcPr>
          <w:p w14:paraId="193FA437">
            <w:pPr>
              <w:spacing w:line="360" w:lineRule="auto"/>
              <w:jc w:val="center"/>
              <w:rPr>
                <w:szCs w:val="21"/>
              </w:rPr>
            </w:pPr>
          </w:p>
        </w:tc>
        <w:tc>
          <w:tcPr>
            <w:tcW w:w="990" w:type="dxa"/>
            <w:noWrap w:val="0"/>
            <w:vAlign w:val="top"/>
          </w:tcPr>
          <w:p w14:paraId="668C00B6">
            <w:pPr>
              <w:spacing w:line="360" w:lineRule="auto"/>
              <w:jc w:val="center"/>
              <w:rPr>
                <w:szCs w:val="21"/>
              </w:rPr>
            </w:pPr>
          </w:p>
        </w:tc>
        <w:tc>
          <w:tcPr>
            <w:tcW w:w="672" w:type="dxa"/>
            <w:noWrap w:val="0"/>
            <w:vAlign w:val="top"/>
          </w:tcPr>
          <w:p w14:paraId="191B83AF">
            <w:pPr>
              <w:spacing w:line="360" w:lineRule="auto"/>
              <w:jc w:val="center"/>
              <w:rPr>
                <w:szCs w:val="21"/>
              </w:rPr>
            </w:pPr>
          </w:p>
        </w:tc>
        <w:tc>
          <w:tcPr>
            <w:tcW w:w="738" w:type="dxa"/>
            <w:noWrap w:val="0"/>
            <w:vAlign w:val="top"/>
          </w:tcPr>
          <w:p w14:paraId="475B19C6">
            <w:pPr>
              <w:spacing w:line="360" w:lineRule="auto"/>
              <w:jc w:val="center"/>
              <w:rPr>
                <w:szCs w:val="21"/>
              </w:rPr>
            </w:pPr>
          </w:p>
        </w:tc>
        <w:tc>
          <w:tcPr>
            <w:tcW w:w="1212" w:type="dxa"/>
            <w:noWrap w:val="0"/>
            <w:vAlign w:val="top"/>
          </w:tcPr>
          <w:p w14:paraId="363722E5">
            <w:pPr>
              <w:spacing w:line="360" w:lineRule="auto"/>
              <w:jc w:val="center"/>
              <w:rPr>
                <w:szCs w:val="21"/>
              </w:rPr>
            </w:pPr>
          </w:p>
        </w:tc>
        <w:tc>
          <w:tcPr>
            <w:tcW w:w="874" w:type="dxa"/>
            <w:noWrap w:val="0"/>
            <w:vAlign w:val="top"/>
          </w:tcPr>
          <w:p w14:paraId="532F26B0">
            <w:pPr>
              <w:spacing w:line="360" w:lineRule="auto"/>
              <w:jc w:val="center"/>
              <w:rPr>
                <w:szCs w:val="21"/>
              </w:rPr>
            </w:pPr>
          </w:p>
        </w:tc>
        <w:tc>
          <w:tcPr>
            <w:tcW w:w="1055" w:type="dxa"/>
            <w:noWrap w:val="0"/>
            <w:vAlign w:val="top"/>
          </w:tcPr>
          <w:p w14:paraId="74ED026A">
            <w:pPr>
              <w:spacing w:line="360" w:lineRule="auto"/>
              <w:jc w:val="center"/>
              <w:rPr>
                <w:szCs w:val="21"/>
              </w:rPr>
            </w:pPr>
          </w:p>
        </w:tc>
        <w:tc>
          <w:tcPr>
            <w:tcW w:w="691" w:type="dxa"/>
            <w:noWrap w:val="0"/>
            <w:vAlign w:val="top"/>
          </w:tcPr>
          <w:p w14:paraId="45EE2ADC">
            <w:pPr>
              <w:spacing w:line="360" w:lineRule="auto"/>
              <w:jc w:val="center"/>
              <w:rPr>
                <w:szCs w:val="21"/>
              </w:rPr>
            </w:pPr>
          </w:p>
        </w:tc>
      </w:tr>
      <w:tr w14:paraId="5117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745EB1FB">
            <w:pPr>
              <w:spacing w:line="360" w:lineRule="auto"/>
              <w:jc w:val="center"/>
              <w:rPr>
                <w:szCs w:val="21"/>
              </w:rPr>
            </w:pPr>
          </w:p>
        </w:tc>
        <w:tc>
          <w:tcPr>
            <w:tcW w:w="1086" w:type="dxa"/>
            <w:noWrap w:val="0"/>
            <w:vAlign w:val="top"/>
          </w:tcPr>
          <w:p w14:paraId="23EA2A6B">
            <w:pPr>
              <w:spacing w:line="360" w:lineRule="auto"/>
              <w:jc w:val="center"/>
              <w:rPr>
                <w:szCs w:val="21"/>
              </w:rPr>
            </w:pPr>
          </w:p>
        </w:tc>
        <w:tc>
          <w:tcPr>
            <w:tcW w:w="761" w:type="dxa"/>
            <w:noWrap w:val="0"/>
            <w:vAlign w:val="top"/>
          </w:tcPr>
          <w:p w14:paraId="744179BF">
            <w:pPr>
              <w:spacing w:line="360" w:lineRule="auto"/>
              <w:jc w:val="center"/>
              <w:rPr>
                <w:szCs w:val="21"/>
              </w:rPr>
            </w:pPr>
          </w:p>
        </w:tc>
        <w:tc>
          <w:tcPr>
            <w:tcW w:w="990" w:type="dxa"/>
            <w:noWrap w:val="0"/>
            <w:vAlign w:val="top"/>
          </w:tcPr>
          <w:p w14:paraId="43D3CD97">
            <w:pPr>
              <w:spacing w:line="360" w:lineRule="auto"/>
              <w:jc w:val="center"/>
              <w:rPr>
                <w:szCs w:val="21"/>
              </w:rPr>
            </w:pPr>
          </w:p>
        </w:tc>
        <w:tc>
          <w:tcPr>
            <w:tcW w:w="672" w:type="dxa"/>
            <w:noWrap w:val="0"/>
            <w:vAlign w:val="top"/>
          </w:tcPr>
          <w:p w14:paraId="5C779BA2">
            <w:pPr>
              <w:spacing w:line="360" w:lineRule="auto"/>
              <w:jc w:val="center"/>
              <w:rPr>
                <w:szCs w:val="21"/>
              </w:rPr>
            </w:pPr>
          </w:p>
        </w:tc>
        <w:tc>
          <w:tcPr>
            <w:tcW w:w="738" w:type="dxa"/>
            <w:noWrap w:val="0"/>
            <w:vAlign w:val="top"/>
          </w:tcPr>
          <w:p w14:paraId="536297F2">
            <w:pPr>
              <w:spacing w:line="360" w:lineRule="auto"/>
              <w:jc w:val="center"/>
              <w:rPr>
                <w:szCs w:val="21"/>
              </w:rPr>
            </w:pPr>
          </w:p>
        </w:tc>
        <w:tc>
          <w:tcPr>
            <w:tcW w:w="1212" w:type="dxa"/>
            <w:noWrap w:val="0"/>
            <w:vAlign w:val="top"/>
          </w:tcPr>
          <w:p w14:paraId="0AA025FD">
            <w:pPr>
              <w:spacing w:line="360" w:lineRule="auto"/>
              <w:jc w:val="center"/>
              <w:rPr>
                <w:szCs w:val="21"/>
              </w:rPr>
            </w:pPr>
          </w:p>
        </w:tc>
        <w:tc>
          <w:tcPr>
            <w:tcW w:w="874" w:type="dxa"/>
            <w:noWrap w:val="0"/>
            <w:vAlign w:val="top"/>
          </w:tcPr>
          <w:p w14:paraId="7400A695">
            <w:pPr>
              <w:spacing w:line="360" w:lineRule="auto"/>
              <w:jc w:val="center"/>
              <w:rPr>
                <w:szCs w:val="21"/>
              </w:rPr>
            </w:pPr>
          </w:p>
        </w:tc>
        <w:tc>
          <w:tcPr>
            <w:tcW w:w="1055" w:type="dxa"/>
            <w:noWrap w:val="0"/>
            <w:vAlign w:val="top"/>
          </w:tcPr>
          <w:p w14:paraId="1ED20A8B">
            <w:pPr>
              <w:spacing w:line="360" w:lineRule="auto"/>
              <w:jc w:val="center"/>
              <w:rPr>
                <w:szCs w:val="21"/>
              </w:rPr>
            </w:pPr>
          </w:p>
        </w:tc>
        <w:tc>
          <w:tcPr>
            <w:tcW w:w="691" w:type="dxa"/>
            <w:noWrap w:val="0"/>
            <w:vAlign w:val="top"/>
          </w:tcPr>
          <w:p w14:paraId="30417BFB">
            <w:pPr>
              <w:spacing w:line="360" w:lineRule="auto"/>
              <w:jc w:val="center"/>
              <w:rPr>
                <w:szCs w:val="21"/>
              </w:rPr>
            </w:pPr>
          </w:p>
        </w:tc>
      </w:tr>
      <w:tr w14:paraId="7FC6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5E3B2673">
            <w:pPr>
              <w:spacing w:line="360" w:lineRule="auto"/>
              <w:jc w:val="center"/>
              <w:rPr>
                <w:szCs w:val="21"/>
              </w:rPr>
            </w:pPr>
          </w:p>
        </w:tc>
        <w:tc>
          <w:tcPr>
            <w:tcW w:w="1086" w:type="dxa"/>
            <w:noWrap w:val="0"/>
            <w:vAlign w:val="top"/>
          </w:tcPr>
          <w:p w14:paraId="4610C1D4">
            <w:pPr>
              <w:spacing w:line="360" w:lineRule="auto"/>
              <w:jc w:val="center"/>
              <w:rPr>
                <w:szCs w:val="21"/>
              </w:rPr>
            </w:pPr>
          </w:p>
        </w:tc>
        <w:tc>
          <w:tcPr>
            <w:tcW w:w="761" w:type="dxa"/>
            <w:noWrap w:val="0"/>
            <w:vAlign w:val="top"/>
          </w:tcPr>
          <w:p w14:paraId="595DDEC7">
            <w:pPr>
              <w:spacing w:line="360" w:lineRule="auto"/>
              <w:jc w:val="center"/>
              <w:rPr>
                <w:szCs w:val="21"/>
              </w:rPr>
            </w:pPr>
          </w:p>
        </w:tc>
        <w:tc>
          <w:tcPr>
            <w:tcW w:w="990" w:type="dxa"/>
            <w:noWrap w:val="0"/>
            <w:vAlign w:val="top"/>
          </w:tcPr>
          <w:p w14:paraId="5A828D30">
            <w:pPr>
              <w:spacing w:line="360" w:lineRule="auto"/>
              <w:jc w:val="center"/>
              <w:rPr>
                <w:szCs w:val="21"/>
              </w:rPr>
            </w:pPr>
          </w:p>
        </w:tc>
        <w:tc>
          <w:tcPr>
            <w:tcW w:w="672" w:type="dxa"/>
            <w:noWrap w:val="0"/>
            <w:vAlign w:val="top"/>
          </w:tcPr>
          <w:p w14:paraId="63D65CB7">
            <w:pPr>
              <w:spacing w:line="360" w:lineRule="auto"/>
              <w:jc w:val="center"/>
              <w:rPr>
                <w:szCs w:val="21"/>
              </w:rPr>
            </w:pPr>
          </w:p>
        </w:tc>
        <w:tc>
          <w:tcPr>
            <w:tcW w:w="738" w:type="dxa"/>
            <w:noWrap w:val="0"/>
            <w:vAlign w:val="top"/>
          </w:tcPr>
          <w:p w14:paraId="1D4DF8B5">
            <w:pPr>
              <w:spacing w:line="360" w:lineRule="auto"/>
              <w:jc w:val="center"/>
              <w:rPr>
                <w:szCs w:val="21"/>
              </w:rPr>
            </w:pPr>
          </w:p>
        </w:tc>
        <w:tc>
          <w:tcPr>
            <w:tcW w:w="1212" w:type="dxa"/>
            <w:noWrap w:val="0"/>
            <w:vAlign w:val="top"/>
          </w:tcPr>
          <w:p w14:paraId="6C9D0DE1">
            <w:pPr>
              <w:spacing w:line="360" w:lineRule="auto"/>
              <w:jc w:val="center"/>
              <w:rPr>
                <w:szCs w:val="21"/>
              </w:rPr>
            </w:pPr>
          </w:p>
        </w:tc>
        <w:tc>
          <w:tcPr>
            <w:tcW w:w="874" w:type="dxa"/>
            <w:noWrap w:val="0"/>
            <w:vAlign w:val="top"/>
          </w:tcPr>
          <w:p w14:paraId="7F74544D">
            <w:pPr>
              <w:spacing w:line="360" w:lineRule="auto"/>
              <w:jc w:val="center"/>
              <w:rPr>
                <w:szCs w:val="21"/>
              </w:rPr>
            </w:pPr>
          </w:p>
        </w:tc>
        <w:tc>
          <w:tcPr>
            <w:tcW w:w="1055" w:type="dxa"/>
            <w:noWrap w:val="0"/>
            <w:vAlign w:val="top"/>
          </w:tcPr>
          <w:p w14:paraId="1E37DFE1">
            <w:pPr>
              <w:spacing w:line="360" w:lineRule="auto"/>
              <w:jc w:val="center"/>
              <w:rPr>
                <w:szCs w:val="21"/>
              </w:rPr>
            </w:pPr>
          </w:p>
        </w:tc>
        <w:tc>
          <w:tcPr>
            <w:tcW w:w="691" w:type="dxa"/>
            <w:noWrap w:val="0"/>
            <w:vAlign w:val="top"/>
          </w:tcPr>
          <w:p w14:paraId="3AA456C1">
            <w:pPr>
              <w:spacing w:line="360" w:lineRule="auto"/>
              <w:jc w:val="center"/>
              <w:rPr>
                <w:szCs w:val="21"/>
              </w:rPr>
            </w:pPr>
          </w:p>
        </w:tc>
      </w:tr>
      <w:tr w14:paraId="58B13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5473422A">
            <w:pPr>
              <w:spacing w:line="360" w:lineRule="auto"/>
              <w:jc w:val="center"/>
              <w:rPr>
                <w:szCs w:val="21"/>
              </w:rPr>
            </w:pPr>
          </w:p>
        </w:tc>
        <w:tc>
          <w:tcPr>
            <w:tcW w:w="1086" w:type="dxa"/>
            <w:noWrap w:val="0"/>
            <w:vAlign w:val="top"/>
          </w:tcPr>
          <w:p w14:paraId="3B8D6774">
            <w:pPr>
              <w:spacing w:line="360" w:lineRule="auto"/>
              <w:jc w:val="center"/>
              <w:rPr>
                <w:szCs w:val="21"/>
              </w:rPr>
            </w:pPr>
          </w:p>
        </w:tc>
        <w:tc>
          <w:tcPr>
            <w:tcW w:w="761" w:type="dxa"/>
            <w:noWrap w:val="0"/>
            <w:vAlign w:val="top"/>
          </w:tcPr>
          <w:p w14:paraId="1D60310B">
            <w:pPr>
              <w:spacing w:line="360" w:lineRule="auto"/>
              <w:jc w:val="center"/>
              <w:rPr>
                <w:szCs w:val="21"/>
              </w:rPr>
            </w:pPr>
          </w:p>
        </w:tc>
        <w:tc>
          <w:tcPr>
            <w:tcW w:w="990" w:type="dxa"/>
            <w:noWrap w:val="0"/>
            <w:vAlign w:val="top"/>
          </w:tcPr>
          <w:p w14:paraId="30BF8061">
            <w:pPr>
              <w:spacing w:line="360" w:lineRule="auto"/>
              <w:jc w:val="center"/>
              <w:rPr>
                <w:szCs w:val="21"/>
              </w:rPr>
            </w:pPr>
          </w:p>
        </w:tc>
        <w:tc>
          <w:tcPr>
            <w:tcW w:w="672" w:type="dxa"/>
            <w:noWrap w:val="0"/>
            <w:vAlign w:val="top"/>
          </w:tcPr>
          <w:p w14:paraId="1FDF3D37">
            <w:pPr>
              <w:spacing w:line="360" w:lineRule="auto"/>
              <w:jc w:val="center"/>
              <w:rPr>
                <w:szCs w:val="21"/>
              </w:rPr>
            </w:pPr>
          </w:p>
        </w:tc>
        <w:tc>
          <w:tcPr>
            <w:tcW w:w="738" w:type="dxa"/>
            <w:noWrap w:val="0"/>
            <w:vAlign w:val="top"/>
          </w:tcPr>
          <w:p w14:paraId="569CB809">
            <w:pPr>
              <w:spacing w:line="360" w:lineRule="auto"/>
              <w:jc w:val="center"/>
              <w:rPr>
                <w:szCs w:val="21"/>
              </w:rPr>
            </w:pPr>
          </w:p>
        </w:tc>
        <w:tc>
          <w:tcPr>
            <w:tcW w:w="1212" w:type="dxa"/>
            <w:noWrap w:val="0"/>
            <w:vAlign w:val="top"/>
          </w:tcPr>
          <w:p w14:paraId="28DC38BB">
            <w:pPr>
              <w:spacing w:line="360" w:lineRule="auto"/>
              <w:jc w:val="center"/>
              <w:rPr>
                <w:szCs w:val="21"/>
              </w:rPr>
            </w:pPr>
          </w:p>
        </w:tc>
        <w:tc>
          <w:tcPr>
            <w:tcW w:w="874" w:type="dxa"/>
            <w:noWrap w:val="0"/>
            <w:vAlign w:val="top"/>
          </w:tcPr>
          <w:p w14:paraId="0E1A9805">
            <w:pPr>
              <w:spacing w:line="360" w:lineRule="auto"/>
              <w:jc w:val="center"/>
              <w:rPr>
                <w:szCs w:val="21"/>
              </w:rPr>
            </w:pPr>
          </w:p>
        </w:tc>
        <w:tc>
          <w:tcPr>
            <w:tcW w:w="1055" w:type="dxa"/>
            <w:noWrap w:val="0"/>
            <w:vAlign w:val="top"/>
          </w:tcPr>
          <w:p w14:paraId="3F23A553">
            <w:pPr>
              <w:spacing w:line="360" w:lineRule="auto"/>
              <w:jc w:val="center"/>
              <w:rPr>
                <w:szCs w:val="21"/>
              </w:rPr>
            </w:pPr>
          </w:p>
        </w:tc>
        <w:tc>
          <w:tcPr>
            <w:tcW w:w="691" w:type="dxa"/>
            <w:noWrap w:val="0"/>
            <w:vAlign w:val="top"/>
          </w:tcPr>
          <w:p w14:paraId="31C7804A">
            <w:pPr>
              <w:spacing w:line="360" w:lineRule="auto"/>
              <w:jc w:val="center"/>
              <w:rPr>
                <w:szCs w:val="21"/>
              </w:rPr>
            </w:pPr>
          </w:p>
        </w:tc>
      </w:tr>
      <w:tr w14:paraId="1675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460E3C54">
            <w:pPr>
              <w:spacing w:line="360" w:lineRule="auto"/>
              <w:jc w:val="center"/>
              <w:rPr>
                <w:szCs w:val="21"/>
              </w:rPr>
            </w:pPr>
          </w:p>
        </w:tc>
        <w:tc>
          <w:tcPr>
            <w:tcW w:w="1086" w:type="dxa"/>
            <w:noWrap w:val="0"/>
            <w:vAlign w:val="top"/>
          </w:tcPr>
          <w:p w14:paraId="2A79E584">
            <w:pPr>
              <w:spacing w:line="360" w:lineRule="auto"/>
              <w:jc w:val="center"/>
              <w:rPr>
                <w:szCs w:val="21"/>
              </w:rPr>
            </w:pPr>
          </w:p>
        </w:tc>
        <w:tc>
          <w:tcPr>
            <w:tcW w:w="761" w:type="dxa"/>
            <w:noWrap w:val="0"/>
            <w:vAlign w:val="top"/>
          </w:tcPr>
          <w:p w14:paraId="3442651F">
            <w:pPr>
              <w:spacing w:line="360" w:lineRule="auto"/>
              <w:jc w:val="center"/>
              <w:rPr>
                <w:szCs w:val="21"/>
              </w:rPr>
            </w:pPr>
          </w:p>
        </w:tc>
        <w:tc>
          <w:tcPr>
            <w:tcW w:w="990" w:type="dxa"/>
            <w:noWrap w:val="0"/>
            <w:vAlign w:val="top"/>
          </w:tcPr>
          <w:p w14:paraId="14E1F2D6">
            <w:pPr>
              <w:spacing w:line="360" w:lineRule="auto"/>
              <w:jc w:val="center"/>
              <w:rPr>
                <w:szCs w:val="21"/>
              </w:rPr>
            </w:pPr>
          </w:p>
        </w:tc>
        <w:tc>
          <w:tcPr>
            <w:tcW w:w="672" w:type="dxa"/>
            <w:noWrap w:val="0"/>
            <w:vAlign w:val="top"/>
          </w:tcPr>
          <w:p w14:paraId="07FFDA7F">
            <w:pPr>
              <w:spacing w:line="360" w:lineRule="auto"/>
              <w:jc w:val="center"/>
              <w:rPr>
                <w:szCs w:val="21"/>
              </w:rPr>
            </w:pPr>
          </w:p>
        </w:tc>
        <w:tc>
          <w:tcPr>
            <w:tcW w:w="738" w:type="dxa"/>
            <w:noWrap w:val="0"/>
            <w:vAlign w:val="top"/>
          </w:tcPr>
          <w:p w14:paraId="4DE11F55">
            <w:pPr>
              <w:spacing w:line="360" w:lineRule="auto"/>
              <w:jc w:val="center"/>
              <w:rPr>
                <w:szCs w:val="21"/>
              </w:rPr>
            </w:pPr>
          </w:p>
        </w:tc>
        <w:tc>
          <w:tcPr>
            <w:tcW w:w="1212" w:type="dxa"/>
            <w:noWrap w:val="0"/>
            <w:vAlign w:val="top"/>
          </w:tcPr>
          <w:p w14:paraId="31539A2D">
            <w:pPr>
              <w:spacing w:line="360" w:lineRule="auto"/>
              <w:jc w:val="center"/>
              <w:rPr>
                <w:szCs w:val="21"/>
              </w:rPr>
            </w:pPr>
          </w:p>
        </w:tc>
        <w:tc>
          <w:tcPr>
            <w:tcW w:w="874" w:type="dxa"/>
            <w:noWrap w:val="0"/>
            <w:vAlign w:val="top"/>
          </w:tcPr>
          <w:p w14:paraId="313893BA">
            <w:pPr>
              <w:spacing w:line="360" w:lineRule="auto"/>
              <w:jc w:val="center"/>
              <w:rPr>
                <w:szCs w:val="21"/>
              </w:rPr>
            </w:pPr>
          </w:p>
        </w:tc>
        <w:tc>
          <w:tcPr>
            <w:tcW w:w="1055" w:type="dxa"/>
            <w:noWrap w:val="0"/>
            <w:vAlign w:val="top"/>
          </w:tcPr>
          <w:p w14:paraId="54259AB0">
            <w:pPr>
              <w:spacing w:line="360" w:lineRule="auto"/>
              <w:jc w:val="center"/>
              <w:rPr>
                <w:szCs w:val="21"/>
              </w:rPr>
            </w:pPr>
          </w:p>
        </w:tc>
        <w:tc>
          <w:tcPr>
            <w:tcW w:w="691" w:type="dxa"/>
            <w:noWrap w:val="0"/>
            <w:vAlign w:val="top"/>
          </w:tcPr>
          <w:p w14:paraId="56DA9BE5">
            <w:pPr>
              <w:spacing w:line="360" w:lineRule="auto"/>
              <w:jc w:val="center"/>
              <w:rPr>
                <w:szCs w:val="21"/>
              </w:rPr>
            </w:pPr>
          </w:p>
        </w:tc>
      </w:tr>
      <w:tr w14:paraId="194C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0B7E4145">
            <w:pPr>
              <w:spacing w:line="360" w:lineRule="auto"/>
              <w:jc w:val="center"/>
              <w:rPr>
                <w:szCs w:val="21"/>
              </w:rPr>
            </w:pPr>
          </w:p>
        </w:tc>
        <w:tc>
          <w:tcPr>
            <w:tcW w:w="1086" w:type="dxa"/>
            <w:noWrap w:val="0"/>
            <w:vAlign w:val="top"/>
          </w:tcPr>
          <w:p w14:paraId="54CB8DA7">
            <w:pPr>
              <w:spacing w:line="360" w:lineRule="auto"/>
              <w:jc w:val="center"/>
              <w:rPr>
                <w:szCs w:val="21"/>
              </w:rPr>
            </w:pPr>
          </w:p>
        </w:tc>
        <w:tc>
          <w:tcPr>
            <w:tcW w:w="761" w:type="dxa"/>
            <w:noWrap w:val="0"/>
            <w:vAlign w:val="top"/>
          </w:tcPr>
          <w:p w14:paraId="63C3EDD8">
            <w:pPr>
              <w:spacing w:line="360" w:lineRule="auto"/>
              <w:jc w:val="center"/>
              <w:rPr>
                <w:szCs w:val="21"/>
              </w:rPr>
            </w:pPr>
          </w:p>
        </w:tc>
        <w:tc>
          <w:tcPr>
            <w:tcW w:w="990" w:type="dxa"/>
            <w:noWrap w:val="0"/>
            <w:vAlign w:val="top"/>
          </w:tcPr>
          <w:p w14:paraId="548DFA43">
            <w:pPr>
              <w:spacing w:line="360" w:lineRule="auto"/>
              <w:jc w:val="center"/>
              <w:rPr>
                <w:szCs w:val="21"/>
              </w:rPr>
            </w:pPr>
          </w:p>
        </w:tc>
        <w:tc>
          <w:tcPr>
            <w:tcW w:w="672" w:type="dxa"/>
            <w:noWrap w:val="0"/>
            <w:vAlign w:val="top"/>
          </w:tcPr>
          <w:p w14:paraId="35A9ED70">
            <w:pPr>
              <w:spacing w:line="360" w:lineRule="auto"/>
              <w:jc w:val="center"/>
              <w:rPr>
                <w:szCs w:val="21"/>
              </w:rPr>
            </w:pPr>
          </w:p>
        </w:tc>
        <w:tc>
          <w:tcPr>
            <w:tcW w:w="738" w:type="dxa"/>
            <w:noWrap w:val="0"/>
            <w:vAlign w:val="top"/>
          </w:tcPr>
          <w:p w14:paraId="0C1EBAFB">
            <w:pPr>
              <w:spacing w:line="360" w:lineRule="auto"/>
              <w:jc w:val="center"/>
              <w:rPr>
                <w:szCs w:val="21"/>
              </w:rPr>
            </w:pPr>
          </w:p>
        </w:tc>
        <w:tc>
          <w:tcPr>
            <w:tcW w:w="1212" w:type="dxa"/>
            <w:noWrap w:val="0"/>
            <w:vAlign w:val="top"/>
          </w:tcPr>
          <w:p w14:paraId="17183AEB">
            <w:pPr>
              <w:spacing w:line="360" w:lineRule="auto"/>
              <w:jc w:val="center"/>
              <w:rPr>
                <w:szCs w:val="21"/>
              </w:rPr>
            </w:pPr>
          </w:p>
        </w:tc>
        <w:tc>
          <w:tcPr>
            <w:tcW w:w="874" w:type="dxa"/>
            <w:noWrap w:val="0"/>
            <w:vAlign w:val="top"/>
          </w:tcPr>
          <w:p w14:paraId="124E359E">
            <w:pPr>
              <w:spacing w:line="360" w:lineRule="auto"/>
              <w:jc w:val="center"/>
              <w:rPr>
                <w:szCs w:val="21"/>
              </w:rPr>
            </w:pPr>
          </w:p>
        </w:tc>
        <w:tc>
          <w:tcPr>
            <w:tcW w:w="1055" w:type="dxa"/>
            <w:noWrap w:val="0"/>
            <w:vAlign w:val="top"/>
          </w:tcPr>
          <w:p w14:paraId="05A25186">
            <w:pPr>
              <w:spacing w:line="360" w:lineRule="auto"/>
              <w:jc w:val="center"/>
              <w:rPr>
                <w:szCs w:val="21"/>
              </w:rPr>
            </w:pPr>
          </w:p>
        </w:tc>
        <w:tc>
          <w:tcPr>
            <w:tcW w:w="691" w:type="dxa"/>
            <w:noWrap w:val="0"/>
            <w:vAlign w:val="top"/>
          </w:tcPr>
          <w:p w14:paraId="237281B8">
            <w:pPr>
              <w:spacing w:line="360" w:lineRule="auto"/>
              <w:jc w:val="center"/>
              <w:rPr>
                <w:szCs w:val="21"/>
              </w:rPr>
            </w:pPr>
          </w:p>
        </w:tc>
      </w:tr>
      <w:tr w14:paraId="470D4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729CB093">
            <w:pPr>
              <w:spacing w:line="360" w:lineRule="auto"/>
              <w:jc w:val="center"/>
              <w:rPr>
                <w:szCs w:val="21"/>
              </w:rPr>
            </w:pPr>
          </w:p>
        </w:tc>
        <w:tc>
          <w:tcPr>
            <w:tcW w:w="1086" w:type="dxa"/>
            <w:noWrap w:val="0"/>
            <w:vAlign w:val="top"/>
          </w:tcPr>
          <w:p w14:paraId="428B1223">
            <w:pPr>
              <w:spacing w:line="360" w:lineRule="auto"/>
              <w:jc w:val="center"/>
              <w:rPr>
                <w:szCs w:val="21"/>
              </w:rPr>
            </w:pPr>
          </w:p>
        </w:tc>
        <w:tc>
          <w:tcPr>
            <w:tcW w:w="761" w:type="dxa"/>
            <w:noWrap w:val="0"/>
            <w:vAlign w:val="top"/>
          </w:tcPr>
          <w:p w14:paraId="0F90B9E9">
            <w:pPr>
              <w:spacing w:line="360" w:lineRule="auto"/>
              <w:jc w:val="center"/>
              <w:rPr>
                <w:szCs w:val="21"/>
              </w:rPr>
            </w:pPr>
          </w:p>
        </w:tc>
        <w:tc>
          <w:tcPr>
            <w:tcW w:w="990" w:type="dxa"/>
            <w:noWrap w:val="0"/>
            <w:vAlign w:val="top"/>
          </w:tcPr>
          <w:p w14:paraId="0F3D2F58">
            <w:pPr>
              <w:spacing w:line="360" w:lineRule="auto"/>
              <w:jc w:val="center"/>
              <w:rPr>
                <w:szCs w:val="21"/>
              </w:rPr>
            </w:pPr>
          </w:p>
        </w:tc>
        <w:tc>
          <w:tcPr>
            <w:tcW w:w="672" w:type="dxa"/>
            <w:noWrap w:val="0"/>
            <w:vAlign w:val="top"/>
          </w:tcPr>
          <w:p w14:paraId="7D9EB98D">
            <w:pPr>
              <w:spacing w:line="360" w:lineRule="auto"/>
              <w:jc w:val="center"/>
              <w:rPr>
                <w:szCs w:val="21"/>
              </w:rPr>
            </w:pPr>
          </w:p>
        </w:tc>
        <w:tc>
          <w:tcPr>
            <w:tcW w:w="738" w:type="dxa"/>
            <w:noWrap w:val="0"/>
            <w:vAlign w:val="top"/>
          </w:tcPr>
          <w:p w14:paraId="7BF381DB">
            <w:pPr>
              <w:spacing w:line="360" w:lineRule="auto"/>
              <w:jc w:val="center"/>
              <w:rPr>
                <w:szCs w:val="21"/>
              </w:rPr>
            </w:pPr>
          </w:p>
        </w:tc>
        <w:tc>
          <w:tcPr>
            <w:tcW w:w="1212" w:type="dxa"/>
            <w:noWrap w:val="0"/>
            <w:vAlign w:val="top"/>
          </w:tcPr>
          <w:p w14:paraId="75486D5A">
            <w:pPr>
              <w:spacing w:line="360" w:lineRule="auto"/>
              <w:jc w:val="center"/>
              <w:rPr>
                <w:szCs w:val="21"/>
              </w:rPr>
            </w:pPr>
          </w:p>
        </w:tc>
        <w:tc>
          <w:tcPr>
            <w:tcW w:w="874" w:type="dxa"/>
            <w:noWrap w:val="0"/>
            <w:vAlign w:val="top"/>
          </w:tcPr>
          <w:p w14:paraId="19217F3E">
            <w:pPr>
              <w:spacing w:line="360" w:lineRule="auto"/>
              <w:jc w:val="center"/>
              <w:rPr>
                <w:szCs w:val="21"/>
              </w:rPr>
            </w:pPr>
          </w:p>
        </w:tc>
        <w:tc>
          <w:tcPr>
            <w:tcW w:w="1055" w:type="dxa"/>
            <w:noWrap w:val="0"/>
            <w:vAlign w:val="top"/>
          </w:tcPr>
          <w:p w14:paraId="46A3842D">
            <w:pPr>
              <w:spacing w:line="360" w:lineRule="auto"/>
              <w:jc w:val="center"/>
              <w:rPr>
                <w:szCs w:val="21"/>
              </w:rPr>
            </w:pPr>
          </w:p>
        </w:tc>
        <w:tc>
          <w:tcPr>
            <w:tcW w:w="691" w:type="dxa"/>
            <w:noWrap w:val="0"/>
            <w:vAlign w:val="top"/>
          </w:tcPr>
          <w:p w14:paraId="209C5DBA">
            <w:pPr>
              <w:spacing w:line="360" w:lineRule="auto"/>
              <w:jc w:val="center"/>
              <w:rPr>
                <w:szCs w:val="21"/>
              </w:rPr>
            </w:pPr>
          </w:p>
        </w:tc>
      </w:tr>
      <w:tr w14:paraId="403E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26C30927">
            <w:pPr>
              <w:spacing w:line="360" w:lineRule="auto"/>
              <w:jc w:val="center"/>
              <w:rPr>
                <w:szCs w:val="21"/>
              </w:rPr>
            </w:pPr>
          </w:p>
        </w:tc>
        <w:tc>
          <w:tcPr>
            <w:tcW w:w="1086" w:type="dxa"/>
            <w:noWrap w:val="0"/>
            <w:vAlign w:val="top"/>
          </w:tcPr>
          <w:p w14:paraId="65AF3BBB">
            <w:pPr>
              <w:spacing w:line="360" w:lineRule="auto"/>
              <w:jc w:val="center"/>
              <w:rPr>
                <w:szCs w:val="21"/>
              </w:rPr>
            </w:pPr>
          </w:p>
        </w:tc>
        <w:tc>
          <w:tcPr>
            <w:tcW w:w="761" w:type="dxa"/>
            <w:noWrap w:val="0"/>
            <w:vAlign w:val="top"/>
          </w:tcPr>
          <w:p w14:paraId="43348770">
            <w:pPr>
              <w:spacing w:line="360" w:lineRule="auto"/>
              <w:jc w:val="center"/>
              <w:rPr>
                <w:szCs w:val="21"/>
              </w:rPr>
            </w:pPr>
          </w:p>
        </w:tc>
        <w:tc>
          <w:tcPr>
            <w:tcW w:w="990" w:type="dxa"/>
            <w:noWrap w:val="0"/>
            <w:vAlign w:val="top"/>
          </w:tcPr>
          <w:p w14:paraId="5AF599AF">
            <w:pPr>
              <w:spacing w:line="360" w:lineRule="auto"/>
              <w:jc w:val="center"/>
              <w:rPr>
                <w:szCs w:val="21"/>
              </w:rPr>
            </w:pPr>
          </w:p>
        </w:tc>
        <w:tc>
          <w:tcPr>
            <w:tcW w:w="672" w:type="dxa"/>
            <w:noWrap w:val="0"/>
            <w:vAlign w:val="top"/>
          </w:tcPr>
          <w:p w14:paraId="384438B3">
            <w:pPr>
              <w:spacing w:line="360" w:lineRule="auto"/>
              <w:jc w:val="center"/>
              <w:rPr>
                <w:szCs w:val="21"/>
              </w:rPr>
            </w:pPr>
          </w:p>
        </w:tc>
        <w:tc>
          <w:tcPr>
            <w:tcW w:w="738" w:type="dxa"/>
            <w:noWrap w:val="0"/>
            <w:vAlign w:val="top"/>
          </w:tcPr>
          <w:p w14:paraId="141C47B5">
            <w:pPr>
              <w:spacing w:line="360" w:lineRule="auto"/>
              <w:jc w:val="center"/>
              <w:rPr>
                <w:szCs w:val="21"/>
              </w:rPr>
            </w:pPr>
          </w:p>
        </w:tc>
        <w:tc>
          <w:tcPr>
            <w:tcW w:w="1212" w:type="dxa"/>
            <w:noWrap w:val="0"/>
            <w:vAlign w:val="top"/>
          </w:tcPr>
          <w:p w14:paraId="57AA4319">
            <w:pPr>
              <w:spacing w:line="360" w:lineRule="auto"/>
              <w:jc w:val="center"/>
              <w:rPr>
                <w:szCs w:val="21"/>
              </w:rPr>
            </w:pPr>
          </w:p>
        </w:tc>
        <w:tc>
          <w:tcPr>
            <w:tcW w:w="874" w:type="dxa"/>
            <w:noWrap w:val="0"/>
            <w:vAlign w:val="top"/>
          </w:tcPr>
          <w:p w14:paraId="26A6780B">
            <w:pPr>
              <w:spacing w:line="360" w:lineRule="auto"/>
              <w:jc w:val="center"/>
              <w:rPr>
                <w:szCs w:val="21"/>
              </w:rPr>
            </w:pPr>
          </w:p>
        </w:tc>
        <w:tc>
          <w:tcPr>
            <w:tcW w:w="1055" w:type="dxa"/>
            <w:noWrap w:val="0"/>
            <w:vAlign w:val="top"/>
          </w:tcPr>
          <w:p w14:paraId="4B5CD489">
            <w:pPr>
              <w:spacing w:line="360" w:lineRule="auto"/>
              <w:jc w:val="center"/>
              <w:rPr>
                <w:szCs w:val="21"/>
              </w:rPr>
            </w:pPr>
          </w:p>
        </w:tc>
        <w:tc>
          <w:tcPr>
            <w:tcW w:w="691" w:type="dxa"/>
            <w:noWrap w:val="0"/>
            <w:vAlign w:val="top"/>
          </w:tcPr>
          <w:p w14:paraId="60EF7270">
            <w:pPr>
              <w:spacing w:line="360" w:lineRule="auto"/>
              <w:jc w:val="center"/>
              <w:rPr>
                <w:szCs w:val="21"/>
              </w:rPr>
            </w:pPr>
          </w:p>
        </w:tc>
      </w:tr>
      <w:tr w14:paraId="4BA6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59D3AD30">
            <w:pPr>
              <w:spacing w:line="360" w:lineRule="auto"/>
              <w:jc w:val="center"/>
              <w:rPr>
                <w:szCs w:val="21"/>
              </w:rPr>
            </w:pPr>
          </w:p>
        </w:tc>
        <w:tc>
          <w:tcPr>
            <w:tcW w:w="1086" w:type="dxa"/>
            <w:noWrap w:val="0"/>
            <w:vAlign w:val="top"/>
          </w:tcPr>
          <w:p w14:paraId="50D13D74">
            <w:pPr>
              <w:spacing w:line="360" w:lineRule="auto"/>
              <w:jc w:val="center"/>
              <w:rPr>
                <w:szCs w:val="21"/>
              </w:rPr>
            </w:pPr>
          </w:p>
        </w:tc>
        <w:tc>
          <w:tcPr>
            <w:tcW w:w="761" w:type="dxa"/>
            <w:noWrap w:val="0"/>
            <w:vAlign w:val="top"/>
          </w:tcPr>
          <w:p w14:paraId="5F0FE661">
            <w:pPr>
              <w:spacing w:line="360" w:lineRule="auto"/>
              <w:jc w:val="center"/>
              <w:rPr>
                <w:szCs w:val="21"/>
              </w:rPr>
            </w:pPr>
          </w:p>
        </w:tc>
        <w:tc>
          <w:tcPr>
            <w:tcW w:w="990" w:type="dxa"/>
            <w:noWrap w:val="0"/>
            <w:vAlign w:val="top"/>
          </w:tcPr>
          <w:p w14:paraId="271367F6">
            <w:pPr>
              <w:spacing w:line="360" w:lineRule="auto"/>
              <w:jc w:val="center"/>
              <w:rPr>
                <w:szCs w:val="21"/>
              </w:rPr>
            </w:pPr>
          </w:p>
        </w:tc>
        <w:tc>
          <w:tcPr>
            <w:tcW w:w="672" w:type="dxa"/>
            <w:noWrap w:val="0"/>
            <w:vAlign w:val="top"/>
          </w:tcPr>
          <w:p w14:paraId="2ECFFD01">
            <w:pPr>
              <w:spacing w:line="360" w:lineRule="auto"/>
              <w:jc w:val="center"/>
              <w:rPr>
                <w:szCs w:val="21"/>
              </w:rPr>
            </w:pPr>
          </w:p>
        </w:tc>
        <w:tc>
          <w:tcPr>
            <w:tcW w:w="738" w:type="dxa"/>
            <w:noWrap w:val="0"/>
            <w:vAlign w:val="top"/>
          </w:tcPr>
          <w:p w14:paraId="76129FAE">
            <w:pPr>
              <w:spacing w:line="360" w:lineRule="auto"/>
              <w:jc w:val="center"/>
              <w:rPr>
                <w:szCs w:val="21"/>
              </w:rPr>
            </w:pPr>
          </w:p>
        </w:tc>
        <w:tc>
          <w:tcPr>
            <w:tcW w:w="1212" w:type="dxa"/>
            <w:noWrap w:val="0"/>
            <w:vAlign w:val="top"/>
          </w:tcPr>
          <w:p w14:paraId="66801E77">
            <w:pPr>
              <w:spacing w:line="360" w:lineRule="auto"/>
              <w:jc w:val="center"/>
              <w:rPr>
                <w:szCs w:val="21"/>
              </w:rPr>
            </w:pPr>
          </w:p>
        </w:tc>
        <w:tc>
          <w:tcPr>
            <w:tcW w:w="874" w:type="dxa"/>
            <w:noWrap w:val="0"/>
            <w:vAlign w:val="top"/>
          </w:tcPr>
          <w:p w14:paraId="517C48AB">
            <w:pPr>
              <w:spacing w:line="360" w:lineRule="auto"/>
              <w:jc w:val="center"/>
              <w:rPr>
                <w:szCs w:val="21"/>
              </w:rPr>
            </w:pPr>
          </w:p>
        </w:tc>
        <w:tc>
          <w:tcPr>
            <w:tcW w:w="1055" w:type="dxa"/>
            <w:noWrap w:val="0"/>
            <w:vAlign w:val="top"/>
          </w:tcPr>
          <w:p w14:paraId="1B63F039">
            <w:pPr>
              <w:spacing w:line="360" w:lineRule="auto"/>
              <w:jc w:val="center"/>
              <w:rPr>
                <w:szCs w:val="21"/>
              </w:rPr>
            </w:pPr>
          </w:p>
        </w:tc>
        <w:tc>
          <w:tcPr>
            <w:tcW w:w="691" w:type="dxa"/>
            <w:noWrap w:val="0"/>
            <w:vAlign w:val="top"/>
          </w:tcPr>
          <w:p w14:paraId="53C5E89A">
            <w:pPr>
              <w:spacing w:line="360" w:lineRule="auto"/>
              <w:jc w:val="center"/>
              <w:rPr>
                <w:szCs w:val="21"/>
              </w:rPr>
            </w:pPr>
          </w:p>
        </w:tc>
      </w:tr>
      <w:tr w14:paraId="3F02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7B0E3CA">
            <w:pPr>
              <w:spacing w:line="360" w:lineRule="auto"/>
              <w:jc w:val="center"/>
              <w:rPr>
                <w:szCs w:val="21"/>
              </w:rPr>
            </w:pPr>
          </w:p>
        </w:tc>
        <w:tc>
          <w:tcPr>
            <w:tcW w:w="1086" w:type="dxa"/>
            <w:noWrap w:val="0"/>
            <w:vAlign w:val="top"/>
          </w:tcPr>
          <w:p w14:paraId="48391058">
            <w:pPr>
              <w:spacing w:line="360" w:lineRule="auto"/>
              <w:jc w:val="center"/>
              <w:rPr>
                <w:szCs w:val="21"/>
              </w:rPr>
            </w:pPr>
          </w:p>
        </w:tc>
        <w:tc>
          <w:tcPr>
            <w:tcW w:w="761" w:type="dxa"/>
            <w:noWrap w:val="0"/>
            <w:vAlign w:val="top"/>
          </w:tcPr>
          <w:p w14:paraId="7E9D0B91">
            <w:pPr>
              <w:spacing w:line="360" w:lineRule="auto"/>
              <w:jc w:val="center"/>
              <w:rPr>
                <w:szCs w:val="21"/>
              </w:rPr>
            </w:pPr>
          </w:p>
        </w:tc>
        <w:tc>
          <w:tcPr>
            <w:tcW w:w="990" w:type="dxa"/>
            <w:noWrap w:val="0"/>
            <w:vAlign w:val="top"/>
          </w:tcPr>
          <w:p w14:paraId="2BF5DAAC">
            <w:pPr>
              <w:spacing w:line="360" w:lineRule="auto"/>
              <w:jc w:val="center"/>
              <w:rPr>
                <w:szCs w:val="21"/>
              </w:rPr>
            </w:pPr>
          </w:p>
        </w:tc>
        <w:tc>
          <w:tcPr>
            <w:tcW w:w="672" w:type="dxa"/>
            <w:noWrap w:val="0"/>
            <w:vAlign w:val="top"/>
          </w:tcPr>
          <w:p w14:paraId="2A834F39">
            <w:pPr>
              <w:spacing w:line="360" w:lineRule="auto"/>
              <w:jc w:val="center"/>
              <w:rPr>
                <w:szCs w:val="21"/>
              </w:rPr>
            </w:pPr>
          </w:p>
        </w:tc>
        <w:tc>
          <w:tcPr>
            <w:tcW w:w="738" w:type="dxa"/>
            <w:noWrap w:val="0"/>
            <w:vAlign w:val="top"/>
          </w:tcPr>
          <w:p w14:paraId="522F64E1">
            <w:pPr>
              <w:spacing w:line="360" w:lineRule="auto"/>
              <w:jc w:val="center"/>
              <w:rPr>
                <w:szCs w:val="21"/>
              </w:rPr>
            </w:pPr>
          </w:p>
        </w:tc>
        <w:tc>
          <w:tcPr>
            <w:tcW w:w="1212" w:type="dxa"/>
            <w:noWrap w:val="0"/>
            <w:vAlign w:val="top"/>
          </w:tcPr>
          <w:p w14:paraId="5051CF88">
            <w:pPr>
              <w:spacing w:line="360" w:lineRule="auto"/>
              <w:jc w:val="center"/>
              <w:rPr>
                <w:szCs w:val="21"/>
              </w:rPr>
            </w:pPr>
          </w:p>
        </w:tc>
        <w:tc>
          <w:tcPr>
            <w:tcW w:w="874" w:type="dxa"/>
            <w:noWrap w:val="0"/>
            <w:vAlign w:val="top"/>
          </w:tcPr>
          <w:p w14:paraId="2A840E90">
            <w:pPr>
              <w:spacing w:line="360" w:lineRule="auto"/>
              <w:jc w:val="center"/>
              <w:rPr>
                <w:szCs w:val="21"/>
              </w:rPr>
            </w:pPr>
          </w:p>
        </w:tc>
        <w:tc>
          <w:tcPr>
            <w:tcW w:w="1055" w:type="dxa"/>
            <w:noWrap w:val="0"/>
            <w:vAlign w:val="top"/>
          </w:tcPr>
          <w:p w14:paraId="3C6FF5DC">
            <w:pPr>
              <w:spacing w:line="360" w:lineRule="auto"/>
              <w:jc w:val="center"/>
              <w:rPr>
                <w:szCs w:val="21"/>
              </w:rPr>
            </w:pPr>
          </w:p>
        </w:tc>
        <w:tc>
          <w:tcPr>
            <w:tcW w:w="691" w:type="dxa"/>
            <w:noWrap w:val="0"/>
            <w:vAlign w:val="top"/>
          </w:tcPr>
          <w:p w14:paraId="47245879">
            <w:pPr>
              <w:spacing w:line="360" w:lineRule="auto"/>
              <w:jc w:val="center"/>
              <w:rPr>
                <w:szCs w:val="21"/>
              </w:rPr>
            </w:pPr>
          </w:p>
        </w:tc>
      </w:tr>
      <w:tr w14:paraId="0BA0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43D32F8D">
            <w:pPr>
              <w:spacing w:line="360" w:lineRule="auto"/>
              <w:jc w:val="center"/>
              <w:rPr>
                <w:szCs w:val="21"/>
              </w:rPr>
            </w:pPr>
          </w:p>
        </w:tc>
        <w:tc>
          <w:tcPr>
            <w:tcW w:w="1086" w:type="dxa"/>
            <w:noWrap w:val="0"/>
            <w:vAlign w:val="top"/>
          </w:tcPr>
          <w:p w14:paraId="258D8B1C">
            <w:pPr>
              <w:spacing w:line="360" w:lineRule="auto"/>
              <w:jc w:val="center"/>
              <w:rPr>
                <w:szCs w:val="21"/>
              </w:rPr>
            </w:pPr>
          </w:p>
        </w:tc>
        <w:tc>
          <w:tcPr>
            <w:tcW w:w="761" w:type="dxa"/>
            <w:noWrap w:val="0"/>
            <w:vAlign w:val="top"/>
          </w:tcPr>
          <w:p w14:paraId="09FBF1BE">
            <w:pPr>
              <w:spacing w:line="360" w:lineRule="auto"/>
              <w:jc w:val="center"/>
              <w:rPr>
                <w:szCs w:val="21"/>
              </w:rPr>
            </w:pPr>
          </w:p>
        </w:tc>
        <w:tc>
          <w:tcPr>
            <w:tcW w:w="990" w:type="dxa"/>
            <w:noWrap w:val="0"/>
            <w:vAlign w:val="top"/>
          </w:tcPr>
          <w:p w14:paraId="0208BEEE">
            <w:pPr>
              <w:spacing w:line="360" w:lineRule="auto"/>
              <w:jc w:val="center"/>
              <w:rPr>
                <w:szCs w:val="21"/>
              </w:rPr>
            </w:pPr>
          </w:p>
        </w:tc>
        <w:tc>
          <w:tcPr>
            <w:tcW w:w="672" w:type="dxa"/>
            <w:noWrap w:val="0"/>
            <w:vAlign w:val="top"/>
          </w:tcPr>
          <w:p w14:paraId="2C1E843F">
            <w:pPr>
              <w:spacing w:line="360" w:lineRule="auto"/>
              <w:jc w:val="center"/>
              <w:rPr>
                <w:szCs w:val="21"/>
              </w:rPr>
            </w:pPr>
          </w:p>
        </w:tc>
        <w:tc>
          <w:tcPr>
            <w:tcW w:w="738" w:type="dxa"/>
            <w:noWrap w:val="0"/>
            <w:vAlign w:val="top"/>
          </w:tcPr>
          <w:p w14:paraId="67B707E9">
            <w:pPr>
              <w:spacing w:line="360" w:lineRule="auto"/>
              <w:jc w:val="center"/>
              <w:rPr>
                <w:szCs w:val="21"/>
              </w:rPr>
            </w:pPr>
          </w:p>
        </w:tc>
        <w:tc>
          <w:tcPr>
            <w:tcW w:w="1212" w:type="dxa"/>
            <w:noWrap w:val="0"/>
            <w:vAlign w:val="top"/>
          </w:tcPr>
          <w:p w14:paraId="3741CFEE">
            <w:pPr>
              <w:spacing w:line="360" w:lineRule="auto"/>
              <w:jc w:val="center"/>
              <w:rPr>
                <w:szCs w:val="21"/>
              </w:rPr>
            </w:pPr>
          </w:p>
        </w:tc>
        <w:tc>
          <w:tcPr>
            <w:tcW w:w="874" w:type="dxa"/>
            <w:noWrap w:val="0"/>
            <w:vAlign w:val="top"/>
          </w:tcPr>
          <w:p w14:paraId="713F2C69">
            <w:pPr>
              <w:spacing w:line="360" w:lineRule="auto"/>
              <w:jc w:val="center"/>
              <w:rPr>
                <w:szCs w:val="21"/>
              </w:rPr>
            </w:pPr>
          </w:p>
        </w:tc>
        <w:tc>
          <w:tcPr>
            <w:tcW w:w="1055" w:type="dxa"/>
            <w:noWrap w:val="0"/>
            <w:vAlign w:val="top"/>
          </w:tcPr>
          <w:p w14:paraId="0A19B2EB">
            <w:pPr>
              <w:spacing w:line="360" w:lineRule="auto"/>
              <w:jc w:val="center"/>
              <w:rPr>
                <w:szCs w:val="21"/>
              </w:rPr>
            </w:pPr>
          </w:p>
        </w:tc>
        <w:tc>
          <w:tcPr>
            <w:tcW w:w="691" w:type="dxa"/>
            <w:noWrap w:val="0"/>
            <w:vAlign w:val="top"/>
          </w:tcPr>
          <w:p w14:paraId="1921ECE6">
            <w:pPr>
              <w:spacing w:line="360" w:lineRule="auto"/>
              <w:jc w:val="center"/>
              <w:rPr>
                <w:szCs w:val="21"/>
              </w:rPr>
            </w:pPr>
          </w:p>
        </w:tc>
      </w:tr>
      <w:tr w14:paraId="382AD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9FD36E3">
            <w:pPr>
              <w:spacing w:line="360" w:lineRule="auto"/>
              <w:jc w:val="center"/>
              <w:rPr>
                <w:szCs w:val="21"/>
              </w:rPr>
            </w:pPr>
          </w:p>
        </w:tc>
        <w:tc>
          <w:tcPr>
            <w:tcW w:w="1086" w:type="dxa"/>
            <w:noWrap w:val="0"/>
            <w:vAlign w:val="top"/>
          </w:tcPr>
          <w:p w14:paraId="5E7DD5FF">
            <w:pPr>
              <w:spacing w:line="360" w:lineRule="auto"/>
              <w:jc w:val="center"/>
              <w:rPr>
                <w:szCs w:val="21"/>
              </w:rPr>
            </w:pPr>
          </w:p>
        </w:tc>
        <w:tc>
          <w:tcPr>
            <w:tcW w:w="761" w:type="dxa"/>
            <w:noWrap w:val="0"/>
            <w:vAlign w:val="top"/>
          </w:tcPr>
          <w:p w14:paraId="2F7E382F">
            <w:pPr>
              <w:spacing w:line="360" w:lineRule="auto"/>
              <w:jc w:val="center"/>
              <w:rPr>
                <w:szCs w:val="21"/>
              </w:rPr>
            </w:pPr>
          </w:p>
        </w:tc>
        <w:tc>
          <w:tcPr>
            <w:tcW w:w="990" w:type="dxa"/>
            <w:noWrap w:val="0"/>
            <w:vAlign w:val="top"/>
          </w:tcPr>
          <w:p w14:paraId="055E117A">
            <w:pPr>
              <w:spacing w:line="360" w:lineRule="auto"/>
              <w:jc w:val="center"/>
              <w:rPr>
                <w:szCs w:val="21"/>
              </w:rPr>
            </w:pPr>
          </w:p>
        </w:tc>
        <w:tc>
          <w:tcPr>
            <w:tcW w:w="672" w:type="dxa"/>
            <w:noWrap w:val="0"/>
            <w:vAlign w:val="top"/>
          </w:tcPr>
          <w:p w14:paraId="10A81A0D">
            <w:pPr>
              <w:spacing w:line="360" w:lineRule="auto"/>
              <w:jc w:val="center"/>
              <w:rPr>
                <w:szCs w:val="21"/>
              </w:rPr>
            </w:pPr>
          </w:p>
        </w:tc>
        <w:tc>
          <w:tcPr>
            <w:tcW w:w="738" w:type="dxa"/>
            <w:noWrap w:val="0"/>
            <w:vAlign w:val="top"/>
          </w:tcPr>
          <w:p w14:paraId="5D76AEEA">
            <w:pPr>
              <w:spacing w:line="360" w:lineRule="auto"/>
              <w:jc w:val="center"/>
              <w:rPr>
                <w:szCs w:val="21"/>
              </w:rPr>
            </w:pPr>
          </w:p>
        </w:tc>
        <w:tc>
          <w:tcPr>
            <w:tcW w:w="1212" w:type="dxa"/>
            <w:noWrap w:val="0"/>
            <w:vAlign w:val="top"/>
          </w:tcPr>
          <w:p w14:paraId="78045602">
            <w:pPr>
              <w:spacing w:line="360" w:lineRule="auto"/>
              <w:jc w:val="center"/>
              <w:rPr>
                <w:szCs w:val="21"/>
              </w:rPr>
            </w:pPr>
          </w:p>
        </w:tc>
        <w:tc>
          <w:tcPr>
            <w:tcW w:w="874" w:type="dxa"/>
            <w:noWrap w:val="0"/>
            <w:vAlign w:val="top"/>
          </w:tcPr>
          <w:p w14:paraId="50944C65">
            <w:pPr>
              <w:spacing w:line="360" w:lineRule="auto"/>
              <w:jc w:val="center"/>
              <w:rPr>
                <w:szCs w:val="21"/>
              </w:rPr>
            </w:pPr>
          </w:p>
        </w:tc>
        <w:tc>
          <w:tcPr>
            <w:tcW w:w="1055" w:type="dxa"/>
            <w:noWrap w:val="0"/>
            <w:vAlign w:val="top"/>
          </w:tcPr>
          <w:p w14:paraId="771D151B">
            <w:pPr>
              <w:spacing w:line="360" w:lineRule="auto"/>
              <w:jc w:val="center"/>
              <w:rPr>
                <w:szCs w:val="21"/>
              </w:rPr>
            </w:pPr>
          </w:p>
        </w:tc>
        <w:tc>
          <w:tcPr>
            <w:tcW w:w="691" w:type="dxa"/>
            <w:noWrap w:val="0"/>
            <w:vAlign w:val="top"/>
          </w:tcPr>
          <w:p w14:paraId="27402EE1">
            <w:pPr>
              <w:spacing w:line="360" w:lineRule="auto"/>
              <w:jc w:val="center"/>
              <w:rPr>
                <w:szCs w:val="21"/>
              </w:rPr>
            </w:pPr>
          </w:p>
        </w:tc>
      </w:tr>
      <w:tr w14:paraId="0BAF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1467A5EA">
            <w:pPr>
              <w:spacing w:line="360" w:lineRule="auto"/>
              <w:jc w:val="center"/>
              <w:rPr>
                <w:szCs w:val="21"/>
              </w:rPr>
            </w:pPr>
          </w:p>
        </w:tc>
        <w:tc>
          <w:tcPr>
            <w:tcW w:w="1086" w:type="dxa"/>
            <w:noWrap w:val="0"/>
            <w:vAlign w:val="top"/>
          </w:tcPr>
          <w:p w14:paraId="1DD2D628">
            <w:pPr>
              <w:spacing w:line="360" w:lineRule="auto"/>
              <w:jc w:val="center"/>
              <w:rPr>
                <w:szCs w:val="21"/>
              </w:rPr>
            </w:pPr>
          </w:p>
        </w:tc>
        <w:tc>
          <w:tcPr>
            <w:tcW w:w="761" w:type="dxa"/>
            <w:noWrap w:val="0"/>
            <w:vAlign w:val="top"/>
          </w:tcPr>
          <w:p w14:paraId="573A9441">
            <w:pPr>
              <w:spacing w:line="360" w:lineRule="auto"/>
              <w:jc w:val="center"/>
              <w:rPr>
                <w:szCs w:val="21"/>
              </w:rPr>
            </w:pPr>
          </w:p>
        </w:tc>
        <w:tc>
          <w:tcPr>
            <w:tcW w:w="990" w:type="dxa"/>
            <w:noWrap w:val="0"/>
            <w:vAlign w:val="top"/>
          </w:tcPr>
          <w:p w14:paraId="0CF57931">
            <w:pPr>
              <w:spacing w:line="360" w:lineRule="auto"/>
              <w:jc w:val="center"/>
              <w:rPr>
                <w:szCs w:val="21"/>
              </w:rPr>
            </w:pPr>
          </w:p>
        </w:tc>
        <w:tc>
          <w:tcPr>
            <w:tcW w:w="672" w:type="dxa"/>
            <w:noWrap w:val="0"/>
            <w:vAlign w:val="top"/>
          </w:tcPr>
          <w:p w14:paraId="00DEB9F6">
            <w:pPr>
              <w:spacing w:line="360" w:lineRule="auto"/>
              <w:jc w:val="center"/>
              <w:rPr>
                <w:szCs w:val="21"/>
              </w:rPr>
            </w:pPr>
          </w:p>
        </w:tc>
        <w:tc>
          <w:tcPr>
            <w:tcW w:w="738" w:type="dxa"/>
            <w:noWrap w:val="0"/>
            <w:vAlign w:val="top"/>
          </w:tcPr>
          <w:p w14:paraId="25D2FE81">
            <w:pPr>
              <w:spacing w:line="360" w:lineRule="auto"/>
              <w:jc w:val="center"/>
              <w:rPr>
                <w:szCs w:val="21"/>
              </w:rPr>
            </w:pPr>
          </w:p>
        </w:tc>
        <w:tc>
          <w:tcPr>
            <w:tcW w:w="1212" w:type="dxa"/>
            <w:noWrap w:val="0"/>
            <w:vAlign w:val="top"/>
          </w:tcPr>
          <w:p w14:paraId="5A806433">
            <w:pPr>
              <w:spacing w:line="360" w:lineRule="auto"/>
              <w:jc w:val="center"/>
              <w:rPr>
                <w:szCs w:val="21"/>
              </w:rPr>
            </w:pPr>
          </w:p>
        </w:tc>
        <w:tc>
          <w:tcPr>
            <w:tcW w:w="874" w:type="dxa"/>
            <w:noWrap w:val="0"/>
            <w:vAlign w:val="top"/>
          </w:tcPr>
          <w:p w14:paraId="1DA43362">
            <w:pPr>
              <w:spacing w:line="360" w:lineRule="auto"/>
              <w:jc w:val="center"/>
              <w:rPr>
                <w:szCs w:val="21"/>
              </w:rPr>
            </w:pPr>
          </w:p>
        </w:tc>
        <w:tc>
          <w:tcPr>
            <w:tcW w:w="1055" w:type="dxa"/>
            <w:noWrap w:val="0"/>
            <w:vAlign w:val="top"/>
          </w:tcPr>
          <w:p w14:paraId="26D0611B">
            <w:pPr>
              <w:spacing w:line="360" w:lineRule="auto"/>
              <w:jc w:val="center"/>
              <w:rPr>
                <w:szCs w:val="21"/>
              </w:rPr>
            </w:pPr>
          </w:p>
        </w:tc>
        <w:tc>
          <w:tcPr>
            <w:tcW w:w="691" w:type="dxa"/>
            <w:noWrap w:val="0"/>
            <w:vAlign w:val="top"/>
          </w:tcPr>
          <w:p w14:paraId="1E3C9BFB">
            <w:pPr>
              <w:spacing w:line="360" w:lineRule="auto"/>
              <w:jc w:val="center"/>
              <w:rPr>
                <w:szCs w:val="21"/>
              </w:rPr>
            </w:pPr>
          </w:p>
        </w:tc>
      </w:tr>
      <w:tr w14:paraId="5224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818D3ED">
            <w:pPr>
              <w:spacing w:line="360" w:lineRule="auto"/>
              <w:jc w:val="center"/>
              <w:rPr>
                <w:szCs w:val="21"/>
              </w:rPr>
            </w:pPr>
          </w:p>
        </w:tc>
        <w:tc>
          <w:tcPr>
            <w:tcW w:w="1086" w:type="dxa"/>
            <w:noWrap w:val="0"/>
            <w:vAlign w:val="top"/>
          </w:tcPr>
          <w:p w14:paraId="4914C656">
            <w:pPr>
              <w:spacing w:line="360" w:lineRule="auto"/>
              <w:jc w:val="center"/>
              <w:rPr>
                <w:szCs w:val="21"/>
              </w:rPr>
            </w:pPr>
          </w:p>
        </w:tc>
        <w:tc>
          <w:tcPr>
            <w:tcW w:w="761" w:type="dxa"/>
            <w:noWrap w:val="0"/>
            <w:vAlign w:val="top"/>
          </w:tcPr>
          <w:p w14:paraId="68BCDB8B">
            <w:pPr>
              <w:spacing w:line="360" w:lineRule="auto"/>
              <w:jc w:val="center"/>
              <w:rPr>
                <w:szCs w:val="21"/>
              </w:rPr>
            </w:pPr>
          </w:p>
        </w:tc>
        <w:tc>
          <w:tcPr>
            <w:tcW w:w="990" w:type="dxa"/>
            <w:noWrap w:val="0"/>
            <w:vAlign w:val="top"/>
          </w:tcPr>
          <w:p w14:paraId="5D1009BE">
            <w:pPr>
              <w:spacing w:line="360" w:lineRule="auto"/>
              <w:jc w:val="center"/>
              <w:rPr>
                <w:szCs w:val="21"/>
              </w:rPr>
            </w:pPr>
          </w:p>
        </w:tc>
        <w:tc>
          <w:tcPr>
            <w:tcW w:w="672" w:type="dxa"/>
            <w:noWrap w:val="0"/>
            <w:vAlign w:val="top"/>
          </w:tcPr>
          <w:p w14:paraId="3F732D79">
            <w:pPr>
              <w:spacing w:line="360" w:lineRule="auto"/>
              <w:jc w:val="center"/>
              <w:rPr>
                <w:szCs w:val="21"/>
              </w:rPr>
            </w:pPr>
          </w:p>
        </w:tc>
        <w:tc>
          <w:tcPr>
            <w:tcW w:w="738" w:type="dxa"/>
            <w:noWrap w:val="0"/>
            <w:vAlign w:val="top"/>
          </w:tcPr>
          <w:p w14:paraId="054C3FC3">
            <w:pPr>
              <w:spacing w:line="360" w:lineRule="auto"/>
              <w:jc w:val="center"/>
              <w:rPr>
                <w:szCs w:val="21"/>
              </w:rPr>
            </w:pPr>
          </w:p>
        </w:tc>
        <w:tc>
          <w:tcPr>
            <w:tcW w:w="1212" w:type="dxa"/>
            <w:noWrap w:val="0"/>
            <w:vAlign w:val="top"/>
          </w:tcPr>
          <w:p w14:paraId="6D94FEE8">
            <w:pPr>
              <w:spacing w:line="360" w:lineRule="auto"/>
              <w:jc w:val="center"/>
              <w:rPr>
                <w:szCs w:val="21"/>
              </w:rPr>
            </w:pPr>
          </w:p>
        </w:tc>
        <w:tc>
          <w:tcPr>
            <w:tcW w:w="874" w:type="dxa"/>
            <w:noWrap w:val="0"/>
            <w:vAlign w:val="top"/>
          </w:tcPr>
          <w:p w14:paraId="7F6DCD78">
            <w:pPr>
              <w:spacing w:line="360" w:lineRule="auto"/>
              <w:jc w:val="center"/>
              <w:rPr>
                <w:szCs w:val="21"/>
              </w:rPr>
            </w:pPr>
          </w:p>
        </w:tc>
        <w:tc>
          <w:tcPr>
            <w:tcW w:w="1055" w:type="dxa"/>
            <w:noWrap w:val="0"/>
            <w:vAlign w:val="top"/>
          </w:tcPr>
          <w:p w14:paraId="4A57F161">
            <w:pPr>
              <w:spacing w:line="360" w:lineRule="auto"/>
              <w:jc w:val="center"/>
              <w:rPr>
                <w:szCs w:val="21"/>
              </w:rPr>
            </w:pPr>
          </w:p>
        </w:tc>
        <w:tc>
          <w:tcPr>
            <w:tcW w:w="691" w:type="dxa"/>
            <w:noWrap w:val="0"/>
            <w:vAlign w:val="top"/>
          </w:tcPr>
          <w:p w14:paraId="4A5AD1AA">
            <w:pPr>
              <w:spacing w:line="360" w:lineRule="auto"/>
              <w:jc w:val="center"/>
              <w:rPr>
                <w:szCs w:val="21"/>
              </w:rPr>
            </w:pPr>
          </w:p>
        </w:tc>
      </w:tr>
      <w:tr w14:paraId="0137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C826F41">
            <w:pPr>
              <w:spacing w:line="360" w:lineRule="auto"/>
              <w:jc w:val="center"/>
              <w:rPr>
                <w:szCs w:val="21"/>
              </w:rPr>
            </w:pPr>
          </w:p>
        </w:tc>
        <w:tc>
          <w:tcPr>
            <w:tcW w:w="1086" w:type="dxa"/>
            <w:noWrap w:val="0"/>
            <w:vAlign w:val="top"/>
          </w:tcPr>
          <w:p w14:paraId="24F9FFEA">
            <w:pPr>
              <w:spacing w:line="360" w:lineRule="auto"/>
              <w:jc w:val="center"/>
              <w:rPr>
                <w:szCs w:val="21"/>
              </w:rPr>
            </w:pPr>
          </w:p>
        </w:tc>
        <w:tc>
          <w:tcPr>
            <w:tcW w:w="761" w:type="dxa"/>
            <w:noWrap w:val="0"/>
            <w:vAlign w:val="top"/>
          </w:tcPr>
          <w:p w14:paraId="0822ABBB">
            <w:pPr>
              <w:spacing w:line="360" w:lineRule="auto"/>
              <w:jc w:val="center"/>
              <w:rPr>
                <w:szCs w:val="21"/>
              </w:rPr>
            </w:pPr>
          </w:p>
        </w:tc>
        <w:tc>
          <w:tcPr>
            <w:tcW w:w="990" w:type="dxa"/>
            <w:noWrap w:val="0"/>
            <w:vAlign w:val="top"/>
          </w:tcPr>
          <w:p w14:paraId="7BDCBA99">
            <w:pPr>
              <w:spacing w:line="360" w:lineRule="auto"/>
              <w:jc w:val="center"/>
              <w:rPr>
                <w:szCs w:val="21"/>
              </w:rPr>
            </w:pPr>
          </w:p>
        </w:tc>
        <w:tc>
          <w:tcPr>
            <w:tcW w:w="672" w:type="dxa"/>
            <w:noWrap w:val="0"/>
            <w:vAlign w:val="top"/>
          </w:tcPr>
          <w:p w14:paraId="7C513931">
            <w:pPr>
              <w:spacing w:line="360" w:lineRule="auto"/>
              <w:jc w:val="center"/>
              <w:rPr>
                <w:szCs w:val="21"/>
              </w:rPr>
            </w:pPr>
          </w:p>
        </w:tc>
        <w:tc>
          <w:tcPr>
            <w:tcW w:w="738" w:type="dxa"/>
            <w:noWrap w:val="0"/>
            <w:vAlign w:val="top"/>
          </w:tcPr>
          <w:p w14:paraId="5ED4FBB4">
            <w:pPr>
              <w:spacing w:line="360" w:lineRule="auto"/>
              <w:jc w:val="center"/>
              <w:rPr>
                <w:szCs w:val="21"/>
              </w:rPr>
            </w:pPr>
          </w:p>
        </w:tc>
        <w:tc>
          <w:tcPr>
            <w:tcW w:w="1212" w:type="dxa"/>
            <w:noWrap w:val="0"/>
            <w:vAlign w:val="top"/>
          </w:tcPr>
          <w:p w14:paraId="5C336355">
            <w:pPr>
              <w:spacing w:line="360" w:lineRule="auto"/>
              <w:jc w:val="center"/>
              <w:rPr>
                <w:szCs w:val="21"/>
              </w:rPr>
            </w:pPr>
          </w:p>
        </w:tc>
        <w:tc>
          <w:tcPr>
            <w:tcW w:w="874" w:type="dxa"/>
            <w:noWrap w:val="0"/>
            <w:vAlign w:val="top"/>
          </w:tcPr>
          <w:p w14:paraId="74B2C31E">
            <w:pPr>
              <w:spacing w:line="360" w:lineRule="auto"/>
              <w:jc w:val="center"/>
              <w:rPr>
                <w:szCs w:val="21"/>
              </w:rPr>
            </w:pPr>
          </w:p>
        </w:tc>
        <w:tc>
          <w:tcPr>
            <w:tcW w:w="1055" w:type="dxa"/>
            <w:noWrap w:val="0"/>
            <w:vAlign w:val="top"/>
          </w:tcPr>
          <w:p w14:paraId="60E2F315">
            <w:pPr>
              <w:spacing w:line="360" w:lineRule="auto"/>
              <w:jc w:val="center"/>
              <w:rPr>
                <w:szCs w:val="21"/>
              </w:rPr>
            </w:pPr>
          </w:p>
        </w:tc>
        <w:tc>
          <w:tcPr>
            <w:tcW w:w="691" w:type="dxa"/>
            <w:noWrap w:val="0"/>
            <w:vAlign w:val="top"/>
          </w:tcPr>
          <w:p w14:paraId="77ACC46D">
            <w:pPr>
              <w:spacing w:line="360" w:lineRule="auto"/>
              <w:jc w:val="center"/>
              <w:rPr>
                <w:szCs w:val="21"/>
              </w:rPr>
            </w:pPr>
          </w:p>
        </w:tc>
      </w:tr>
      <w:tr w14:paraId="5A43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7C09127">
            <w:pPr>
              <w:spacing w:line="360" w:lineRule="auto"/>
              <w:jc w:val="center"/>
              <w:rPr>
                <w:szCs w:val="21"/>
              </w:rPr>
            </w:pPr>
          </w:p>
        </w:tc>
        <w:tc>
          <w:tcPr>
            <w:tcW w:w="1086" w:type="dxa"/>
            <w:noWrap w:val="0"/>
            <w:vAlign w:val="top"/>
          </w:tcPr>
          <w:p w14:paraId="10FCB02A">
            <w:pPr>
              <w:spacing w:line="360" w:lineRule="auto"/>
              <w:jc w:val="center"/>
              <w:rPr>
                <w:szCs w:val="21"/>
              </w:rPr>
            </w:pPr>
          </w:p>
        </w:tc>
        <w:tc>
          <w:tcPr>
            <w:tcW w:w="761" w:type="dxa"/>
            <w:noWrap w:val="0"/>
            <w:vAlign w:val="top"/>
          </w:tcPr>
          <w:p w14:paraId="4784A564">
            <w:pPr>
              <w:spacing w:line="360" w:lineRule="auto"/>
              <w:jc w:val="center"/>
              <w:rPr>
                <w:szCs w:val="21"/>
              </w:rPr>
            </w:pPr>
          </w:p>
        </w:tc>
        <w:tc>
          <w:tcPr>
            <w:tcW w:w="990" w:type="dxa"/>
            <w:noWrap w:val="0"/>
            <w:vAlign w:val="top"/>
          </w:tcPr>
          <w:p w14:paraId="19D38C02">
            <w:pPr>
              <w:spacing w:line="360" w:lineRule="auto"/>
              <w:jc w:val="center"/>
              <w:rPr>
                <w:szCs w:val="21"/>
              </w:rPr>
            </w:pPr>
          </w:p>
        </w:tc>
        <w:tc>
          <w:tcPr>
            <w:tcW w:w="672" w:type="dxa"/>
            <w:noWrap w:val="0"/>
            <w:vAlign w:val="top"/>
          </w:tcPr>
          <w:p w14:paraId="26DECFBD">
            <w:pPr>
              <w:spacing w:line="360" w:lineRule="auto"/>
              <w:jc w:val="center"/>
              <w:rPr>
                <w:szCs w:val="21"/>
              </w:rPr>
            </w:pPr>
          </w:p>
        </w:tc>
        <w:tc>
          <w:tcPr>
            <w:tcW w:w="738" w:type="dxa"/>
            <w:noWrap w:val="0"/>
            <w:vAlign w:val="top"/>
          </w:tcPr>
          <w:p w14:paraId="63357A34">
            <w:pPr>
              <w:spacing w:line="360" w:lineRule="auto"/>
              <w:jc w:val="center"/>
              <w:rPr>
                <w:szCs w:val="21"/>
              </w:rPr>
            </w:pPr>
          </w:p>
        </w:tc>
        <w:tc>
          <w:tcPr>
            <w:tcW w:w="1212" w:type="dxa"/>
            <w:noWrap w:val="0"/>
            <w:vAlign w:val="top"/>
          </w:tcPr>
          <w:p w14:paraId="36747134">
            <w:pPr>
              <w:spacing w:line="360" w:lineRule="auto"/>
              <w:jc w:val="center"/>
              <w:rPr>
                <w:szCs w:val="21"/>
              </w:rPr>
            </w:pPr>
          </w:p>
        </w:tc>
        <w:tc>
          <w:tcPr>
            <w:tcW w:w="874" w:type="dxa"/>
            <w:noWrap w:val="0"/>
            <w:vAlign w:val="top"/>
          </w:tcPr>
          <w:p w14:paraId="0B040A18">
            <w:pPr>
              <w:spacing w:line="360" w:lineRule="auto"/>
              <w:jc w:val="center"/>
              <w:rPr>
                <w:szCs w:val="21"/>
              </w:rPr>
            </w:pPr>
          </w:p>
        </w:tc>
        <w:tc>
          <w:tcPr>
            <w:tcW w:w="1055" w:type="dxa"/>
            <w:noWrap w:val="0"/>
            <w:vAlign w:val="top"/>
          </w:tcPr>
          <w:p w14:paraId="03A0A6E6">
            <w:pPr>
              <w:spacing w:line="360" w:lineRule="auto"/>
              <w:jc w:val="center"/>
              <w:rPr>
                <w:szCs w:val="21"/>
              </w:rPr>
            </w:pPr>
          </w:p>
        </w:tc>
        <w:tc>
          <w:tcPr>
            <w:tcW w:w="691" w:type="dxa"/>
            <w:noWrap w:val="0"/>
            <w:vAlign w:val="top"/>
          </w:tcPr>
          <w:p w14:paraId="7AB7B72B">
            <w:pPr>
              <w:spacing w:line="360" w:lineRule="auto"/>
              <w:jc w:val="center"/>
              <w:rPr>
                <w:szCs w:val="21"/>
              </w:rPr>
            </w:pPr>
          </w:p>
        </w:tc>
      </w:tr>
      <w:tr w14:paraId="636B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40C324C1">
            <w:pPr>
              <w:spacing w:line="360" w:lineRule="auto"/>
              <w:jc w:val="center"/>
              <w:rPr>
                <w:szCs w:val="21"/>
              </w:rPr>
            </w:pPr>
          </w:p>
        </w:tc>
        <w:tc>
          <w:tcPr>
            <w:tcW w:w="1086" w:type="dxa"/>
            <w:noWrap w:val="0"/>
            <w:vAlign w:val="top"/>
          </w:tcPr>
          <w:p w14:paraId="42A64C31">
            <w:pPr>
              <w:spacing w:line="360" w:lineRule="auto"/>
              <w:jc w:val="center"/>
              <w:rPr>
                <w:szCs w:val="21"/>
              </w:rPr>
            </w:pPr>
          </w:p>
        </w:tc>
        <w:tc>
          <w:tcPr>
            <w:tcW w:w="761" w:type="dxa"/>
            <w:noWrap w:val="0"/>
            <w:vAlign w:val="top"/>
          </w:tcPr>
          <w:p w14:paraId="15A43545">
            <w:pPr>
              <w:spacing w:line="360" w:lineRule="auto"/>
              <w:jc w:val="center"/>
              <w:rPr>
                <w:szCs w:val="21"/>
              </w:rPr>
            </w:pPr>
          </w:p>
        </w:tc>
        <w:tc>
          <w:tcPr>
            <w:tcW w:w="990" w:type="dxa"/>
            <w:noWrap w:val="0"/>
            <w:vAlign w:val="top"/>
          </w:tcPr>
          <w:p w14:paraId="26F55542">
            <w:pPr>
              <w:spacing w:line="360" w:lineRule="auto"/>
              <w:jc w:val="center"/>
              <w:rPr>
                <w:szCs w:val="21"/>
              </w:rPr>
            </w:pPr>
          </w:p>
        </w:tc>
        <w:tc>
          <w:tcPr>
            <w:tcW w:w="672" w:type="dxa"/>
            <w:noWrap w:val="0"/>
            <w:vAlign w:val="top"/>
          </w:tcPr>
          <w:p w14:paraId="40E22BC9">
            <w:pPr>
              <w:spacing w:line="360" w:lineRule="auto"/>
              <w:jc w:val="center"/>
              <w:rPr>
                <w:szCs w:val="21"/>
              </w:rPr>
            </w:pPr>
          </w:p>
        </w:tc>
        <w:tc>
          <w:tcPr>
            <w:tcW w:w="738" w:type="dxa"/>
            <w:noWrap w:val="0"/>
            <w:vAlign w:val="top"/>
          </w:tcPr>
          <w:p w14:paraId="5ED86C7A">
            <w:pPr>
              <w:spacing w:line="360" w:lineRule="auto"/>
              <w:jc w:val="center"/>
              <w:rPr>
                <w:szCs w:val="21"/>
              </w:rPr>
            </w:pPr>
          </w:p>
        </w:tc>
        <w:tc>
          <w:tcPr>
            <w:tcW w:w="1212" w:type="dxa"/>
            <w:noWrap w:val="0"/>
            <w:vAlign w:val="top"/>
          </w:tcPr>
          <w:p w14:paraId="5E10EE32">
            <w:pPr>
              <w:spacing w:line="360" w:lineRule="auto"/>
              <w:jc w:val="center"/>
              <w:rPr>
                <w:szCs w:val="21"/>
              </w:rPr>
            </w:pPr>
          </w:p>
        </w:tc>
        <w:tc>
          <w:tcPr>
            <w:tcW w:w="874" w:type="dxa"/>
            <w:noWrap w:val="0"/>
            <w:vAlign w:val="top"/>
          </w:tcPr>
          <w:p w14:paraId="4D2E891F">
            <w:pPr>
              <w:spacing w:line="360" w:lineRule="auto"/>
              <w:jc w:val="center"/>
              <w:rPr>
                <w:szCs w:val="21"/>
              </w:rPr>
            </w:pPr>
          </w:p>
        </w:tc>
        <w:tc>
          <w:tcPr>
            <w:tcW w:w="1055" w:type="dxa"/>
            <w:noWrap w:val="0"/>
            <w:vAlign w:val="top"/>
          </w:tcPr>
          <w:p w14:paraId="349C37CB">
            <w:pPr>
              <w:spacing w:line="360" w:lineRule="auto"/>
              <w:jc w:val="center"/>
              <w:rPr>
                <w:szCs w:val="21"/>
              </w:rPr>
            </w:pPr>
          </w:p>
        </w:tc>
        <w:tc>
          <w:tcPr>
            <w:tcW w:w="691" w:type="dxa"/>
            <w:noWrap w:val="0"/>
            <w:vAlign w:val="top"/>
          </w:tcPr>
          <w:p w14:paraId="41A0D187">
            <w:pPr>
              <w:spacing w:line="360" w:lineRule="auto"/>
              <w:jc w:val="center"/>
              <w:rPr>
                <w:szCs w:val="21"/>
              </w:rPr>
            </w:pPr>
          </w:p>
        </w:tc>
      </w:tr>
      <w:tr w14:paraId="62AF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7F064531">
            <w:pPr>
              <w:spacing w:line="360" w:lineRule="auto"/>
              <w:jc w:val="center"/>
              <w:rPr>
                <w:szCs w:val="21"/>
              </w:rPr>
            </w:pPr>
          </w:p>
        </w:tc>
        <w:tc>
          <w:tcPr>
            <w:tcW w:w="1086" w:type="dxa"/>
            <w:noWrap w:val="0"/>
            <w:vAlign w:val="top"/>
          </w:tcPr>
          <w:p w14:paraId="58DEE478">
            <w:pPr>
              <w:spacing w:line="360" w:lineRule="auto"/>
              <w:jc w:val="center"/>
              <w:rPr>
                <w:szCs w:val="21"/>
              </w:rPr>
            </w:pPr>
          </w:p>
        </w:tc>
        <w:tc>
          <w:tcPr>
            <w:tcW w:w="761" w:type="dxa"/>
            <w:noWrap w:val="0"/>
            <w:vAlign w:val="top"/>
          </w:tcPr>
          <w:p w14:paraId="037CCDDB">
            <w:pPr>
              <w:spacing w:line="360" w:lineRule="auto"/>
              <w:jc w:val="center"/>
              <w:rPr>
                <w:szCs w:val="21"/>
              </w:rPr>
            </w:pPr>
          </w:p>
        </w:tc>
        <w:tc>
          <w:tcPr>
            <w:tcW w:w="990" w:type="dxa"/>
            <w:noWrap w:val="0"/>
            <w:vAlign w:val="top"/>
          </w:tcPr>
          <w:p w14:paraId="436E8635">
            <w:pPr>
              <w:spacing w:line="360" w:lineRule="auto"/>
              <w:jc w:val="center"/>
              <w:rPr>
                <w:szCs w:val="21"/>
              </w:rPr>
            </w:pPr>
          </w:p>
        </w:tc>
        <w:tc>
          <w:tcPr>
            <w:tcW w:w="672" w:type="dxa"/>
            <w:noWrap w:val="0"/>
            <w:vAlign w:val="top"/>
          </w:tcPr>
          <w:p w14:paraId="016E51CA">
            <w:pPr>
              <w:spacing w:line="360" w:lineRule="auto"/>
              <w:jc w:val="center"/>
              <w:rPr>
                <w:szCs w:val="21"/>
              </w:rPr>
            </w:pPr>
          </w:p>
        </w:tc>
        <w:tc>
          <w:tcPr>
            <w:tcW w:w="738" w:type="dxa"/>
            <w:noWrap w:val="0"/>
            <w:vAlign w:val="top"/>
          </w:tcPr>
          <w:p w14:paraId="76757112">
            <w:pPr>
              <w:spacing w:line="360" w:lineRule="auto"/>
              <w:jc w:val="center"/>
              <w:rPr>
                <w:szCs w:val="21"/>
              </w:rPr>
            </w:pPr>
          </w:p>
        </w:tc>
        <w:tc>
          <w:tcPr>
            <w:tcW w:w="1212" w:type="dxa"/>
            <w:noWrap w:val="0"/>
            <w:vAlign w:val="top"/>
          </w:tcPr>
          <w:p w14:paraId="16ED4087">
            <w:pPr>
              <w:spacing w:line="360" w:lineRule="auto"/>
              <w:jc w:val="center"/>
              <w:rPr>
                <w:szCs w:val="21"/>
              </w:rPr>
            </w:pPr>
          </w:p>
        </w:tc>
        <w:tc>
          <w:tcPr>
            <w:tcW w:w="874" w:type="dxa"/>
            <w:noWrap w:val="0"/>
            <w:vAlign w:val="top"/>
          </w:tcPr>
          <w:p w14:paraId="1473FECE">
            <w:pPr>
              <w:spacing w:line="360" w:lineRule="auto"/>
              <w:jc w:val="center"/>
              <w:rPr>
                <w:szCs w:val="21"/>
              </w:rPr>
            </w:pPr>
          </w:p>
        </w:tc>
        <w:tc>
          <w:tcPr>
            <w:tcW w:w="1055" w:type="dxa"/>
            <w:noWrap w:val="0"/>
            <w:vAlign w:val="top"/>
          </w:tcPr>
          <w:p w14:paraId="3DF85B24">
            <w:pPr>
              <w:spacing w:line="360" w:lineRule="auto"/>
              <w:jc w:val="center"/>
              <w:rPr>
                <w:szCs w:val="21"/>
              </w:rPr>
            </w:pPr>
          </w:p>
        </w:tc>
        <w:tc>
          <w:tcPr>
            <w:tcW w:w="691" w:type="dxa"/>
            <w:noWrap w:val="0"/>
            <w:vAlign w:val="top"/>
          </w:tcPr>
          <w:p w14:paraId="1468E2B3">
            <w:pPr>
              <w:spacing w:line="360" w:lineRule="auto"/>
              <w:jc w:val="center"/>
              <w:rPr>
                <w:szCs w:val="21"/>
              </w:rPr>
            </w:pPr>
          </w:p>
        </w:tc>
      </w:tr>
      <w:tr w14:paraId="53E2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3C768247">
            <w:pPr>
              <w:spacing w:line="360" w:lineRule="auto"/>
              <w:jc w:val="center"/>
              <w:rPr>
                <w:szCs w:val="21"/>
              </w:rPr>
            </w:pPr>
          </w:p>
        </w:tc>
        <w:tc>
          <w:tcPr>
            <w:tcW w:w="1086" w:type="dxa"/>
            <w:noWrap w:val="0"/>
            <w:vAlign w:val="top"/>
          </w:tcPr>
          <w:p w14:paraId="754522F6">
            <w:pPr>
              <w:spacing w:line="360" w:lineRule="auto"/>
              <w:jc w:val="center"/>
              <w:rPr>
                <w:szCs w:val="21"/>
              </w:rPr>
            </w:pPr>
          </w:p>
        </w:tc>
        <w:tc>
          <w:tcPr>
            <w:tcW w:w="761" w:type="dxa"/>
            <w:noWrap w:val="0"/>
            <w:vAlign w:val="top"/>
          </w:tcPr>
          <w:p w14:paraId="742410EB">
            <w:pPr>
              <w:spacing w:line="360" w:lineRule="auto"/>
              <w:jc w:val="center"/>
              <w:rPr>
                <w:szCs w:val="21"/>
              </w:rPr>
            </w:pPr>
          </w:p>
        </w:tc>
        <w:tc>
          <w:tcPr>
            <w:tcW w:w="990" w:type="dxa"/>
            <w:noWrap w:val="0"/>
            <w:vAlign w:val="top"/>
          </w:tcPr>
          <w:p w14:paraId="256FE5C5">
            <w:pPr>
              <w:spacing w:line="360" w:lineRule="auto"/>
              <w:jc w:val="center"/>
              <w:rPr>
                <w:szCs w:val="21"/>
              </w:rPr>
            </w:pPr>
          </w:p>
        </w:tc>
        <w:tc>
          <w:tcPr>
            <w:tcW w:w="672" w:type="dxa"/>
            <w:noWrap w:val="0"/>
            <w:vAlign w:val="top"/>
          </w:tcPr>
          <w:p w14:paraId="76934E00">
            <w:pPr>
              <w:spacing w:line="360" w:lineRule="auto"/>
              <w:jc w:val="center"/>
              <w:rPr>
                <w:szCs w:val="21"/>
              </w:rPr>
            </w:pPr>
          </w:p>
        </w:tc>
        <w:tc>
          <w:tcPr>
            <w:tcW w:w="738" w:type="dxa"/>
            <w:noWrap w:val="0"/>
            <w:vAlign w:val="top"/>
          </w:tcPr>
          <w:p w14:paraId="4F1008A2">
            <w:pPr>
              <w:spacing w:line="360" w:lineRule="auto"/>
              <w:jc w:val="center"/>
              <w:rPr>
                <w:szCs w:val="21"/>
              </w:rPr>
            </w:pPr>
          </w:p>
        </w:tc>
        <w:tc>
          <w:tcPr>
            <w:tcW w:w="1212" w:type="dxa"/>
            <w:noWrap w:val="0"/>
            <w:vAlign w:val="top"/>
          </w:tcPr>
          <w:p w14:paraId="333D8E64">
            <w:pPr>
              <w:spacing w:line="360" w:lineRule="auto"/>
              <w:jc w:val="center"/>
              <w:rPr>
                <w:szCs w:val="21"/>
              </w:rPr>
            </w:pPr>
          </w:p>
        </w:tc>
        <w:tc>
          <w:tcPr>
            <w:tcW w:w="874" w:type="dxa"/>
            <w:noWrap w:val="0"/>
            <w:vAlign w:val="top"/>
          </w:tcPr>
          <w:p w14:paraId="38F05EB2">
            <w:pPr>
              <w:spacing w:line="360" w:lineRule="auto"/>
              <w:jc w:val="center"/>
              <w:rPr>
                <w:szCs w:val="21"/>
              </w:rPr>
            </w:pPr>
          </w:p>
        </w:tc>
        <w:tc>
          <w:tcPr>
            <w:tcW w:w="1055" w:type="dxa"/>
            <w:noWrap w:val="0"/>
            <w:vAlign w:val="top"/>
          </w:tcPr>
          <w:p w14:paraId="188D973E">
            <w:pPr>
              <w:spacing w:line="360" w:lineRule="auto"/>
              <w:jc w:val="center"/>
              <w:rPr>
                <w:szCs w:val="21"/>
              </w:rPr>
            </w:pPr>
          </w:p>
        </w:tc>
        <w:tc>
          <w:tcPr>
            <w:tcW w:w="691" w:type="dxa"/>
            <w:noWrap w:val="0"/>
            <w:vAlign w:val="top"/>
          </w:tcPr>
          <w:p w14:paraId="1B92E97E">
            <w:pPr>
              <w:spacing w:line="360" w:lineRule="auto"/>
              <w:jc w:val="center"/>
              <w:rPr>
                <w:szCs w:val="21"/>
              </w:rPr>
            </w:pPr>
          </w:p>
        </w:tc>
      </w:tr>
      <w:tr w14:paraId="646A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19754853">
            <w:pPr>
              <w:spacing w:line="360" w:lineRule="auto"/>
              <w:jc w:val="center"/>
              <w:rPr>
                <w:szCs w:val="21"/>
              </w:rPr>
            </w:pPr>
          </w:p>
        </w:tc>
        <w:tc>
          <w:tcPr>
            <w:tcW w:w="1086" w:type="dxa"/>
            <w:noWrap w:val="0"/>
            <w:vAlign w:val="top"/>
          </w:tcPr>
          <w:p w14:paraId="6BBDD580">
            <w:pPr>
              <w:spacing w:line="360" w:lineRule="auto"/>
              <w:jc w:val="center"/>
              <w:rPr>
                <w:szCs w:val="21"/>
              </w:rPr>
            </w:pPr>
          </w:p>
        </w:tc>
        <w:tc>
          <w:tcPr>
            <w:tcW w:w="761" w:type="dxa"/>
            <w:noWrap w:val="0"/>
            <w:vAlign w:val="top"/>
          </w:tcPr>
          <w:p w14:paraId="01B62AA2">
            <w:pPr>
              <w:spacing w:line="360" w:lineRule="auto"/>
              <w:jc w:val="center"/>
              <w:rPr>
                <w:szCs w:val="21"/>
              </w:rPr>
            </w:pPr>
          </w:p>
        </w:tc>
        <w:tc>
          <w:tcPr>
            <w:tcW w:w="990" w:type="dxa"/>
            <w:noWrap w:val="0"/>
            <w:vAlign w:val="top"/>
          </w:tcPr>
          <w:p w14:paraId="7EA81C1B">
            <w:pPr>
              <w:spacing w:line="360" w:lineRule="auto"/>
              <w:jc w:val="center"/>
              <w:rPr>
                <w:szCs w:val="21"/>
              </w:rPr>
            </w:pPr>
          </w:p>
        </w:tc>
        <w:tc>
          <w:tcPr>
            <w:tcW w:w="672" w:type="dxa"/>
            <w:noWrap w:val="0"/>
            <w:vAlign w:val="top"/>
          </w:tcPr>
          <w:p w14:paraId="1544169D">
            <w:pPr>
              <w:spacing w:line="360" w:lineRule="auto"/>
              <w:jc w:val="center"/>
              <w:rPr>
                <w:szCs w:val="21"/>
              </w:rPr>
            </w:pPr>
          </w:p>
        </w:tc>
        <w:tc>
          <w:tcPr>
            <w:tcW w:w="738" w:type="dxa"/>
            <w:noWrap w:val="0"/>
            <w:vAlign w:val="top"/>
          </w:tcPr>
          <w:p w14:paraId="790804B5">
            <w:pPr>
              <w:spacing w:line="360" w:lineRule="auto"/>
              <w:jc w:val="center"/>
              <w:rPr>
                <w:szCs w:val="21"/>
              </w:rPr>
            </w:pPr>
          </w:p>
        </w:tc>
        <w:tc>
          <w:tcPr>
            <w:tcW w:w="1212" w:type="dxa"/>
            <w:noWrap w:val="0"/>
            <w:vAlign w:val="top"/>
          </w:tcPr>
          <w:p w14:paraId="4459509A">
            <w:pPr>
              <w:spacing w:line="360" w:lineRule="auto"/>
              <w:jc w:val="center"/>
              <w:rPr>
                <w:szCs w:val="21"/>
              </w:rPr>
            </w:pPr>
          </w:p>
        </w:tc>
        <w:tc>
          <w:tcPr>
            <w:tcW w:w="874" w:type="dxa"/>
            <w:noWrap w:val="0"/>
            <w:vAlign w:val="top"/>
          </w:tcPr>
          <w:p w14:paraId="7A21B4AE">
            <w:pPr>
              <w:spacing w:line="360" w:lineRule="auto"/>
              <w:jc w:val="center"/>
              <w:rPr>
                <w:szCs w:val="21"/>
              </w:rPr>
            </w:pPr>
          </w:p>
        </w:tc>
        <w:tc>
          <w:tcPr>
            <w:tcW w:w="1055" w:type="dxa"/>
            <w:noWrap w:val="0"/>
            <w:vAlign w:val="top"/>
          </w:tcPr>
          <w:p w14:paraId="7AD408F0">
            <w:pPr>
              <w:spacing w:line="360" w:lineRule="auto"/>
              <w:jc w:val="center"/>
              <w:rPr>
                <w:szCs w:val="21"/>
              </w:rPr>
            </w:pPr>
          </w:p>
        </w:tc>
        <w:tc>
          <w:tcPr>
            <w:tcW w:w="691" w:type="dxa"/>
            <w:noWrap w:val="0"/>
            <w:vAlign w:val="top"/>
          </w:tcPr>
          <w:p w14:paraId="36F121DF">
            <w:pPr>
              <w:spacing w:line="360" w:lineRule="auto"/>
              <w:jc w:val="center"/>
              <w:rPr>
                <w:szCs w:val="21"/>
              </w:rPr>
            </w:pPr>
          </w:p>
        </w:tc>
      </w:tr>
      <w:tr w14:paraId="06CA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5" w:type="dxa"/>
            <w:noWrap w:val="0"/>
            <w:vAlign w:val="top"/>
          </w:tcPr>
          <w:p w14:paraId="4C359B81">
            <w:pPr>
              <w:spacing w:line="360" w:lineRule="auto"/>
              <w:jc w:val="center"/>
              <w:rPr>
                <w:szCs w:val="21"/>
              </w:rPr>
            </w:pPr>
          </w:p>
        </w:tc>
        <w:tc>
          <w:tcPr>
            <w:tcW w:w="1086" w:type="dxa"/>
            <w:noWrap w:val="0"/>
            <w:vAlign w:val="top"/>
          </w:tcPr>
          <w:p w14:paraId="7860A7D1">
            <w:pPr>
              <w:spacing w:line="360" w:lineRule="auto"/>
              <w:jc w:val="center"/>
              <w:rPr>
                <w:szCs w:val="21"/>
              </w:rPr>
            </w:pPr>
          </w:p>
        </w:tc>
        <w:tc>
          <w:tcPr>
            <w:tcW w:w="761" w:type="dxa"/>
            <w:noWrap w:val="0"/>
            <w:vAlign w:val="top"/>
          </w:tcPr>
          <w:p w14:paraId="474A3C1D">
            <w:pPr>
              <w:spacing w:line="360" w:lineRule="auto"/>
              <w:jc w:val="center"/>
              <w:rPr>
                <w:szCs w:val="21"/>
              </w:rPr>
            </w:pPr>
          </w:p>
        </w:tc>
        <w:tc>
          <w:tcPr>
            <w:tcW w:w="990" w:type="dxa"/>
            <w:noWrap w:val="0"/>
            <w:vAlign w:val="top"/>
          </w:tcPr>
          <w:p w14:paraId="431E1E0E">
            <w:pPr>
              <w:spacing w:line="360" w:lineRule="auto"/>
              <w:jc w:val="center"/>
              <w:rPr>
                <w:szCs w:val="21"/>
              </w:rPr>
            </w:pPr>
          </w:p>
        </w:tc>
        <w:tc>
          <w:tcPr>
            <w:tcW w:w="672" w:type="dxa"/>
            <w:noWrap w:val="0"/>
            <w:vAlign w:val="top"/>
          </w:tcPr>
          <w:p w14:paraId="37B1794B">
            <w:pPr>
              <w:spacing w:line="360" w:lineRule="auto"/>
              <w:jc w:val="center"/>
              <w:rPr>
                <w:szCs w:val="21"/>
              </w:rPr>
            </w:pPr>
          </w:p>
        </w:tc>
        <w:tc>
          <w:tcPr>
            <w:tcW w:w="738" w:type="dxa"/>
            <w:noWrap w:val="0"/>
            <w:vAlign w:val="top"/>
          </w:tcPr>
          <w:p w14:paraId="1A9371FD">
            <w:pPr>
              <w:spacing w:line="360" w:lineRule="auto"/>
              <w:jc w:val="center"/>
              <w:rPr>
                <w:szCs w:val="21"/>
              </w:rPr>
            </w:pPr>
          </w:p>
        </w:tc>
        <w:tc>
          <w:tcPr>
            <w:tcW w:w="1212" w:type="dxa"/>
            <w:noWrap w:val="0"/>
            <w:vAlign w:val="top"/>
          </w:tcPr>
          <w:p w14:paraId="6261BCD6">
            <w:pPr>
              <w:spacing w:line="360" w:lineRule="auto"/>
              <w:jc w:val="center"/>
              <w:rPr>
                <w:szCs w:val="21"/>
              </w:rPr>
            </w:pPr>
          </w:p>
        </w:tc>
        <w:tc>
          <w:tcPr>
            <w:tcW w:w="874" w:type="dxa"/>
            <w:noWrap w:val="0"/>
            <w:vAlign w:val="top"/>
          </w:tcPr>
          <w:p w14:paraId="342870BF">
            <w:pPr>
              <w:spacing w:line="360" w:lineRule="auto"/>
              <w:jc w:val="center"/>
              <w:rPr>
                <w:szCs w:val="21"/>
              </w:rPr>
            </w:pPr>
          </w:p>
        </w:tc>
        <w:tc>
          <w:tcPr>
            <w:tcW w:w="1055" w:type="dxa"/>
            <w:noWrap w:val="0"/>
            <w:vAlign w:val="top"/>
          </w:tcPr>
          <w:p w14:paraId="07E48117">
            <w:pPr>
              <w:spacing w:line="360" w:lineRule="auto"/>
              <w:jc w:val="center"/>
              <w:rPr>
                <w:szCs w:val="21"/>
              </w:rPr>
            </w:pPr>
          </w:p>
        </w:tc>
        <w:tc>
          <w:tcPr>
            <w:tcW w:w="691" w:type="dxa"/>
            <w:noWrap w:val="0"/>
            <w:vAlign w:val="top"/>
          </w:tcPr>
          <w:p w14:paraId="5D4356BC">
            <w:pPr>
              <w:spacing w:line="360" w:lineRule="auto"/>
              <w:jc w:val="center"/>
              <w:rPr>
                <w:szCs w:val="21"/>
              </w:rPr>
            </w:pPr>
          </w:p>
        </w:tc>
      </w:tr>
    </w:tbl>
    <w:p w14:paraId="1836EC9A">
      <w:pPr>
        <w:spacing w:line="360" w:lineRule="auto"/>
        <w:rPr>
          <w:rFonts w:eastAsia="黑体"/>
          <w:sz w:val="20"/>
          <w:szCs w:val="20"/>
        </w:rPr>
      </w:pPr>
    </w:p>
    <w:p w14:paraId="64191441">
      <w:pPr>
        <w:pStyle w:val="4"/>
        <w:spacing w:line="360" w:lineRule="auto"/>
        <w:jc w:val="center"/>
        <w:rPr>
          <w:sz w:val="20"/>
          <w:szCs w:val="20"/>
        </w:rPr>
      </w:pPr>
      <w:bookmarkStart w:id="257" w:name="_Toc256000365"/>
      <w:r>
        <w:rPr>
          <w:rFonts w:hint="eastAsia"/>
          <w:highlight w:val="white"/>
        </w:rPr>
        <w:t>（七）</w:t>
      </w:r>
      <w:r>
        <w:rPr>
          <w:highlight w:val="white"/>
        </w:rPr>
        <w:t>拟配备本</w:t>
      </w:r>
      <w:r>
        <w:rPr>
          <w:rFonts w:hint="eastAsia"/>
          <w:highlight w:val="white"/>
        </w:rPr>
        <w:t>项目</w:t>
      </w:r>
      <w:r>
        <w:rPr>
          <w:highlight w:val="white"/>
        </w:rPr>
        <w:t>的试验和检测仪器设备表</w:t>
      </w:r>
      <w:bookmarkEnd w:id="257"/>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760"/>
        <w:gridCol w:w="991"/>
        <w:gridCol w:w="672"/>
        <w:gridCol w:w="738"/>
        <w:gridCol w:w="1212"/>
        <w:gridCol w:w="1653"/>
        <w:gridCol w:w="688"/>
      </w:tblGrid>
      <w:tr w14:paraId="0226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center"/>
          </w:tcPr>
          <w:p w14:paraId="7BA7913F">
            <w:pPr>
              <w:spacing w:line="360" w:lineRule="auto"/>
              <w:rPr>
                <w:szCs w:val="21"/>
              </w:rPr>
            </w:pPr>
            <w:r>
              <w:rPr>
                <w:szCs w:val="21"/>
                <w:highlight w:val="white"/>
              </w:rPr>
              <w:t>序号</w:t>
            </w:r>
          </w:p>
        </w:tc>
        <w:tc>
          <w:tcPr>
            <w:tcW w:w="1087" w:type="dxa"/>
            <w:noWrap w:val="0"/>
            <w:vAlign w:val="center"/>
          </w:tcPr>
          <w:p w14:paraId="4826CF77">
            <w:pPr>
              <w:spacing w:line="360" w:lineRule="auto"/>
              <w:jc w:val="center"/>
              <w:rPr>
                <w:szCs w:val="21"/>
              </w:rPr>
            </w:pPr>
            <w:r>
              <w:rPr>
                <w:szCs w:val="21"/>
                <w:highlight w:val="white"/>
              </w:rPr>
              <w:t>仪器设备名称</w:t>
            </w:r>
          </w:p>
        </w:tc>
        <w:tc>
          <w:tcPr>
            <w:tcW w:w="760" w:type="dxa"/>
            <w:noWrap w:val="0"/>
            <w:vAlign w:val="center"/>
          </w:tcPr>
          <w:p w14:paraId="76BC93C5">
            <w:pPr>
              <w:spacing w:line="360" w:lineRule="auto"/>
              <w:jc w:val="center"/>
              <w:rPr>
                <w:szCs w:val="21"/>
              </w:rPr>
            </w:pPr>
            <w:r>
              <w:rPr>
                <w:szCs w:val="21"/>
                <w:highlight w:val="white"/>
              </w:rPr>
              <w:t>型号</w:t>
            </w:r>
          </w:p>
          <w:p w14:paraId="6534C3D5">
            <w:pPr>
              <w:spacing w:line="360" w:lineRule="auto"/>
              <w:jc w:val="center"/>
              <w:rPr>
                <w:szCs w:val="21"/>
              </w:rPr>
            </w:pPr>
            <w:r>
              <w:rPr>
                <w:szCs w:val="21"/>
                <w:highlight w:val="white"/>
              </w:rPr>
              <w:t>规格</w:t>
            </w:r>
          </w:p>
        </w:tc>
        <w:tc>
          <w:tcPr>
            <w:tcW w:w="991" w:type="dxa"/>
            <w:noWrap w:val="0"/>
            <w:vAlign w:val="center"/>
          </w:tcPr>
          <w:p w14:paraId="7603B570">
            <w:pPr>
              <w:spacing w:line="360" w:lineRule="auto"/>
              <w:jc w:val="center"/>
              <w:rPr>
                <w:szCs w:val="21"/>
              </w:rPr>
            </w:pPr>
            <w:r>
              <w:rPr>
                <w:szCs w:val="21"/>
                <w:highlight w:val="white"/>
              </w:rPr>
              <w:t>数量</w:t>
            </w:r>
          </w:p>
        </w:tc>
        <w:tc>
          <w:tcPr>
            <w:tcW w:w="672" w:type="dxa"/>
            <w:noWrap w:val="0"/>
            <w:vAlign w:val="center"/>
          </w:tcPr>
          <w:p w14:paraId="6D30B7FB">
            <w:pPr>
              <w:spacing w:line="360" w:lineRule="auto"/>
              <w:jc w:val="center"/>
              <w:rPr>
                <w:szCs w:val="21"/>
              </w:rPr>
            </w:pPr>
            <w:r>
              <w:rPr>
                <w:szCs w:val="21"/>
                <w:highlight w:val="white"/>
              </w:rPr>
              <w:t>国别</w:t>
            </w:r>
          </w:p>
          <w:p w14:paraId="19776431">
            <w:pPr>
              <w:spacing w:line="360" w:lineRule="auto"/>
              <w:jc w:val="center"/>
              <w:rPr>
                <w:szCs w:val="21"/>
              </w:rPr>
            </w:pPr>
            <w:r>
              <w:rPr>
                <w:szCs w:val="21"/>
                <w:highlight w:val="white"/>
              </w:rPr>
              <w:t>产地</w:t>
            </w:r>
          </w:p>
        </w:tc>
        <w:tc>
          <w:tcPr>
            <w:tcW w:w="738" w:type="dxa"/>
            <w:noWrap w:val="0"/>
            <w:vAlign w:val="center"/>
          </w:tcPr>
          <w:p w14:paraId="30533BB9">
            <w:pPr>
              <w:spacing w:line="360" w:lineRule="auto"/>
              <w:jc w:val="center"/>
              <w:rPr>
                <w:szCs w:val="21"/>
              </w:rPr>
            </w:pPr>
            <w:r>
              <w:rPr>
                <w:szCs w:val="21"/>
                <w:highlight w:val="white"/>
              </w:rPr>
              <w:t>制造</w:t>
            </w:r>
          </w:p>
          <w:p w14:paraId="22944681">
            <w:pPr>
              <w:spacing w:line="360" w:lineRule="auto"/>
              <w:jc w:val="center"/>
              <w:rPr>
                <w:szCs w:val="21"/>
              </w:rPr>
            </w:pPr>
            <w:r>
              <w:rPr>
                <w:szCs w:val="21"/>
                <w:highlight w:val="white"/>
              </w:rPr>
              <w:t>年份</w:t>
            </w:r>
          </w:p>
        </w:tc>
        <w:tc>
          <w:tcPr>
            <w:tcW w:w="1212" w:type="dxa"/>
            <w:noWrap w:val="0"/>
            <w:vAlign w:val="center"/>
          </w:tcPr>
          <w:p w14:paraId="7B89B660">
            <w:pPr>
              <w:spacing w:line="360" w:lineRule="auto"/>
              <w:jc w:val="center"/>
              <w:rPr>
                <w:szCs w:val="21"/>
              </w:rPr>
            </w:pPr>
            <w:r>
              <w:rPr>
                <w:szCs w:val="21"/>
                <w:highlight w:val="white"/>
              </w:rPr>
              <w:t>已使用台时数</w:t>
            </w:r>
          </w:p>
        </w:tc>
        <w:tc>
          <w:tcPr>
            <w:tcW w:w="1653" w:type="dxa"/>
            <w:noWrap w:val="0"/>
            <w:vAlign w:val="center"/>
          </w:tcPr>
          <w:p w14:paraId="376D263E">
            <w:pPr>
              <w:spacing w:line="360" w:lineRule="auto"/>
              <w:jc w:val="center"/>
              <w:rPr>
                <w:szCs w:val="21"/>
              </w:rPr>
            </w:pPr>
            <w:r>
              <w:rPr>
                <w:szCs w:val="21"/>
                <w:highlight w:val="white"/>
              </w:rPr>
              <w:t>用途</w:t>
            </w:r>
          </w:p>
        </w:tc>
        <w:tc>
          <w:tcPr>
            <w:tcW w:w="688" w:type="dxa"/>
            <w:noWrap w:val="0"/>
            <w:vAlign w:val="center"/>
          </w:tcPr>
          <w:p w14:paraId="6E907EE9">
            <w:pPr>
              <w:spacing w:line="360" w:lineRule="auto"/>
              <w:jc w:val="center"/>
              <w:rPr>
                <w:szCs w:val="21"/>
              </w:rPr>
            </w:pPr>
            <w:r>
              <w:rPr>
                <w:szCs w:val="21"/>
                <w:highlight w:val="white"/>
              </w:rPr>
              <w:t>备注</w:t>
            </w:r>
          </w:p>
        </w:tc>
      </w:tr>
      <w:tr w14:paraId="7588B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center"/>
          </w:tcPr>
          <w:p w14:paraId="210A2264">
            <w:pPr>
              <w:spacing w:line="360" w:lineRule="auto"/>
              <w:jc w:val="center"/>
              <w:rPr>
                <w:szCs w:val="21"/>
              </w:rPr>
            </w:pPr>
          </w:p>
        </w:tc>
        <w:tc>
          <w:tcPr>
            <w:tcW w:w="1087" w:type="dxa"/>
            <w:noWrap w:val="0"/>
            <w:vAlign w:val="center"/>
          </w:tcPr>
          <w:p w14:paraId="7275C788">
            <w:pPr>
              <w:spacing w:line="360" w:lineRule="auto"/>
              <w:jc w:val="center"/>
              <w:rPr>
                <w:szCs w:val="21"/>
              </w:rPr>
            </w:pPr>
          </w:p>
        </w:tc>
        <w:tc>
          <w:tcPr>
            <w:tcW w:w="760" w:type="dxa"/>
            <w:noWrap w:val="0"/>
            <w:vAlign w:val="center"/>
          </w:tcPr>
          <w:p w14:paraId="23C674AD">
            <w:pPr>
              <w:spacing w:line="360" w:lineRule="auto"/>
              <w:jc w:val="center"/>
              <w:rPr>
                <w:szCs w:val="21"/>
              </w:rPr>
            </w:pPr>
          </w:p>
        </w:tc>
        <w:tc>
          <w:tcPr>
            <w:tcW w:w="991" w:type="dxa"/>
            <w:noWrap w:val="0"/>
            <w:vAlign w:val="center"/>
          </w:tcPr>
          <w:p w14:paraId="0F3D699D">
            <w:pPr>
              <w:spacing w:line="360" w:lineRule="auto"/>
              <w:jc w:val="center"/>
              <w:rPr>
                <w:szCs w:val="21"/>
              </w:rPr>
            </w:pPr>
          </w:p>
        </w:tc>
        <w:tc>
          <w:tcPr>
            <w:tcW w:w="672" w:type="dxa"/>
            <w:noWrap w:val="0"/>
            <w:vAlign w:val="center"/>
          </w:tcPr>
          <w:p w14:paraId="187D7849">
            <w:pPr>
              <w:spacing w:line="360" w:lineRule="auto"/>
              <w:jc w:val="center"/>
              <w:rPr>
                <w:szCs w:val="21"/>
              </w:rPr>
            </w:pPr>
          </w:p>
        </w:tc>
        <w:tc>
          <w:tcPr>
            <w:tcW w:w="738" w:type="dxa"/>
            <w:noWrap w:val="0"/>
            <w:vAlign w:val="center"/>
          </w:tcPr>
          <w:p w14:paraId="6D2CD1BE">
            <w:pPr>
              <w:spacing w:line="360" w:lineRule="auto"/>
              <w:jc w:val="center"/>
              <w:rPr>
                <w:szCs w:val="21"/>
              </w:rPr>
            </w:pPr>
          </w:p>
        </w:tc>
        <w:tc>
          <w:tcPr>
            <w:tcW w:w="1212" w:type="dxa"/>
            <w:noWrap w:val="0"/>
            <w:vAlign w:val="center"/>
          </w:tcPr>
          <w:p w14:paraId="4711BF76">
            <w:pPr>
              <w:spacing w:line="360" w:lineRule="auto"/>
              <w:jc w:val="center"/>
              <w:rPr>
                <w:szCs w:val="21"/>
              </w:rPr>
            </w:pPr>
          </w:p>
        </w:tc>
        <w:tc>
          <w:tcPr>
            <w:tcW w:w="1653" w:type="dxa"/>
            <w:noWrap w:val="0"/>
            <w:vAlign w:val="center"/>
          </w:tcPr>
          <w:p w14:paraId="6109BA36">
            <w:pPr>
              <w:spacing w:line="360" w:lineRule="auto"/>
              <w:jc w:val="center"/>
              <w:rPr>
                <w:szCs w:val="21"/>
              </w:rPr>
            </w:pPr>
          </w:p>
        </w:tc>
        <w:tc>
          <w:tcPr>
            <w:tcW w:w="688" w:type="dxa"/>
            <w:noWrap w:val="0"/>
            <w:vAlign w:val="center"/>
          </w:tcPr>
          <w:p w14:paraId="2EEF587D">
            <w:pPr>
              <w:spacing w:line="360" w:lineRule="auto"/>
              <w:jc w:val="center"/>
              <w:rPr>
                <w:szCs w:val="21"/>
              </w:rPr>
            </w:pPr>
          </w:p>
        </w:tc>
      </w:tr>
      <w:tr w14:paraId="4EB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center"/>
          </w:tcPr>
          <w:p w14:paraId="466CF282">
            <w:pPr>
              <w:spacing w:line="360" w:lineRule="auto"/>
              <w:jc w:val="center"/>
              <w:rPr>
                <w:szCs w:val="21"/>
              </w:rPr>
            </w:pPr>
          </w:p>
        </w:tc>
        <w:tc>
          <w:tcPr>
            <w:tcW w:w="1087" w:type="dxa"/>
            <w:noWrap w:val="0"/>
            <w:vAlign w:val="center"/>
          </w:tcPr>
          <w:p w14:paraId="5EE3907C">
            <w:pPr>
              <w:spacing w:line="360" w:lineRule="auto"/>
              <w:jc w:val="center"/>
              <w:rPr>
                <w:szCs w:val="21"/>
              </w:rPr>
            </w:pPr>
          </w:p>
        </w:tc>
        <w:tc>
          <w:tcPr>
            <w:tcW w:w="760" w:type="dxa"/>
            <w:noWrap w:val="0"/>
            <w:vAlign w:val="center"/>
          </w:tcPr>
          <w:p w14:paraId="1B7E27C5">
            <w:pPr>
              <w:spacing w:line="360" w:lineRule="auto"/>
              <w:jc w:val="center"/>
              <w:rPr>
                <w:szCs w:val="21"/>
              </w:rPr>
            </w:pPr>
          </w:p>
        </w:tc>
        <w:tc>
          <w:tcPr>
            <w:tcW w:w="991" w:type="dxa"/>
            <w:noWrap w:val="0"/>
            <w:vAlign w:val="center"/>
          </w:tcPr>
          <w:p w14:paraId="3D954181">
            <w:pPr>
              <w:spacing w:line="360" w:lineRule="auto"/>
              <w:jc w:val="center"/>
              <w:rPr>
                <w:szCs w:val="21"/>
              </w:rPr>
            </w:pPr>
          </w:p>
        </w:tc>
        <w:tc>
          <w:tcPr>
            <w:tcW w:w="672" w:type="dxa"/>
            <w:noWrap w:val="0"/>
            <w:vAlign w:val="center"/>
          </w:tcPr>
          <w:p w14:paraId="584E79BE">
            <w:pPr>
              <w:spacing w:line="360" w:lineRule="auto"/>
              <w:jc w:val="center"/>
              <w:rPr>
                <w:szCs w:val="21"/>
              </w:rPr>
            </w:pPr>
          </w:p>
        </w:tc>
        <w:tc>
          <w:tcPr>
            <w:tcW w:w="738" w:type="dxa"/>
            <w:noWrap w:val="0"/>
            <w:vAlign w:val="center"/>
          </w:tcPr>
          <w:p w14:paraId="5C42974B">
            <w:pPr>
              <w:spacing w:line="360" w:lineRule="auto"/>
              <w:jc w:val="center"/>
              <w:rPr>
                <w:szCs w:val="21"/>
              </w:rPr>
            </w:pPr>
          </w:p>
        </w:tc>
        <w:tc>
          <w:tcPr>
            <w:tcW w:w="1212" w:type="dxa"/>
            <w:noWrap w:val="0"/>
            <w:vAlign w:val="center"/>
          </w:tcPr>
          <w:p w14:paraId="54538E33">
            <w:pPr>
              <w:spacing w:line="360" w:lineRule="auto"/>
              <w:jc w:val="center"/>
              <w:rPr>
                <w:szCs w:val="21"/>
              </w:rPr>
            </w:pPr>
          </w:p>
        </w:tc>
        <w:tc>
          <w:tcPr>
            <w:tcW w:w="1653" w:type="dxa"/>
            <w:noWrap w:val="0"/>
            <w:vAlign w:val="center"/>
          </w:tcPr>
          <w:p w14:paraId="1BD6C0B0">
            <w:pPr>
              <w:spacing w:line="360" w:lineRule="auto"/>
              <w:jc w:val="center"/>
              <w:rPr>
                <w:szCs w:val="21"/>
              </w:rPr>
            </w:pPr>
          </w:p>
        </w:tc>
        <w:tc>
          <w:tcPr>
            <w:tcW w:w="688" w:type="dxa"/>
            <w:noWrap w:val="0"/>
            <w:vAlign w:val="center"/>
          </w:tcPr>
          <w:p w14:paraId="5371262F">
            <w:pPr>
              <w:spacing w:line="360" w:lineRule="auto"/>
              <w:jc w:val="center"/>
              <w:rPr>
                <w:szCs w:val="21"/>
              </w:rPr>
            </w:pPr>
          </w:p>
        </w:tc>
      </w:tr>
      <w:tr w14:paraId="3A91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0D84F92F">
            <w:pPr>
              <w:spacing w:line="360" w:lineRule="auto"/>
              <w:jc w:val="center"/>
              <w:rPr>
                <w:szCs w:val="21"/>
              </w:rPr>
            </w:pPr>
          </w:p>
        </w:tc>
        <w:tc>
          <w:tcPr>
            <w:tcW w:w="1087" w:type="dxa"/>
            <w:noWrap w:val="0"/>
            <w:vAlign w:val="top"/>
          </w:tcPr>
          <w:p w14:paraId="3AEBF0AE">
            <w:pPr>
              <w:spacing w:line="360" w:lineRule="auto"/>
              <w:jc w:val="center"/>
              <w:rPr>
                <w:szCs w:val="21"/>
              </w:rPr>
            </w:pPr>
          </w:p>
        </w:tc>
        <w:tc>
          <w:tcPr>
            <w:tcW w:w="760" w:type="dxa"/>
            <w:noWrap w:val="0"/>
            <w:vAlign w:val="top"/>
          </w:tcPr>
          <w:p w14:paraId="21F96507">
            <w:pPr>
              <w:spacing w:line="360" w:lineRule="auto"/>
              <w:jc w:val="center"/>
              <w:rPr>
                <w:szCs w:val="21"/>
              </w:rPr>
            </w:pPr>
          </w:p>
        </w:tc>
        <w:tc>
          <w:tcPr>
            <w:tcW w:w="991" w:type="dxa"/>
            <w:noWrap w:val="0"/>
            <w:vAlign w:val="top"/>
          </w:tcPr>
          <w:p w14:paraId="25875241">
            <w:pPr>
              <w:spacing w:line="360" w:lineRule="auto"/>
              <w:jc w:val="center"/>
              <w:rPr>
                <w:szCs w:val="21"/>
              </w:rPr>
            </w:pPr>
          </w:p>
        </w:tc>
        <w:tc>
          <w:tcPr>
            <w:tcW w:w="672" w:type="dxa"/>
            <w:noWrap w:val="0"/>
            <w:vAlign w:val="top"/>
          </w:tcPr>
          <w:p w14:paraId="3202E1FB">
            <w:pPr>
              <w:spacing w:line="360" w:lineRule="auto"/>
              <w:jc w:val="center"/>
              <w:rPr>
                <w:szCs w:val="21"/>
              </w:rPr>
            </w:pPr>
          </w:p>
        </w:tc>
        <w:tc>
          <w:tcPr>
            <w:tcW w:w="738" w:type="dxa"/>
            <w:noWrap w:val="0"/>
            <w:vAlign w:val="top"/>
          </w:tcPr>
          <w:p w14:paraId="6894F29D">
            <w:pPr>
              <w:spacing w:line="360" w:lineRule="auto"/>
              <w:jc w:val="center"/>
              <w:rPr>
                <w:szCs w:val="21"/>
              </w:rPr>
            </w:pPr>
          </w:p>
        </w:tc>
        <w:tc>
          <w:tcPr>
            <w:tcW w:w="1212" w:type="dxa"/>
            <w:noWrap w:val="0"/>
            <w:vAlign w:val="top"/>
          </w:tcPr>
          <w:p w14:paraId="20138F66">
            <w:pPr>
              <w:spacing w:line="360" w:lineRule="auto"/>
              <w:jc w:val="center"/>
              <w:rPr>
                <w:szCs w:val="21"/>
              </w:rPr>
            </w:pPr>
          </w:p>
        </w:tc>
        <w:tc>
          <w:tcPr>
            <w:tcW w:w="1653" w:type="dxa"/>
            <w:noWrap w:val="0"/>
            <w:vAlign w:val="top"/>
          </w:tcPr>
          <w:p w14:paraId="24368239">
            <w:pPr>
              <w:spacing w:line="360" w:lineRule="auto"/>
              <w:jc w:val="center"/>
              <w:rPr>
                <w:szCs w:val="21"/>
              </w:rPr>
            </w:pPr>
          </w:p>
        </w:tc>
        <w:tc>
          <w:tcPr>
            <w:tcW w:w="688" w:type="dxa"/>
            <w:noWrap w:val="0"/>
            <w:vAlign w:val="top"/>
          </w:tcPr>
          <w:p w14:paraId="484E4C16">
            <w:pPr>
              <w:spacing w:line="360" w:lineRule="auto"/>
              <w:jc w:val="center"/>
              <w:rPr>
                <w:szCs w:val="21"/>
              </w:rPr>
            </w:pPr>
          </w:p>
        </w:tc>
      </w:tr>
      <w:tr w14:paraId="02F78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0B13BAA3">
            <w:pPr>
              <w:spacing w:line="360" w:lineRule="auto"/>
              <w:jc w:val="center"/>
              <w:rPr>
                <w:szCs w:val="21"/>
              </w:rPr>
            </w:pPr>
          </w:p>
        </w:tc>
        <w:tc>
          <w:tcPr>
            <w:tcW w:w="1087" w:type="dxa"/>
            <w:noWrap w:val="0"/>
            <w:vAlign w:val="top"/>
          </w:tcPr>
          <w:p w14:paraId="48AE7B3B">
            <w:pPr>
              <w:spacing w:line="360" w:lineRule="auto"/>
              <w:jc w:val="center"/>
              <w:rPr>
                <w:szCs w:val="21"/>
              </w:rPr>
            </w:pPr>
          </w:p>
        </w:tc>
        <w:tc>
          <w:tcPr>
            <w:tcW w:w="760" w:type="dxa"/>
            <w:noWrap w:val="0"/>
            <w:vAlign w:val="top"/>
          </w:tcPr>
          <w:p w14:paraId="2078BB05">
            <w:pPr>
              <w:spacing w:line="360" w:lineRule="auto"/>
              <w:jc w:val="center"/>
              <w:rPr>
                <w:szCs w:val="21"/>
              </w:rPr>
            </w:pPr>
          </w:p>
        </w:tc>
        <w:tc>
          <w:tcPr>
            <w:tcW w:w="991" w:type="dxa"/>
            <w:noWrap w:val="0"/>
            <w:vAlign w:val="top"/>
          </w:tcPr>
          <w:p w14:paraId="57250D5C">
            <w:pPr>
              <w:spacing w:line="360" w:lineRule="auto"/>
              <w:jc w:val="center"/>
              <w:rPr>
                <w:szCs w:val="21"/>
              </w:rPr>
            </w:pPr>
          </w:p>
        </w:tc>
        <w:tc>
          <w:tcPr>
            <w:tcW w:w="672" w:type="dxa"/>
            <w:noWrap w:val="0"/>
            <w:vAlign w:val="top"/>
          </w:tcPr>
          <w:p w14:paraId="014ED5D2">
            <w:pPr>
              <w:spacing w:line="360" w:lineRule="auto"/>
              <w:jc w:val="center"/>
              <w:rPr>
                <w:szCs w:val="21"/>
              </w:rPr>
            </w:pPr>
          </w:p>
        </w:tc>
        <w:tc>
          <w:tcPr>
            <w:tcW w:w="738" w:type="dxa"/>
            <w:noWrap w:val="0"/>
            <w:vAlign w:val="top"/>
          </w:tcPr>
          <w:p w14:paraId="2C147A6B">
            <w:pPr>
              <w:spacing w:line="360" w:lineRule="auto"/>
              <w:jc w:val="center"/>
              <w:rPr>
                <w:szCs w:val="21"/>
              </w:rPr>
            </w:pPr>
          </w:p>
        </w:tc>
        <w:tc>
          <w:tcPr>
            <w:tcW w:w="1212" w:type="dxa"/>
            <w:noWrap w:val="0"/>
            <w:vAlign w:val="top"/>
          </w:tcPr>
          <w:p w14:paraId="3C293058">
            <w:pPr>
              <w:spacing w:line="360" w:lineRule="auto"/>
              <w:jc w:val="center"/>
              <w:rPr>
                <w:szCs w:val="21"/>
              </w:rPr>
            </w:pPr>
          </w:p>
        </w:tc>
        <w:tc>
          <w:tcPr>
            <w:tcW w:w="1653" w:type="dxa"/>
            <w:noWrap w:val="0"/>
            <w:vAlign w:val="top"/>
          </w:tcPr>
          <w:p w14:paraId="331F386A">
            <w:pPr>
              <w:spacing w:line="360" w:lineRule="auto"/>
              <w:jc w:val="center"/>
              <w:rPr>
                <w:szCs w:val="21"/>
              </w:rPr>
            </w:pPr>
          </w:p>
        </w:tc>
        <w:tc>
          <w:tcPr>
            <w:tcW w:w="688" w:type="dxa"/>
            <w:noWrap w:val="0"/>
            <w:vAlign w:val="top"/>
          </w:tcPr>
          <w:p w14:paraId="3BEEDF51">
            <w:pPr>
              <w:spacing w:line="360" w:lineRule="auto"/>
              <w:jc w:val="center"/>
              <w:rPr>
                <w:szCs w:val="21"/>
              </w:rPr>
            </w:pPr>
          </w:p>
        </w:tc>
      </w:tr>
      <w:tr w14:paraId="6C87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73477225">
            <w:pPr>
              <w:spacing w:line="360" w:lineRule="auto"/>
              <w:jc w:val="center"/>
              <w:rPr>
                <w:szCs w:val="21"/>
              </w:rPr>
            </w:pPr>
          </w:p>
        </w:tc>
        <w:tc>
          <w:tcPr>
            <w:tcW w:w="1087" w:type="dxa"/>
            <w:noWrap w:val="0"/>
            <w:vAlign w:val="top"/>
          </w:tcPr>
          <w:p w14:paraId="49CFA477">
            <w:pPr>
              <w:spacing w:line="360" w:lineRule="auto"/>
              <w:jc w:val="center"/>
              <w:rPr>
                <w:szCs w:val="21"/>
              </w:rPr>
            </w:pPr>
          </w:p>
        </w:tc>
        <w:tc>
          <w:tcPr>
            <w:tcW w:w="760" w:type="dxa"/>
            <w:noWrap w:val="0"/>
            <w:vAlign w:val="top"/>
          </w:tcPr>
          <w:p w14:paraId="38BF44A2">
            <w:pPr>
              <w:spacing w:line="360" w:lineRule="auto"/>
              <w:jc w:val="center"/>
              <w:rPr>
                <w:szCs w:val="21"/>
              </w:rPr>
            </w:pPr>
          </w:p>
        </w:tc>
        <w:tc>
          <w:tcPr>
            <w:tcW w:w="991" w:type="dxa"/>
            <w:noWrap w:val="0"/>
            <w:vAlign w:val="top"/>
          </w:tcPr>
          <w:p w14:paraId="24F4722C">
            <w:pPr>
              <w:spacing w:line="360" w:lineRule="auto"/>
              <w:jc w:val="center"/>
              <w:rPr>
                <w:szCs w:val="21"/>
              </w:rPr>
            </w:pPr>
          </w:p>
        </w:tc>
        <w:tc>
          <w:tcPr>
            <w:tcW w:w="672" w:type="dxa"/>
            <w:noWrap w:val="0"/>
            <w:vAlign w:val="top"/>
          </w:tcPr>
          <w:p w14:paraId="68B554C6">
            <w:pPr>
              <w:spacing w:line="360" w:lineRule="auto"/>
              <w:jc w:val="center"/>
              <w:rPr>
                <w:szCs w:val="21"/>
              </w:rPr>
            </w:pPr>
          </w:p>
        </w:tc>
        <w:tc>
          <w:tcPr>
            <w:tcW w:w="738" w:type="dxa"/>
            <w:noWrap w:val="0"/>
            <w:vAlign w:val="top"/>
          </w:tcPr>
          <w:p w14:paraId="711DDFCD">
            <w:pPr>
              <w:spacing w:line="360" w:lineRule="auto"/>
              <w:jc w:val="center"/>
              <w:rPr>
                <w:szCs w:val="21"/>
              </w:rPr>
            </w:pPr>
          </w:p>
        </w:tc>
        <w:tc>
          <w:tcPr>
            <w:tcW w:w="1212" w:type="dxa"/>
            <w:noWrap w:val="0"/>
            <w:vAlign w:val="top"/>
          </w:tcPr>
          <w:p w14:paraId="0FFB48AC">
            <w:pPr>
              <w:spacing w:line="360" w:lineRule="auto"/>
              <w:jc w:val="center"/>
              <w:rPr>
                <w:szCs w:val="21"/>
              </w:rPr>
            </w:pPr>
          </w:p>
        </w:tc>
        <w:tc>
          <w:tcPr>
            <w:tcW w:w="1653" w:type="dxa"/>
            <w:noWrap w:val="0"/>
            <w:vAlign w:val="top"/>
          </w:tcPr>
          <w:p w14:paraId="6AC5E150">
            <w:pPr>
              <w:spacing w:line="360" w:lineRule="auto"/>
              <w:jc w:val="center"/>
              <w:rPr>
                <w:szCs w:val="21"/>
              </w:rPr>
            </w:pPr>
          </w:p>
        </w:tc>
        <w:tc>
          <w:tcPr>
            <w:tcW w:w="688" w:type="dxa"/>
            <w:noWrap w:val="0"/>
            <w:vAlign w:val="top"/>
          </w:tcPr>
          <w:p w14:paraId="1C859C09">
            <w:pPr>
              <w:spacing w:line="360" w:lineRule="auto"/>
              <w:jc w:val="center"/>
              <w:rPr>
                <w:szCs w:val="21"/>
              </w:rPr>
            </w:pPr>
          </w:p>
        </w:tc>
      </w:tr>
      <w:tr w14:paraId="71B0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3A621A23">
            <w:pPr>
              <w:spacing w:line="360" w:lineRule="auto"/>
              <w:jc w:val="center"/>
              <w:rPr>
                <w:szCs w:val="21"/>
              </w:rPr>
            </w:pPr>
          </w:p>
        </w:tc>
        <w:tc>
          <w:tcPr>
            <w:tcW w:w="1087" w:type="dxa"/>
            <w:noWrap w:val="0"/>
            <w:vAlign w:val="top"/>
          </w:tcPr>
          <w:p w14:paraId="042C3084">
            <w:pPr>
              <w:spacing w:line="360" w:lineRule="auto"/>
              <w:jc w:val="center"/>
              <w:rPr>
                <w:szCs w:val="21"/>
              </w:rPr>
            </w:pPr>
          </w:p>
        </w:tc>
        <w:tc>
          <w:tcPr>
            <w:tcW w:w="760" w:type="dxa"/>
            <w:noWrap w:val="0"/>
            <w:vAlign w:val="top"/>
          </w:tcPr>
          <w:p w14:paraId="345169F4">
            <w:pPr>
              <w:spacing w:line="360" w:lineRule="auto"/>
              <w:jc w:val="center"/>
              <w:rPr>
                <w:szCs w:val="21"/>
              </w:rPr>
            </w:pPr>
          </w:p>
        </w:tc>
        <w:tc>
          <w:tcPr>
            <w:tcW w:w="991" w:type="dxa"/>
            <w:noWrap w:val="0"/>
            <w:vAlign w:val="top"/>
          </w:tcPr>
          <w:p w14:paraId="47E34D91">
            <w:pPr>
              <w:spacing w:line="360" w:lineRule="auto"/>
              <w:jc w:val="center"/>
              <w:rPr>
                <w:szCs w:val="21"/>
              </w:rPr>
            </w:pPr>
          </w:p>
        </w:tc>
        <w:tc>
          <w:tcPr>
            <w:tcW w:w="672" w:type="dxa"/>
            <w:noWrap w:val="0"/>
            <w:vAlign w:val="top"/>
          </w:tcPr>
          <w:p w14:paraId="4E43F65A">
            <w:pPr>
              <w:spacing w:line="360" w:lineRule="auto"/>
              <w:jc w:val="center"/>
              <w:rPr>
                <w:szCs w:val="21"/>
              </w:rPr>
            </w:pPr>
          </w:p>
        </w:tc>
        <w:tc>
          <w:tcPr>
            <w:tcW w:w="738" w:type="dxa"/>
            <w:noWrap w:val="0"/>
            <w:vAlign w:val="top"/>
          </w:tcPr>
          <w:p w14:paraId="41FCD608">
            <w:pPr>
              <w:spacing w:line="360" w:lineRule="auto"/>
              <w:jc w:val="center"/>
              <w:rPr>
                <w:szCs w:val="21"/>
              </w:rPr>
            </w:pPr>
          </w:p>
        </w:tc>
        <w:tc>
          <w:tcPr>
            <w:tcW w:w="1212" w:type="dxa"/>
            <w:noWrap w:val="0"/>
            <w:vAlign w:val="top"/>
          </w:tcPr>
          <w:p w14:paraId="7AB466EA">
            <w:pPr>
              <w:spacing w:line="360" w:lineRule="auto"/>
              <w:jc w:val="center"/>
              <w:rPr>
                <w:szCs w:val="21"/>
              </w:rPr>
            </w:pPr>
          </w:p>
        </w:tc>
        <w:tc>
          <w:tcPr>
            <w:tcW w:w="1653" w:type="dxa"/>
            <w:noWrap w:val="0"/>
            <w:vAlign w:val="top"/>
          </w:tcPr>
          <w:p w14:paraId="08329AB9">
            <w:pPr>
              <w:spacing w:line="360" w:lineRule="auto"/>
              <w:jc w:val="center"/>
              <w:rPr>
                <w:szCs w:val="21"/>
              </w:rPr>
            </w:pPr>
          </w:p>
        </w:tc>
        <w:tc>
          <w:tcPr>
            <w:tcW w:w="688" w:type="dxa"/>
            <w:noWrap w:val="0"/>
            <w:vAlign w:val="top"/>
          </w:tcPr>
          <w:p w14:paraId="58117D6D">
            <w:pPr>
              <w:spacing w:line="360" w:lineRule="auto"/>
              <w:jc w:val="center"/>
              <w:rPr>
                <w:szCs w:val="21"/>
              </w:rPr>
            </w:pPr>
          </w:p>
        </w:tc>
      </w:tr>
      <w:tr w14:paraId="08E2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0976AED4">
            <w:pPr>
              <w:spacing w:line="360" w:lineRule="auto"/>
              <w:jc w:val="center"/>
              <w:rPr>
                <w:szCs w:val="21"/>
              </w:rPr>
            </w:pPr>
          </w:p>
        </w:tc>
        <w:tc>
          <w:tcPr>
            <w:tcW w:w="1087" w:type="dxa"/>
            <w:noWrap w:val="0"/>
            <w:vAlign w:val="top"/>
          </w:tcPr>
          <w:p w14:paraId="4B5788BD">
            <w:pPr>
              <w:spacing w:line="360" w:lineRule="auto"/>
              <w:jc w:val="center"/>
              <w:rPr>
                <w:szCs w:val="21"/>
              </w:rPr>
            </w:pPr>
          </w:p>
        </w:tc>
        <w:tc>
          <w:tcPr>
            <w:tcW w:w="760" w:type="dxa"/>
            <w:noWrap w:val="0"/>
            <w:vAlign w:val="top"/>
          </w:tcPr>
          <w:p w14:paraId="719FF426">
            <w:pPr>
              <w:spacing w:line="360" w:lineRule="auto"/>
              <w:jc w:val="center"/>
              <w:rPr>
                <w:szCs w:val="21"/>
              </w:rPr>
            </w:pPr>
          </w:p>
        </w:tc>
        <w:tc>
          <w:tcPr>
            <w:tcW w:w="991" w:type="dxa"/>
            <w:noWrap w:val="0"/>
            <w:vAlign w:val="top"/>
          </w:tcPr>
          <w:p w14:paraId="0238E817">
            <w:pPr>
              <w:spacing w:line="360" w:lineRule="auto"/>
              <w:jc w:val="center"/>
              <w:rPr>
                <w:szCs w:val="21"/>
              </w:rPr>
            </w:pPr>
          </w:p>
        </w:tc>
        <w:tc>
          <w:tcPr>
            <w:tcW w:w="672" w:type="dxa"/>
            <w:noWrap w:val="0"/>
            <w:vAlign w:val="top"/>
          </w:tcPr>
          <w:p w14:paraId="7B8DFC94">
            <w:pPr>
              <w:spacing w:line="360" w:lineRule="auto"/>
              <w:jc w:val="center"/>
              <w:rPr>
                <w:szCs w:val="21"/>
              </w:rPr>
            </w:pPr>
          </w:p>
        </w:tc>
        <w:tc>
          <w:tcPr>
            <w:tcW w:w="738" w:type="dxa"/>
            <w:noWrap w:val="0"/>
            <w:vAlign w:val="top"/>
          </w:tcPr>
          <w:p w14:paraId="70D8A6A1">
            <w:pPr>
              <w:spacing w:line="360" w:lineRule="auto"/>
              <w:jc w:val="center"/>
              <w:rPr>
                <w:szCs w:val="21"/>
              </w:rPr>
            </w:pPr>
          </w:p>
        </w:tc>
        <w:tc>
          <w:tcPr>
            <w:tcW w:w="1212" w:type="dxa"/>
            <w:noWrap w:val="0"/>
            <w:vAlign w:val="top"/>
          </w:tcPr>
          <w:p w14:paraId="26EF4ABA">
            <w:pPr>
              <w:spacing w:line="360" w:lineRule="auto"/>
              <w:jc w:val="center"/>
              <w:rPr>
                <w:szCs w:val="21"/>
              </w:rPr>
            </w:pPr>
          </w:p>
        </w:tc>
        <w:tc>
          <w:tcPr>
            <w:tcW w:w="1653" w:type="dxa"/>
            <w:noWrap w:val="0"/>
            <w:vAlign w:val="top"/>
          </w:tcPr>
          <w:p w14:paraId="73F368C7">
            <w:pPr>
              <w:spacing w:line="360" w:lineRule="auto"/>
              <w:jc w:val="center"/>
              <w:rPr>
                <w:szCs w:val="21"/>
              </w:rPr>
            </w:pPr>
          </w:p>
        </w:tc>
        <w:tc>
          <w:tcPr>
            <w:tcW w:w="688" w:type="dxa"/>
            <w:noWrap w:val="0"/>
            <w:vAlign w:val="top"/>
          </w:tcPr>
          <w:p w14:paraId="59DD4BDF">
            <w:pPr>
              <w:spacing w:line="360" w:lineRule="auto"/>
              <w:jc w:val="center"/>
              <w:rPr>
                <w:szCs w:val="21"/>
              </w:rPr>
            </w:pPr>
          </w:p>
        </w:tc>
      </w:tr>
      <w:tr w14:paraId="0D84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34B0328B">
            <w:pPr>
              <w:spacing w:line="360" w:lineRule="auto"/>
              <w:jc w:val="center"/>
              <w:rPr>
                <w:szCs w:val="21"/>
              </w:rPr>
            </w:pPr>
          </w:p>
        </w:tc>
        <w:tc>
          <w:tcPr>
            <w:tcW w:w="1087" w:type="dxa"/>
            <w:noWrap w:val="0"/>
            <w:vAlign w:val="top"/>
          </w:tcPr>
          <w:p w14:paraId="3167F717">
            <w:pPr>
              <w:spacing w:line="360" w:lineRule="auto"/>
              <w:jc w:val="center"/>
              <w:rPr>
                <w:szCs w:val="21"/>
              </w:rPr>
            </w:pPr>
          </w:p>
        </w:tc>
        <w:tc>
          <w:tcPr>
            <w:tcW w:w="760" w:type="dxa"/>
            <w:noWrap w:val="0"/>
            <w:vAlign w:val="top"/>
          </w:tcPr>
          <w:p w14:paraId="1CB8E7DC">
            <w:pPr>
              <w:spacing w:line="360" w:lineRule="auto"/>
              <w:jc w:val="center"/>
              <w:rPr>
                <w:szCs w:val="21"/>
              </w:rPr>
            </w:pPr>
          </w:p>
        </w:tc>
        <w:tc>
          <w:tcPr>
            <w:tcW w:w="991" w:type="dxa"/>
            <w:noWrap w:val="0"/>
            <w:vAlign w:val="top"/>
          </w:tcPr>
          <w:p w14:paraId="0D8633A0">
            <w:pPr>
              <w:spacing w:line="360" w:lineRule="auto"/>
              <w:jc w:val="center"/>
              <w:rPr>
                <w:szCs w:val="21"/>
              </w:rPr>
            </w:pPr>
          </w:p>
        </w:tc>
        <w:tc>
          <w:tcPr>
            <w:tcW w:w="672" w:type="dxa"/>
            <w:noWrap w:val="0"/>
            <w:vAlign w:val="top"/>
          </w:tcPr>
          <w:p w14:paraId="187027E0">
            <w:pPr>
              <w:spacing w:line="360" w:lineRule="auto"/>
              <w:jc w:val="center"/>
              <w:rPr>
                <w:szCs w:val="21"/>
              </w:rPr>
            </w:pPr>
          </w:p>
        </w:tc>
        <w:tc>
          <w:tcPr>
            <w:tcW w:w="738" w:type="dxa"/>
            <w:noWrap w:val="0"/>
            <w:vAlign w:val="top"/>
          </w:tcPr>
          <w:p w14:paraId="55C6A53B">
            <w:pPr>
              <w:spacing w:line="360" w:lineRule="auto"/>
              <w:jc w:val="center"/>
              <w:rPr>
                <w:szCs w:val="21"/>
              </w:rPr>
            </w:pPr>
          </w:p>
        </w:tc>
        <w:tc>
          <w:tcPr>
            <w:tcW w:w="1212" w:type="dxa"/>
            <w:noWrap w:val="0"/>
            <w:vAlign w:val="top"/>
          </w:tcPr>
          <w:p w14:paraId="123E99CB">
            <w:pPr>
              <w:spacing w:line="360" w:lineRule="auto"/>
              <w:jc w:val="center"/>
              <w:rPr>
                <w:szCs w:val="21"/>
              </w:rPr>
            </w:pPr>
          </w:p>
        </w:tc>
        <w:tc>
          <w:tcPr>
            <w:tcW w:w="1653" w:type="dxa"/>
            <w:noWrap w:val="0"/>
            <w:vAlign w:val="top"/>
          </w:tcPr>
          <w:p w14:paraId="4345666E">
            <w:pPr>
              <w:spacing w:line="360" w:lineRule="auto"/>
              <w:jc w:val="center"/>
              <w:rPr>
                <w:szCs w:val="21"/>
              </w:rPr>
            </w:pPr>
          </w:p>
        </w:tc>
        <w:tc>
          <w:tcPr>
            <w:tcW w:w="688" w:type="dxa"/>
            <w:noWrap w:val="0"/>
            <w:vAlign w:val="top"/>
          </w:tcPr>
          <w:p w14:paraId="038779F8">
            <w:pPr>
              <w:spacing w:line="360" w:lineRule="auto"/>
              <w:jc w:val="center"/>
              <w:rPr>
                <w:szCs w:val="21"/>
              </w:rPr>
            </w:pPr>
          </w:p>
        </w:tc>
      </w:tr>
      <w:tr w14:paraId="1B39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01E0EB27">
            <w:pPr>
              <w:spacing w:line="360" w:lineRule="auto"/>
              <w:jc w:val="center"/>
              <w:rPr>
                <w:szCs w:val="21"/>
              </w:rPr>
            </w:pPr>
          </w:p>
        </w:tc>
        <w:tc>
          <w:tcPr>
            <w:tcW w:w="1087" w:type="dxa"/>
            <w:noWrap w:val="0"/>
            <w:vAlign w:val="top"/>
          </w:tcPr>
          <w:p w14:paraId="1AB7AC59">
            <w:pPr>
              <w:spacing w:line="360" w:lineRule="auto"/>
              <w:jc w:val="center"/>
              <w:rPr>
                <w:szCs w:val="21"/>
              </w:rPr>
            </w:pPr>
          </w:p>
        </w:tc>
        <w:tc>
          <w:tcPr>
            <w:tcW w:w="760" w:type="dxa"/>
            <w:noWrap w:val="0"/>
            <w:vAlign w:val="top"/>
          </w:tcPr>
          <w:p w14:paraId="1772765A">
            <w:pPr>
              <w:spacing w:line="360" w:lineRule="auto"/>
              <w:jc w:val="center"/>
              <w:rPr>
                <w:szCs w:val="21"/>
              </w:rPr>
            </w:pPr>
          </w:p>
        </w:tc>
        <w:tc>
          <w:tcPr>
            <w:tcW w:w="991" w:type="dxa"/>
            <w:noWrap w:val="0"/>
            <w:vAlign w:val="top"/>
          </w:tcPr>
          <w:p w14:paraId="2CB6BFE5">
            <w:pPr>
              <w:spacing w:line="360" w:lineRule="auto"/>
              <w:jc w:val="center"/>
              <w:rPr>
                <w:szCs w:val="21"/>
              </w:rPr>
            </w:pPr>
          </w:p>
        </w:tc>
        <w:tc>
          <w:tcPr>
            <w:tcW w:w="672" w:type="dxa"/>
            <w:noWrap w:val="0"/>
            <w:vAlign w:val="top"/>
          </w:tcPr>
          <w:p w14:paraId="1EDE5D44">
            <w:pPr>
              <w:spacing w:line="360" w:lineRule="auto"/>
              <w:jc w:val="center"/>
              <w:rPr>
                <w:szCs w:val="21"/>
              </w:rPr>
            </w:pPr>
          </w:p>
        </w:tc>
        <w:tc>
          <w:tcPr>
            <w:tcW w:w="738" w:type="dxa"/>
            <w:noWrap w:val="0"/>
            <w:vAlign w:val="top"/>
          </w:tcPr>
          <w:p w14:paraId="468FD7E9">
            <w:pPr>
              <w:spacing w:line="360" w:lineRule="auto"/>
              <w:jc w:val="center"/>
              <w:rPr>
                <w:szCs w:val="21"/>
              </w:rPr>
            </w:pPr>
          </w:p>
        </w:tc>
        <w:tc>
          <w:tcPr>
            <w:tcW w:w="1212" w:type="dxa"/>
            <w:noWrap w:val="0"/>
            <w:vAlign w:val="top"/>
          </w:tcPr>
          <w:p w14:paraId="76702726">
            <w:pPr>
              <w:spacing w:line="360" w:lineRule="auto"/>
              <w:jc w:val="center"/>
              <w:rPr>
                <w:szCs w:val="21"/>
              </w:rPr>
            </w:pPr>
          </w:p>
        </w:tc>
        <w:tc>
          <w:tcPr>
            <w:tcW w:w="1653" w:type="dxa"/>
            <w:noWrap w:val="0"/>
            <w:vAlign w:val="top"/>
          </w:tcPr>
          <w:p w14:paraId="7B30008A">
            <w:pPr>
              <w:spacing w:line="360" w:lineRule="auto"/>
              <w:jc w:val="center"/>
              <w:rPr>
                <w:szCs w:val="21"/>
              </w:rPr>
            </w:pPr>
          </w:p>
        </w:tc>
        <w:tc>
          <w:tcPr>
            <w:tcW w:w="688" w:type="dxa"/>
            <w:noWrap w:val="0"/>
            <w:vAlign w:val="top"/>
          </w:tcPr>
          <w:p w14:paraId="7DFA75EB">
            <w:pPr>
              <w:spacing w:line="360" w:lineRule="auto"/>
              <w:jc w:val="center"/>
              <w:rPr>
                <w:szCs w:val="21"/>
              </w:rPr>
            </w:pPr>
          </w:p>
        </w:tc>
      </w:tr>
      <w:tr w14:paraId="10E8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25A1B6CE">
            <w:pPr>
              <w:spacing w:line="360" w:lineRule="auto"/>
              <w:jc w:val="center"/>
              <w:rPr>
                <w:szCs w:val="21"/>
              </w:rPr>
            </w:pPr>
          </w:p>
        </w:tc>
        <w:tc>
          <w:tcPr>
            <w:tcW w:w="1087" w:type="dxa"/>
            <w:noWrap w:val="0"/>
            <w:vAlign w:val="top"/>
          </w:tcPr>
          <w:p w14:paraId="5381FA2B">
            <w:pPr>
              <w:spacing w:line="360" w:lineRule="auto"/>
              <w:jc w:val="center"/>
              <w:rPr>
                <w:szCs w:val="21"/>
              </w:rPr>
            </w:pPr>
          </w:p>
        </w:tc>
        <w:tc>
          <w:tcPr>
            <w:tcW w:w="760" w:type="dxa"/>
            <w:noWrap w:val="0"/>
            <w:vAlign w:val="top"/>
          </w:tcPr>
          <w:p w14:paraId="663EBE5C">
            <w:pPr>
              <w:spacing w:line="360" w:lineRule="auto"/>
              <w:jc w:val="center"/>
              <w:rPr>
                <w:szCs w:val="21"/>
              </w:rPr>
            </w:pPr>
          </w:p>
        </w:tc>
        <w:tc>
          <w:tcPr>
            <w:tcW w:w="991" w:type="dxa"/>
            <w:noWrap w:val="0"/>
            <w:vAlign w:val="top"/>
          </w:tcPr>
          <w:p w14:paraId="6DD611D2">
            <w:pPr>
              <w:spacing w:line="360" w:lineRule="auto"/>
              <w:jc w:val="center"/>
              <w:rPr>
                <w:szCs w:val="21"/>
              </w:rPr>
            </w:pPr>
          </w:p>
        </w:tc>
        <w:tc>
          <w:tcPr>
            <w:tcW w:w="672" w:type="dxa"/>
            <w:noWrap w:val="0"/>
            <w:vAlign w:val="top"/>
          </w:tcPr>
          <w:p w14:paraId="4B0245F4">
            <w:pPr>
              <w:spacing w:line="360" w:lineRule="auto"/>
              <w:jc w:val="center"/>
              <w:rPr>
                <w:szCs w:val="21"/>
              </w:rPr>
            </w:pPr>
          </w:p>
        </w:tc>
        <w:tc>
          <w:tcPr>
            <w:tcW w:w="738" w:type="dxa"/>
            <w:noWrap w:val="0"/>
            <w:vAlign w:val="top"/>
          </w:tcPr>
          <w:p w14:paraId="0F003194">
            <w:pPr>
              <w:spacing w:line="360" w:lineRule="auto"/>
              <w:jc w:val="center"/>
              <w:rPr>
                <w:szCs w:val="21"/>
              </w:rPr>
            </w:pPr>
          </w:p>
        </w:tc>
        <w:tc>
          <w:tcPr>
            <w:tcW w:w="1212" w:type="dxa"/>
            <w:noWrap w:val="0"/>
            <w:vAlign w:val="top"/>
          </w:tcPr>
          <w:p w14:paraId="489B9803">
            <w:pPr>
              <w:spacing w:line="360" w:lineRule="auto"/>
              <w:jc w:val="center"/>
              <w:rPr>
                <w:szCs w:val="21"/>
              </w:rPr>
            </w:pPr>
          </w:p>
        </w:tc>
        <w:tc>
          <w:tcPr>
            <w:tcW w:w="1653" w:type="dxa"/>
            <w:noWrap w:val="0"/>
            <w:vAlign w:val="top"/>
          </w:tcPr>
          <w:p w14:paraId="6D260319">
            <w:pPr>
              <w:spacing w:line="360" w:lineRule="auto"/>
              <w:jc w:val="center"/>
              <w:rPr>
                <w:szCs w:val="21"/>
              </w:rPr>
            </w:pPr>
          </w:p>
        </w:tc>
        <w:tc>
          <w:tcPr>
            <w:tcW w:w="688" w:type="dxa"/>
            <w:noWrap w:val="0"/>
            <w:vAlign w:val="top"/>
          </w:tcPr>
          <w:p w14:paraId="5107B535">
            <w:pPr>
              <w:spacing w:line="360" w:lineRule="auto"/>
              <w:jc w:val="center"/>
              <w:rPr>
                <w:szCs w:val="21"/>
              </w:rPr>
            </w:pPr>
          </w:p>
        </w:tc>
      </w:tr>
      <w:tr w14:paraId="0A69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3A7F466F">
            <w:pPr>
              <w:spacing w:line="360" w:lineRule="auto"/>
              <w:jc w:val="center"/>
              <w:rPr>
                <w:szCs w:val="21"/>
              </w:rPr>
            </w:pPr>
          </w:p>
        </w:tc>
        <w:tc>
          <w:tcPr>
            <w:tcW w:w="1087" w:type="dxa"/>
            <w:noWrap w:val="0"/>
            <w:vAlign w:val="top"/>
          </w:tcPr>
          <w:p w14:paraId="0A45CA46">
            <w:pPr>
              <w:spacing w:line="360" w:lineRule="auto"/>
              <w:jc w:val="center"/>
              <w:rPr>
                <w:szCs w:val="21"/>
              </w:rPr>
            </w:pPr>
          </w:p>
        </w:tc>
        <w:tc>
          <w:tcPr>
            <w:tcW w:w="760" w:type="dxa"/>
            <w:noWrap w:val="0"/>
            <w:vAlign w:val="top"/>
          </w:tcPr>
          <w:p w14:paraId="181E8493">
            <w:pPr>
              <w:spacing w:line="360" w:lineRule="auto"/>
              <w:jc w:val="center"/>
              <w:rPr>
                <w:szCs w:val="21"/>
              </w:rPr>
            </w:pPr>
          </w:p>
        </w:tc>
        <w:tc>
          <w:tcPr>
            <w:tcW w:w="991" w:type="dxa"/>
            <w:noWrap w:val="0"/>
            <w:vAlign w:val="top"/>
          </w:tcPr>
          <w:p w14:paraId="59D9C06B">
            <w:pPr>
              <w:spacing w:line="360" w:lineRule="auto"/>
              <w:jc w:val="center"/>
              <w:rPr>
                <w:szCs w:val="21"/>
              </w:rPr>
            </w:pPr>
          </w:p>
        </w:tc>
        <w:tc>
          <w:tcPr>
            <w:tcW w:w="672" w:type="dxa"/>
            <w:noWrap w:val="0"/>
            <w:vAlign w:val="top"/>
          </w:tcPr>
          <w:p w14:paraId="432B308B">
            <w:pPr>
              <w:spacing w:line="360" w:lineRule="auto"/>
              <w:jc w:val="center"/>
              <w:rPr>
                <w:szCs w:val="21"/>
              </w:rPr>
            </w:pPr>
          </w:p>
        </w:tc>
        <w:tc>
          <w:tcPr>
            <w:tcW w:w="738" w:type="dxa"/>
            <w:noWrap w:val="0"/>
            <w:vAlign w:val="top"/>
          </w:tcPr>
          <w:p w14:paraId="3EB21C34">
            <w:pPr>
              <w:spacing w:line="360" w:lineRule="auto"/>
              <w:jc w:val="center"/>
              <w:rPr>
                <w:szCs w:val="21"/>
              </w:rPr>
            </w:pPr>
          </w:p>
        </w:tc>
        <w:tc>
          <w:tcPr>
            <w:tcW w:w="1212" w:type="dxa"/>
            <w:noWrap w:val="0"/>
            <w:vAlign w:val="top"/>
          </w:tcPr>
          <w:p w14:paraId="1444A22C">
            <w:pPr>
              <w:spacing w:line="360" w:lineRule="auto"/>
              <w:jc w:val="center"/>
              <w:rPr>
                <w:szCs w:val="21"/>
              </w:rPr>
            </w:pPr>
          </w:p>
        </w:tc>
        <w:tc>
          <w:tcPr>
            <w:tcW w:w="1653" w:type="dxa"/>
            <w:noWrap w:val="0"/>
            <w:vAlign w:val="top"/>
          </w:tcPr>
          <w:p w14:paraId="0969D1F0">
            <w:pPr>
              <w:spacing w:line="360" w:lineRule="auto"/>
              <w:jc w:val="center"/>
              <w:rPr>
                <w:szCs w:val="21"/>
              </w:rPr>
            </w:pPr>
          </w:p>
        </w:tc>
        <w:tc>
          <w:tcPr>
            <w:tcW w:w="688" w:type="dxa"/>
            <w:noWrap w:val="0"/>
            <w:vAlign w:val="top"/>
          </w:tcPr>
          <w:p w14:paraId="014A1D5D">
            <w:pPr>
              <w:spacing w:line="360" w:lineRule="auto"/>
              <w:jc w:val="center"/>
              <w:rPr>
                <w:szCs w:val="21"/>
              </w:rPr>
            </w:pPr>
          </w:p>
        </w:tc>
      </w:tr>
      <w:tr w14:paraId="6A96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54D5C1EE">
            <w:pPr>
              <w:spacing w:line="360" w:lineRule="auto"/>
              <w:jc w:val="center"/>
              <w:rPr>
                <w:szCs w:val="21"/>
              </w:rPr>
            </w:pPr>
          </w:p>
        </w:tc>
        <w:tc>
          <w:tcPr>
            <w:tcW w:w="1087" w:type="dxa"/>
            <w:noWrap w:val="0"/>
            <w:vAlign w:val="top"/>
          </w:tcPr>
          <w:p w14:paraId="28EF5124">
            <w:pPr>
              <w:spacing w:line="360" w:lineRule="auto"/>
              <w:jc w:val="center"/>
              <w:rPr>
                <w:szCs w:val="21"/>
              </w:rPr>
            </w:pPr>
          </w:p>
        </w:tc>
        <w:tc>
          <w:tcPr>
            <w:tcW w:w="760" w:type="dxa"/>
            <w:noWrap w:val="0"/>
            <w:vAlign w:val="top"/>
          </w:tcPr>
          <w:p w14:paraId="78A96CAF">
            <w:pPr>
              <w:spacing w:line="360" w:lineRule="auto"/>
              <w:jc w:val="center"/>
              <w:rPr>
                <w:szCs w:val="21"/>
              </w:rPr>
            </w:pPr>
          </w:p>
        </w:tc>
        <w:tc>
          <w:tcPr>
            <w:tcW w:w="991" w:type="dxa"/>
            <w:noWrap w:val="0"/>
            <w:vAlign w:val="top"/>
          </w:tcPr>
          <w:p w14:paraId="01467B8E">
            <w:pPr>
              <w:spacing w:line="360" w:lineRule="auto"/>
              <w:jc w:val="center"/>
              <w:rPr>
                <w:szCs w:val="21"/>
              </w:rPr>
            </w:pPr>
          </w:p>
        </w:tc>
        <w:tc>
          <w:tcPr>
            <w:tcW w:w="672" w:type="dxa"/>
            <w:noWrap w:val="0"/>
            <w:vAlign w:val="top"/>
          </w:tcPr>
          <w:p w14:paraId="396A2647">
            <w:pPr>
              <w:spacing w:line="360" w:lineRule="auto"/>
              <w:jc w:val="center"/>
              <w:rPr>
                <w:szCs w:val="21"/>
              </w:rPr>
            </w:pPr>
          </w:p>
        </w:tc>
        <w:tc>
          <w:tcPr>
            <w:tcW w:w="738" w:type="dxa"/>
            <w:noWrap w:val="0"/>
            <w:vAlign w:val="top"/>
          </w:tcPr>
          <w:p w14:paraId="69F22936">
            <w:pPr>
              <w:spacing w:line="360" w:lineRule="auto"/>
              <w:jc w:val="center"/>
              <w:rPr>
                <w:szCs w:val="21"/>
              </w:rPr>
            </w:pPr>
          </w:p>
        </w:tc>
        <w:tc>
          <w:tcPr>
            <w:tcW w:w="1212" w:type="dxa"/>
            <w:noWrap w:val="0"/>
            <w:vAlign w:val="top"/>
          </w:tcPr>
          <w:p w14:paraId="045AD494">
            <w:pPr>
              <w:spacing w:line="360" w:lineRule="auto"/>
              <w:jc w:val="center"/>
              <w:rPr>
                <w:szCs w:val="21"/>
              </w:rPr>
            </w:pPr>
          </w:p>
        </w:tc>
        <w:tc>
          <w:tcPr>
            <w:tcW w:w="1653" w:type="dxa"/>
            <w:noWrap w:val="0"/>
            <w:vAlign w:val="top"/>
          </w:tcPr>
          <w:p w14:paraId="0EF32542">
            <w:pPr>
              <w:spacing w:line="360" w:lineRule="auto"/>
              <w:jc w:val="center"/>
              <w:rPr>
                <w:szCs w:val="21"/>
              </w:rPr>
            </w:pPr>
          </w:p>
        </w:tc>
        <w:tc>
          <w:tcPr>
            <w:tcW w:w="688" w:type="dxa"/>
            <w:noWrap w:val="0"/>
            <w:vAlign w:val="top"/>
          </w:tcPr>
          <w:p w14:paraId="65BF5B40">
            <w:pPr>
              <w:spacing w:line="360" w:lineRule="auto"/>
              <w:jc w:val="center"/>
              <w:rPr>
                <w:szCs w:val="21"/>
              </w:rPr>
            </w:pPr>
          </w:p>
        </w:tc>
      </w:tr>
      <w:tr w14:paraId="11345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088152BC">
            <w:pPr>
              <w:spacing w:line="360" w:lineRule="auto"/>
              <w:jc w:val="center"/>
              <w:rPr>
                <w:szCs w:val="21"/>
              </w:rPr>
            </w:pPr>
          </w:p>
        </w:tc>
        <w:tc>
          <w:tcPr>
            <w:tcW w:w="1087" w:type="dxa"/>
            <w:noWrap w:val="0"/>
            <w:vAlign w:val="top"/>
          </w:tcPr>
          <w:p w14:paraId="3CCF0FC8">
            <w:pPr>
              <w:spacing w:line="360" w:lineRule="auto"/>
              <w:jc w:val="center"/>
              <w:rPr>
                <w:szCs w:val="21"/>
              </w:rPr>
            </w:pPr>
          </w:p>
        </w:tc>
        <w:tc>
          <w:tcPr>
            <w:tcW w:w="760" w:type="dxa"/>
            <w:noWrap w:val="0"/>
            <w:vAlign w:val="top"/>
          </w:tcPr>
          <w:p w14:paraId="031BF758">
            <w:pPr>
              <w:spacing w:line="360" w:lineRule="auto"/>
              <w:jc w:val="center"/>
              <w:rPr>
                <w:szCs w:val="21"/>
              </w:rPr>
            </w:pPr>
          </w:p>
        </w:tc>
        <w:tc>
          <w:tcPr>
            <w:tcW w:w="991" w:type="dxa"/>
            <w:noWrap w:val="0"/>
            <w:vAlign w:val="top"/>
          </w:tcPr>
          <w:p w14:paraId="210F8FF1">
            <w:pPr>
              <w:spacing w:line="360" w:lineRule="auto"/>
              <w:jc w:val="center"/>
              <w:rPr>
                <w:szCs w:val="21"/>
              </w:rPr>
            </w:pPr>
          </w:p>
        </w:tc>
        <w:tc>
          <w:tcPr>
            <w:tcW w:w="672" w:type="dxa"/>
            <w:noWrap w:val="0"/>
            <w:vAlign w:val="top"/>
          </w:tcPr>
          <w:p w14:paraId="79442BFD">
            <w:pPr>
              <w:spacing w:line="360" w:lineRule="auto"/>
              <w:jc w:val="center"/>
              <w:rPr>
                <w:szCs w:val="21"/>
              </w:rPr>
            </w:pPr>
          </w:p>
        </w:tc>
        <w:tc>
          <w:tcPr>
            <w:tcW w:w="738" w:type="dxa"/>
            <w:noWrap w:val="0"/>
            <w:vAlign w:val="top"/>
          </w:tcPr>
          <w:p w14:paraId="173BE1ED">
            <w:pPr>
              <w:spacing w:line="360" w:lineRule="auto"/>
              <w:jc w:val="center"/>
              <w:rPr>
                <w:szCs w:val="21"/>
              </w:rPr>
            </w:pPr>
          </w:p>
        </w:tc>
        <w:tc>
          <w:tcPr>
            <w:tcW w:w="1212" w:type="dxa"/>
            <w:noWrap w:val="0"/>
            <w:vAlign w:val="top"/>
          </w:tcPr>
          <w:p w14:paraId="480A19AC">
            <w:pPr>
              <w:spacing w:line="360" w:lineRule="auto"/>
              <w:jc w:val="center"/>
              <w:rPr>
                <w:szCs w:val="21"/>
              </w:rPr>
            </w:pPr>
          </w:p>
        </w:tc>
        <w:tc>
          <w:tcPr>
            <w:tcW w:w="1653" w:type="dxa"/>
            <w:noWrap w:val="0"/>
            <w:vAlign w:val="top"/>
          </w:tcPr>
          <w:p w14:paraId="584B6F63">
            <w:pPr>
              <w:spacing w:line="360" w:lineRule="auto"/>
              <w:jc w:val="center"/>
              <w:rPr>
                <w:szCs w:val="21"/>
              </w:rPr>
            </w:pPr>
          </w:p>
        </w:tc>
        <w:tc>
          <w:tcPr>
            <w:tcW w:w="688" w:type="dxa"/>
            <w:noWrap w:val="0"/>
            <w:vAlign w:val="top"/>
          </w:tcPr>
          <w:p w14:paraId="418A4BFA">
            <w:pPr>
              <w:spacing w:line="360" w:lineRule="auto"/>
              <w:jc w:val="center"/>
              <w:rPr>
                <w:szCs w:val="21"/>
              </w:rPr>
            </w:pPr>
          </w:p>
        </w:tc>
      </w:tr>
      <w:tr w14:paraId="4932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79B90EE0">
            <w:pPr>
              <w:spacing w:line="360" w:lineRule="auto"/>
              <w:jc w:val="center"/>
              <w:rPr>
                <w:szCs w:val="21"/>
              </w:rPr>
            </w:pPr>
          </w:p>
        </w:tc>
        <w:tc>
          <w:tcPr>
            <w:tcW w:w="1087" w:type="dxa"/>
            <w:noWrap w:val="0"/>
            <w:vAlign w:val="top"/>
          </w:tcPr>
          <w:p w14:paraId="0D820E5C">
            <w:pPr>
              <w:spacing w:line="360" w:lineRule="auto"/>
              <w:jc w:val="center"/>
              <w:rPr>
                <w:szCs w:val="21"/>
              </w:rPr>
            </w:pPr>
          </w:p>
        </w:tc>
        <w:tc>
          <w:tcPr>
            <w:tcW w:w="760" w:type="dxa"/>
            <w:noWrap w:val="0"/>
            <w:vAlign w:val="top"/>
          </w:tcPr>
          <w:p w14:paraId="21A993D5">
            <w:pPr>
              <w:spacing w:line="360" w:lineRule="auto"/>
              <w:jc w:val="center"/>
              <w:rPr>
                <w:szCs w:val="21"/>
              </w:rPr>
            </w:pPr>
          </w:p>
        </w:tc>
        <w:tc>
          <w:tcPr>
            <w:tcW w:w="991" w:type="dxa"/>
            <w:noWrap w:val="0"/>
            <w:vAlign w:val="top"/>
          </w:tcPr>
          <w:p w14:paraId="7112F97D">
            <w:pPr>
              <w:spacing w:line="360" w:lineRule="auto"/>
              <w:jc w:val="center"/>
              <w:rPr>
                <w:szCs w:val="21"/>
              </w:rPr>
            </w:pPr>
          </w:p>
        </w:tc>
        <w:tc>
          <w:tcPr>
            <w:tcW w:w="672" w:type="dxa"/>
            <w:noWrap w:val="0"/>
            <w:vAlign w:val="top"/>
          </w:tcPr>
          <w:p w14:paraId="738FFD96">
            <w:pPr>
              <w:spacing w:line="360" w:lineRule="auto"/>
              <w:jc w:val="center"/>
              <w:rPr>
                <w:szCs w:val="21"/>
              </w:rPr>
            </w:pPr>
          </w:p>
        </w:tc>
        <w:tc>
          <w:tcPr>
            <w:tcW w:w="738" w:type="dxa"/>
            <w:noWrap w:val="0"/>
            <w:vAlign w:val="top"/>
          </w:tcPr>
          <w:p w14:paraId="276812D7">
            <w:pPr>
              <w:spacing w:line="360" w:lineRule="auto"/>
              <w:jc w:val="center"/>
              <w:rPr>
                <w:szCs w:val="21"/>
              </w:rPr>
            </w:pPr>
          </w:p>
        </w:tc>
        <w:tc>
          <w:tcPr>
            <w:tcW w:w="1212" w:type="dxa"/>
            <w:noWrap w:val="0"/>
            <w:vAlign w:val="top"/>
          </w:tcPr>
          <w:p w14:paraId="77848EE5">
            <w:pPr>
              <w:spacing w:line="360" w:lineRule="auto"/>
              <w:jc w:val="center"/>
              <w:rPr>
                <w:szCs w:val="21"/>
              </w:rPr>
            </w:pPr>
          </w:p>
        </w:tc>
        <w:tc>
          <w:tcPr>
            <w:tcW w:w="1653" w:type="dxa"/>
            <w:noWrap w:val="0"/>
            <w:vAlign w:val="top"/>
          </w:tcPr>
          <w:p w14:paraId="6AE52866">
            <w:pPr>
              <w:spacing w:line="360" w:lineRule="auto"/>
              <w:jc w:val="center"/>
              <w:rPr>
                <w:szCs w:val="21"/>
              </w:rPr>
            </w:pPr>
          </w:p>
        </w:tc>
        <w:tc>
          <w:tcPr>
            <w:tcW w:w="688" w:type="dxa"/>
            <w:noWrap w:val="0"/>
            <w:vAlign w:val="top"/>
          </w:tcPr>
          <w:p w14:paraId="6FA11E3F">
            <w:pPr>
              <w:spacing w:line="360" w:lineRule="auto"/>
              <w:jc w:val="center"/>
              <w:rPr>
                <w:szCs w:val="21"/>
              </w:rPr>
            </w:pPr>
          </w:p>
        </w:tc>
      </w:tr>
      <w:tr w14:paraId="5A51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231DA946">
            <w:pPr>
              <w:spacing w:line="360" w:lineRule="auto"/>
              <w:jc w:val="center"/>
              <w:rPr>
                <w:szCs w:val="21"/>
              </w:rPr>
            </w:pPr>
          </w:p>
        </w:tc>
        <w:tc>
          <w:tcPr>
            <w:tcW w:w="1087" w:type="dxa"/>
            <w:noWrap w:val="0"/>
            <w:vAlign w:val="top"/>
          </w:tcPr>
          <w:p w14:paraId="78EAE67D">
            <w:pPr>
              <w:spacing w:line="360" w:lineRule="auto"/>
              <w:jc w:val="center"/>
              <w:rPr>
                <w:szCs w:val="21"/>
              </w:rPr>
            </w:pPr>
          </w:p>
        </w:tc>
        <w:tc>
          <w:tcPr>
            <w:tcW w:w="760" w:type="dxa"/>
            <w:noWrap w:val="0"/>
            <w:vAlign w:val="top"/>
          </w:tcPr>
          <w:p w14:paraId="05B1999D">
            <w:pPr>
              <w:spacing w:line="360" w:lineRule="auto"/>
              <w:jc w:val="center"/>
              <w:rPr>
                <w:szCs w:val="21"/>
              </w:rPr>
            </w:pPr>
          </w:p>
        </w:tc>
        <w:tc>
          <w:tcPr>
            <w:tcW w:w="991" w:type="dxa"/>
            <w:noWrap w:val="0"/>
            <w:vAlign w:val="top"/>
          </w:tcPr>
          <w:p w14:paraId="10E0CA51">
            <w:pPr>
              <w:spacing w:line="360" w:lineRule="auto"/>
              <w:jc w:val="center"/>
              <w:rPr>
                <w:szCs w:val="21"/>
              </w:rPr>
            </w:pPr>
          </w:p>
        </w:tc>
        <w:tc>
          <w:tcPr>
            <w:tcW w:w="672" w:type="dxa"/>
            <w:noWrap w:val="0"/>
            <w:vAlign w:val="top"/>
          </w:tcPr>
          <w:p w14:paraId="1D6843A9">
            <w:pPr>
              <w:spacing w:line="360" w:lineRule="auto"/>
              <w:jc w:val="center"/>
              <w:rPr>
                <w:szCs w:val="21"/>
              </w:rPr>
            </w:pPr>
          </w:p>
        </w:tc>
        <w:tc>
          <w:tcPr>
            <w:tcW w:w="738" w:type="dxa"/>
            <w:noWrap w:val="0"/>
            <w:vAlign w:val="top"/>
          </w:tcPr>
          <w:p w14:paraId="696EF0DC">
            <w:pPr>
              <w:spacing w:line="360" w:lineRule="auto"/>
              <w:jc w:val="center"/>
              <w:rPr>
                <w:szCs w:val="21"/>
              </w:rPr>
            </w:pPr>
          </w:p>
        </w:tc>
        <w:tc>
          <w:tcPr>
            <w:tcW w:w="1212" w:type="dxa"/>
            <w:noWrap w:val="0"/>
            <w:vAlign w:val="top"/>
          </w:tcPr>
          <w:p w14:paraId="30F9A340">
            <w:pPr>
              <w:spacing w:line="360" w:lineRule="auto"/>
              <w:jc w:val="center"/>
              <w:rPr>
                <w:szCs w:val="21"/>
              </w:rPr>
            </w:pPr>
          </w:p>
        </w:tc>
        <w:tc>
          <w:tcPr>
            <w:tcW w:w="1653" w:type="dxa"/>
            <w:noWrap w:val="0"/>
            <w:vAlign w:val="top"/>
          </w:tcPr>
          <w:p w14:paraId="363ED4BA">
            <w:pPr>
              <w:spacing w:line="360" w:lineRule="auto"/>
              <w:jc w:val="center"/>
              <w:rPr>
                <w:szCs w:val="21"/>
              </w:rPr>
            </w:pPr>
          </w:p>
        </w:tc>
        <w:tc>
          <w:tcPr>
            <w:tcW w:w="688" w:type="dxa"/>
            <w:noWrap w:val="0"/>
            <w:vAlign w:val="top"/>
          </w:tcPr>
          <w:p w14:paraId="48C364F1">
            <w:pPr>
              <w:spacing w:line="360" w:lineRule="auto"/>
              <w:jc w:val="center"/>
              <w:rPr>
                <w:szCs w:val="21"/>
              </w:rPr>
            </w:pPr>
          </w:p>
        </w:tc>
      </w:tr>
      <w:tr w14:paraId="62168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123D18B3">
            <w:pPr>
              <w:spacing w:line="360" w:lineRule="auto"/>
              <w:jc w:val="center"/>
              <w:rPr>
                <w:szCs w:val="21"/>
              </w:rPr>
            </w:pPr>
          </w:p>
        </w:tc>
        <w:tc>
          <w:tcPr>
            <w:tcW w:w="1087" w:type="dxa"/>
            <w:noWrap w:val="0"/>
            <w:vAlign w:val="top"/>
          </w:tcPr>
          <w:p w14:paraId="1948B74A">
            <w:pPr>
              <w:spacing w:line="360" w:lineRule="auto"/>
              <w:jc w:val="center"/>
              <w:rPr>
                <w:szCs w:val="21"/>
              </w:rPr>
            </w:pPr>
          </w:p>
        </w:tc>
        <w:tc>
          <w:tcPr>
            <w:tcW w:w="760" w:type="dxa"/>
            <w:noWrap w:val="0"/>
            <w:vAlign w:val="top"/>
          </w:tcPr>
          <w:p w14:paraId="1A06B2B7">
            <w:pPr>
              <w:spacing w:line="360" w:lineRule="auto"/>
              <w:jc w:val="center"/>
              <w:rPr>
                <w:szCs w:val="21"/>
              </w:rPr>
            </w:pPr>
          </w:p>
        </w:tc>
        <w:tc>
          <w:tcPr>
            <w:tcW w:w="991" w:type="dxa"/>
            <w:noWrap w:val="0"/>
            <w:vAlign w:val="top"/>
          </w:tcPr>
          <w:p w14:paraId="45319CAF">
            <w:pPr>
              <w:spacing w:line="360" w:lineRule="auto"/>
              <w:jc w:val="center"/>
              <w:rPr>
                <w:szCs w:val="21"/>
              </w:rPr>
            </w:pPr>
          </w:p>
        </w:tc>
        <w:tc>
          <w:tcPr>
            <w:tcW w:w="672" w:type="dxa"/>
            <w:noWrap w:val="0"/>
            <w:vAlign w:val="top"/>
          </w:tcPr>
          <w:p w14:paraId="45935B99">
            <w:pPr>
              <w:spacing w:line="360" w:lineRule="auto"/>
              <w:jc w:val="center"/>
              <w:rPr>
                <w:szCs w:val="21"/>
              </w:rPr>
            </w:pPr>
          </w:p>
        </w:tc>
        <w:tc>
          <w:tcPr>
            <w:tcW w:w="738" w:type="dxa"/>
            <w:noWrap w:val="0"/>
            <w:vAlign w:val="top"/>
          </w:tcPr>
          <w:p w14:paraId="27FB791D">
            <w:pPr>
              <w:spacing w:line="360" w:lineRule="auto"/>
              <w:jc w:val="center"/>
              <w:rPr>
                <w:szCs w:val="21"/>
              </w:rPr>
            </w:pPr>
          </w:p>
        </w:tc>
        <w:tc>
          <w:tcPr>
            <w:tcW w:w="1212" w:type="dxa"/>
            <w:noWrap w:val="0"/>
            <w:vAlign w:val="top"/>
          </w:tcPr>
          <w:p w14:paraId="733D2898">
            <w:pPr>
              <w:spacing w:line="360" w:lineRule="auto"/>
              <w:jc w:val="center"/>
              <w:rPr>
                <w:szCs w:val="21"/>
              </w:rPr>
            </w:pPr>
          </w:p>
        </w:tc>
        <w:tc>
          <w:tcPr>
            <w:tcW w:w="1653" w:type="dxa"/>
            <w:noWrap w:val="0"/>
            <w:vAlign w:val="top"/>
          </w:tcPr>
          <w:p w14:paraId="68D755A2">
            <w:pPr>
              <w:spacing w:line="360" w:lineRule="auto"/>
              <w:jc w:val="center"/>
              <w:rPr>
                <w:szCs w:val="21"/>
              </w:rPr>
            </w:pPr>
          </w:p>
        </w:tc>
        <w:tc>
          <w:tcPr>
            <w:tcW w:w="688" w:type="dxa"/>
            <w:noWrap w:val="0"/>
            <w:vAlign w:val="top"/>
          </w:tcPr>
          <w:p w14:paraId="1B8B5089">
            <w:pPr>
              <w:spacing w:line="360" w:lineRule="auto"/>
              <w:jc w:val="center"/>
              <w:rPr>
                <w:szCs w:val="21"/>
              </w:rPr>
            </w:pPr>
          </w:p>
        </w:tc>
      </w:tr>
      <w:tr w14:paraId="4A29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158C46F0">
            <w:pPr>
              <w:spacing w:line="360" w:lineRule="auto"/>
              <w:jc w:val="center"/>
              <w:rPr>
                <w:szCs w:val="21"/>
              </w:rPr>
            </w:pPr>
          </w:p>
        </w:tc>
        <w:tc>
          <w:tcPr>
            <w:tcW w:w="1087" w:type="dxa"/>
            <w:noWrap w:val="0"/>
            <w:vAlign w:val="top"/>
          </w:tcPr>
          <w:p w14:paraId="5C9B8E14">
            <w:pPr>
              <w:spacing w:line="360" w:lineRule="auto"/>
              <w:jc w:val="center"/>
              <w:rPr>
                <w:szCs w:val="21"/>
              </w:rPr>
            </w:pPr>
          </w:p>
        </w:tc>
        <w:tc>
          <w:tcPr>
            <w:tcW w:w="760" w:type="dxa"/>
            <w:noWrap w:val="0"/>
            <w:vAlign w:val="top"/>
          </w:tcPr>
          <w:p w14:paraId="597580EE">
            <w:pPr>
              <w:spacing w:line="360" w:lineRule="auto"/>
              <w:jc w:val="center"/>
              <w:rPr>
                <w:szCs w:val="21"/>
              </w:rPr>
            </w:pPr>
          </w:p>
        </w:tc>
        <w:tc>
          <w:tcPr>
            <w:tcW w:w="991" w:type="dxa"/>
            <w:noWrap w:val="0"/>
            <w:vAlign w:val="top"/>
          </w:tcPr>
          <w:p w14:paraId="281A5C4F">
            <w:pPr>
              <w:spacing w:line="360" w:lineRule="auto"/>
              <w:jc w:val="center"/>
              <w:rPr>
                <w:szCs w:val="21"/>
              </w:rPr>
            </w:pPr>
          </w:p>
        </w:tc>
        <w:tc>
          <w:tcPr>
            <w:tcW w:w="672" w:type="dxa"/>
            <w:noWrap w:val="0"/>
            <w:vAlign w:val="top"/>
          </w:tcPr>
          <w:p w14:paraId="11F79F13">
            <w:pPr>
              <w:spacing w:line="360" w:lineRule="auto"/>
              <w:jc w:val="center"/>
              <w:rPr>
                <w:szCs w:val="21"/>
              </w:rPr>
            </w:pPr>
          </w:p>
        </w:tc>
        <w:tc>
          <w:tcPr>
            <w:tcW w:w="738" w:type="dxa"/>
            <w:noWrap w:val="0"/>
            <w:vAlign w:val="top"/>
          </w:tcPr>
          <w:p w14:paraId="5AA11A4F">
            <w:pPr>
              <w:spacing w:line="360" w:lineRule="auto"/>
              <w:jc w:val="center"/>
              <w:rPr>
                <w:szCs w:val="21"/>
              </w:rPr>
            </w:pPr>
          </w:p>
        </w:tc>
        <w:tc>
          <w:tcPr>
            <w:tcW w:w="1212" w:type="dxa"/>
            <w:noWrap w:val="0"/>
            <w:vAlign w:val="top"/>
          </w:tcPr>
          <w:p w14:paraId="7A97F3AB">
            <w:pPr>
              <w:spacing w:line="360" w:lineRule="auto"/>
              <w:jc w:val="center"/>
              <w:rPr>
                <w:szCs w:val="21"/>
              </w:rPr>
            </w:pPr>
          </w:p>
        </w:tc>
        <w:tc>
          <w:tcPr>
            <w:tcW w:w="1653" w:type="dxa"/>
            <w:noWrap w:val="0"/>
            <w:vAlign w:val="top"/>
          </w:tcPr>
          <w:p w14:paraId="7AE25CFF">
            <w:pPr>
              <w:spacing w:line="360" w:lineRule="auto"/>
              <w:jc w:val="center"/>
              <w:rPr>
                <w:szCs w:val="21"/>
              </w:rPr>
            </w:pPr>
          </w:p>
        </w:tc>
        <w:tc>
          <w:tcPr>
            <w:tcW w:w="688" w:type="dxa"/>
            <w:noWrap w:val="0"/>
            <w:vAlign w:val="top"/>
          </w:tcPr>
          <w:p w14:paraId="75AEE71F">
            <w:pPr>
              <w:spacing w:line="360" w:lineRule="auto"/>
              <w:jc w:val="center"/>
              <w:rPr>
                <w:szCs w:val="21"/>
              </w:rPr>
            </w:pPr>
          </w:p>
        </w:tc>
      </w:tr>
      <w:tr w14:paraId="2295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4AD54FB8">
            <w:pPr>
              <w:spacing w:line="360" w:lineRule="auto"/>
              <w:jc w:val="center"/>
              <w:rPr>
                <w:szCs w:val="21"/>
              </w:rPr>
            </w:pPr>
          </w:p>
        </w:tc>
        <w:tc>
          <w:tcPr>
            <w:tcW w:w="1087" w:type="dxa"/>
            <w:noWrap w:val="0"/>
            <w:vAlign w:val="top"/>
          </w:tcPr>
          <w:p w14:paraId="1E38C493">
            <w:pPr>
              <w:spacing w:line="360" w:lineRule="auto"/>
              <w:jc w:val="center"/>
              <w:rPr>
                <w:szCs w:val="21"/>
              </w:rPr>
            </w:pPr>
          </w:p>
        </w:tc>
        <w:tc>
          <w:tcPr>
            <w:tcW w:w="760" w:type="dxa"/>
            <w:noWrap w:val="0"/>
            <w:vAlign w:val="top"/>
          </w:tcPr>
          <w:p w14:paraId="0A707387">
            <w:pPr>
              <w:spacing w:line="360" w:lineRule="auto"/>
              <w:jc w:val="center"/>
              <w:rPr>
                <w:szCs w:val="21"/>
              </w:rPr>
            </w:pPr>
          </w:p>
        </w:tc>
        <w:tc>
          <w:tcPr>
            <w:tcW w:w="991" w:type="dxa"/>
            <w:noWrap w:val="0"/>
            <w:vAlign w:val="top"/>
          </w:tcPr>
          <w:p w14:paraId="256028D5">
            <w:pPr>
              <w:spacing w:line="360" w:lineRule="auto"/>
              <w:jc w:val="center"/>
              <w:rPr>
                <w:szCs w:val="21"/>
              </w:rPr>
            </w:pPr>
          </w:p>
        </w:tc>
        <w:tc>
          <w:tcPr>
            <w:tcW w:w="672" w:type="dxa"/>
            <w:noWrap w:val="0"/>
            <w:vAlign w:val="top"/>
          </w:tcPr>
          <w:p w14:paraId="1631A973">
            <w:pPr>
              <w:spacing w:line="360" w:lineRule="auto"/>
              <w:jc w:val="center"/>
              <w:rPr>
                <w:szCs w:val="21"/>
              </w:rPr>
            </w:pPr>
          </w:p>
        </w:tc>
        <w:tc>
          <w:tcPr>
            <w:tcW w:w="738" w:type="dxa"/>
            <w:noWrap w:val="0"/>
            <w:vAlign w:val="top"/>
          </w:tcPr>
          <w:p w14:paraId="57462201">
            <w:pPr>
              <w:spacing w:line="360" w:lineRule="auto"/>
              <w:jc w:val="center"/>
              <w:rPr>
                <w:szCs w:val="21"/>
              </w:rPr>
            </w:pPr>
          </w:p>
        </w:tc>
        <w:tc>
          <w:tcPr>
            <w:tcW w:w="1212" w:type="dxa"/>
            <w:noWrap w:val="0"/>
            <w:vAlign w:val="top"/>
          </w:tcPr>
          <w:p w14:paraId="66F68BE9">
            <w:pPr>
              <w:spacing w:line="360" w:lineRule="auto"/>
              <w:jc w:val="center"/>
              <w:rPr>
                <w:szCs w:val="21"/>
              </w:rPr>
            </w:pPr>
          </w:p>
        </w:tc>
        <w:tc>
          <w:tcPr>
            <w:tcW w:w="1653" w:type="dxa"/>
            <w:noWrap w:val="0"/>
            <w:vAlign w:val="top"/>
          </w:tcPr>
          <w:p w14:paraId="11E86980">
            <w:pPr>
              <w:spacing w:line="360" w:lineRule="auto"/>
              <w:jc w:val="center"/>
              <w:rPr>
                <w:szCs w:val="21"/>
              </w:rPr>
            </w:pPr>
          </w:p>
        </w:tc>
        <w:tc>
          <w:tcPr>
            <w:tcW w:w="688" w:type="dxa"/>
            <w:noWrap w:val="0"/>
            <w:vAlign w:val="top"/>
          </w:tcPr>
          <w:p w14:paraId="3159A1AD">
            <w:pPr>
              <w:spacing w:line="360" w:lineRule="auto"/>
              <w:jc w:val="center"/>
              <w:rPr>
                <w:szCs w:val="21"/>
              </w:rPr>
            </w:pPr>
          </w:p>
        </w:tc>
      </w:tr>
      <w:tr w14:paraId="2E51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46E0EFE2">
            <w:pPr>
              <w:spacing w:line="360" w:lineRule="auto"/>
              <w:jc w:val="center"/>
              <w:rPr>
                <w:szCs w:val="21"/>
              </w:rPr>
            </w:pPr>
          </w:p>
        </w:tc>
        <w:tc>
          <w:tcPr>
            <w:tcW w:w="1087" w:type="dxa"/>
            <w:noWrap w:val="0"/>
            <w:vAlign w:val="top"/>
          </w:tcPr>
          <w:p w14:paraId="58114D21">
            <w:pPr>
              <w:spacing w:line="360" w:lineRule="auto"/>
              <w:jc w:val="center"/>
              <w:rPr>
                <w:szCs w:val="21"/>
              </w:rPr>
            </w:pPr>
          </w:p>
        </w:tc>
        <w:tc>
          <w:tcPr>
            <w:tcW w:w="760" w:type="dxa"/>
            <w:noWrap w:val="0"/>
            <w:vAlign w:val="top"/>
          </w:tcPr>
          <w:p w14:paraId="256F9675">
            <w:pPr>
              <w:spacing w:line="360" w:lineRule="auto"/>
              <w:jc w:val="center"/>
              <w:rPr>
                <w:szCs w:val="21"/>
              </w:rPr>
            </w:pPr>
          </w:p>
        </w:tc>
        <w:tc>
          <w:tcPr>
            <w:tcW w:w="991" w:type="dxa"/>
            <w:noWrap w:val="0"/>
            <w:vAlign w:val="top"/>
          </w:tcPr>
          <w:p w14:paraId="73F92FD9">
            <w:pPr>
              <w:spacing w:line="360" w:lineRule="auto"/>
              <w:jc w:val="center"/>
              <w:rPr>
                <w:szCs w:val="21"/>
              </w:rPr>
            </w:pPr>
          </w:p>
        </w:tc>
        <w:tc>
          <w:tcPr>
            <w:tcW w:w="672" w:type="dxa"/>
            <w:noWrap w:val="0"/>
            <w:vAlign w:val="top"/>
          </w:tcPr>
          <w:p w14:paraId="1A761F37">
            <w:pPr>
              <w:spacing w:line="360" w:lineRule="auto"/>
              <w:jc w:val="center"/>
              <w:rPr>
                <w:szCs w:val="21"/>
              </w:rPr>
            </w:pPr>
          </w:p>
        </w:tc>
        <w:tc>
          <w:tcPr>
            <w:tcW w:w="738" w:type="dxa"/>
            <w:noWrap w:val="0"/>
            <w:vAlign w:val="top"/>
          </w:tcPr>
          <w:p w14:paraId="7E2DF160">
            <w:pPr>
              <w:spacing w:line="360" w:lineRule="auto"/>
              <w:jc w:val="center"/>
              <w:rPr>
                <w:szCs w:val="21"/>
              </w:rPr>
            </w:pPr>
          </w:p>
        </w:tc>
        <w:tc>
          <w:tcPr>
            <w:tcW w:w="1212" w:type="dxa"/>
            <w:noWrap w:val="0"/>
            <w:vAlign w:val="top"/>
          </w:tcPr>
          <w:p w14:paraId="11707392">
            <w:pPr>
              <w:spacing w:line="360" w:lineRule="auto"/>
              <w:jc w:val="center"/>
              <w:rPr>
                <w:szCs w:val="21"/>
              </w:rPr>
            </w:pPr>
          </w:p>
        </w:tc>
        <w:tc>
          <w:tcPr>
            <w:tcW w:w="1653" w:type="dxa"/>
            <w:noWrap w:val="0"/>
            <w:vAlign w:val="top"/>
          </w:tcPr>
          <w:p w14:paraId="28325A4C">
            <w:pPr>
              <w:spacing w:line="360" w:lineRule="auto"/>
              <w:jc w:val="center"/>
              <w:rPr>
                <w:szCs w:val="21"/>
              </w:rPr>
            </w:pPr>
          </w:p>
        </w:tc>
        <w:tc>
          <w:tcPr>
            <w:tcW w:w="688" w:type="dxa"/>
            <w:noWrap w:val="0"/>
            <w:vAlign w:val="top"/>
          </w:tcPr>
          <w:p w14:paraId="4F71296B">
            <w:pPr>
              <w:spacing w:line="360" w:lineRule="auto"/>
              <w:jc w:val="center"/>
              <w:rPr>
                <w:szCs w:val="21"/>
              </w:rPr>
            </w:pPr>
          </w:p>
        </w:tc>
      </w:tr>
      <w:tr w14:paraId="6C377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5A50A22E">
            <w:pPr>
              <w:spacing w:line="360" w:lineRule="auto"/>
              <w:jc w:val="center"/>
              <w:rPr>
                <w:szCs w:val="21"/>
              </w:rPr>
            </w:pPr>
          </w:p>
        </w:tc>
        <w:tc>
          <w:tcPr>
            <w:tcW w:w="1087" w:type="dxa"/>
            <w:noWrap w:val="0"/>
            <w:vAlign w:val="top"/>
          </w:tcPr>
          <w:p w14:paraId="5AC2F7FF">
            <w:pPr>
              <w:spacing w:line="360" w:lineRule="auto"/>
              <w:jc w:val="center"/>
              <w:rPr>
                <w:szCs w:val="21"/>
              </w:rPr>
            </w:pPr>
          </w:p>
        </w:tc>
        <w:tc>
          <w:tcPr>
            <w:tcW w:w="760" w:type="dxa"/>
            <w:noWrap w:val="0"/>
            <w:vAlign w:val="top"/>
          </w:tcPr>
          <w:p w14:paraId="0BE6F549">
            <w:pPr>
              <w:spacing w:line="360" w:lineRule="auto"/>
              <w:jc w:val="center"/>
              <w:rPr>
                <w:szCs w:val="21"/>
              </w:rPr>
            </w:pPr>
          </w:p>
        </w:tc>
        <w:tc>
          <w:tcPr>
            <w:tcW w:w="991" w:type="dxa"/>
            <w:noWrap w:val="0"/>
            <w:vAlign w:val="top"/>
          </w:tcPr>
          <w:p w14:paraId="143B07E3">
            <w:pPr>
              <w:spacing w:line="360" w:lineRule="auto"/>
              <w:jc w:val="center"/>
              <w:rPr>
                <w:szCs w:val="21"/>
              </w:rPr>
            </w:pPr>
          </w:p>
        </w:tc>
        <w:tc>
          <w:tcPr>
            <w:tcW w:w="672" w:type="dxa"/>
            <w:noWrap w:val="0"/>
            <w:vAlign w:val="top"/>
          </w:tcPr>
          <w:p w14:paraId="2BF96A86">
            <w:pPr>
              <w:spacing w:line="360" w:lineRule="auto"/>
              <w:jc w:val="center"/>
              <w:rPr>
                <w:szCs w:val="21"/>
              </w:rPr>
            </w:pPr>
          </w:p>
        </w:tc>
        <w:tc>
          <w:tcPr>
            <w:tcW w:w="738" w:type="dxa"/>
            <w:noWrap w:val="0"/>
            <w:vAlign w:val="top"/>
          </w:tcPr>
          <w:p w14:paraId="2FEA00FF">
            <w:pPr>
              <w:spacing w:line="360" w:lineRule="auto"/>
              <w:jc w:val="center"/>
              <w:rPr>
                <w:szCs w:val="21"/>
              </w:rPr>
            </w:pPr>
          </w:p>
        </w:tc>
        <w:tc>
          <w:tcPr>
            <w:tcW w:w="1212" w:type="dxa"/>
            <w:noWrap w:val="0"/>
            <w:vAlign w:val="top"/>
          </w:tcPr>
          <w:p w14:paraId="6C9B8E67">
            <w:pPr>
              <w:spacing w:line="360" w:lineRule="auto"/>
              <w:jc w:val="center"/>
              <w:rPr>
                <w:szCs w:val="21"/>
              </w:rPr>
            </w:pPr>
          </w:p>
        </w:tc>
        <w:tc>
          <w:tcPr>
            <w:tcW w:w="1653" w:type="dxa"/>
            <w:noWrap w:val="0"/>
            <w:vAlign w:val="top"/>
          </w:tcPr>
          <w:p w14:paraId="4EA74B61">
            <w:pPr>
              <w:spacing w:line="360" w:lineRule="auto"/>
              <w:jc w:val="center"/>
              <w:rPr>
                <w:szCs w:val="21"/>
              </w:rPr>
            </w:pPr>
          </w:p>
        </w:tc>
        <w:tc>
          <w:tcPr>
            <w:tcW w:w="688" w:type="dxa"/>
            <w:noWrap w:val="0"/>
            <w:vAlign w:val="top"/>
          </w:tcPr>
          <w:p w14:paraId="4B1A432A">
            <w:pPr>
              <w:spacing w:line="360" w:lineRule="auto"/>
              <w:jc w:val="center"/>
              <w:rPr>
                <w:szCs w:val="21"/>
              </w:rPr>
            </w:pPr>
          </w:p>
        </w:tc>
      </w:tr>
      <w:tr w14:paraId="03AD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5058AD5B">
            <w:pPr>
              <w:spacing w:line="360" w:lineRule="auto"/>
              <w:jc w:val="center"/>
              <w:rPr>
                <w:szCs w:val="21"/>
              </w:rPr>
            </w:pPr>
          </w:p>
        </w:tc>
        <w:tc>
          <w:tcPr>
            <w:tcW w:w="1087" w:type="dxa"/>
            <w:noWrap w:val="0"/>
            <w:vAlign w:val="top"/>
          </w:tcPr>
          <w:p w14:paraId="1DE057AA">
            <w:pPr>
              <w:spacing w:line="360" w:lineRule="auto"/>
              <w:jc w:val="center"/>
              <w:rPr>
                <w:szCs w:val="21"/>
              </w:rPr>
            </w:pPr>
          </w:p>
        </w:tc>
        <w:tc>
          <w:tcPr>
            <w:tcW w:w="760" w:type="dxa"/>
            <w:noWrap w:val="0"/>
            <w:vAlign w:val="top"/>
          </w:tcPr>
          <w:p w14:paraId="79C4B99A">
            <w:pPr>
              <w:spacing w:line="360" w:lineRule="auto"/>
              <w:jc w:val="center"/>
              <w:rPr>
                <w:szCs w:val="21"/>
              </w:rPr>
            </w:pPr>
          </w:p>
        </w:tc>
        <w:tc>
          <w:tcPr>
            <w:tcW w:w="991" w:type="dxa"/>
            <w:noWrap w:val="0"/>
            <w:vAlign w:val="top"/>
          </w:tcPr>
          <w:p w14:paraId="6A7DBF24">
            <w:pPr>
              <w:spacing w:line="360" w:lineRule="auto"/>
              <w:jc w:val="center"/>
              <w:rPr>
                <w:szCs w:val="21"/>
              </w:rPr>
            </w:pPr>
          </w:p>
        </w:tc>
        <w:tc>
          <w:tcPr>
            <w:tcW w:w="672" w:type="dxa"/>
            <w:noWrap w:val="0"/>
            <w:vAlign w:val="top"/>
          </w:tcPr>
          <w:p w14:paraId="0756ABA0">
            <w:pPr>
              <w:spacing w:line="360" w:lineRule="auto"/>
              <w:jc w:val="center"/>
              <w:rPr>
                <w:szCs w:val="21"/>
              </w:rPr>
            </w:pPr>
          </w:p>
        </w:tc>
        <w:tc>
          <w:tcPr>
            <w:tcW w:w="738" w:type="dxa"/>
            <w:noWrap w:val="0"/>
            <w:vAlign w:val="top"/>
          </w:tcPr>
          <w:p w14:paraId="229364A1">
            <w:pPr>
              <w:spacing w:line="360" w:lineRule="auto"/>
              <w:jc w:val="center"/>
              <w:rPr>
                <w:szCs w:val="21"/>
              </w:rPr>
            </w:pPr>
          </w:p>
        </w:tc>
        <w:tc>
          <w:tcPr>
            <w:tcW w:w="1212" w:type="dxa"/>
            <w:noWrap w:val="0"/>
            <w:vAlign w:val="top"/>
          </w:tcPr>
          <w:p w14:paraId="3A7AD857">
            <w:pPr>
              <w:spacing w:line="360" w:lineRule="auto"/>
              <w:jc w:val="center"/>
              <w:rPr>
                <w:szCs w:val="21"/>
              </w:rPr>
            </w:pPr>
          </w:p>
        </w:tc>
        <w:tc>
          <w:tcPr>
            <w:tcW w:w="1653" w:type="dxa"/>
            <w:noWrap w:val="0"/>
            <w:vAlign w:val="top"/>
          </w:tcPr>
          <w:p w14:paraId="0BC25B83">
            <w:pPr>
              <w:spacing w:line="360" w:lineRule="auto"/>
              <w:jc w:val="center"/>
              <w:rPr>
                <w:szCs w:val="21"/>
              </w:rPr>
            </w:pPr>
          </w:p>
        </w:tc>
        <w:tc>
          <w:tcPr>
            <w:tcW w:w="688" w:type="dxa"/>
            <w:noWrap w:val="0"/>
            <w:vAlign w:val="top"/>
          </w:tcPr>
          <w:p w14:paraId="1BDDAB08">
            <w:pPr>
              <w:spacing w:line="360" w:lineRule="auto"/>
              <w:jc w:val="center"/>
              <w:rPr>
                <w:szCs w:val="21"/>
              </w:rPr>
            </w:pPr>
          </w:p>
        </w:tc>
      </w:tr>
      <w:tr w14:paraId="7F0C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659DF849">
            <w:pPr>
              <w:spacing w:line="360" w:lineRule="auto"/>
              <w:jc w:val="center"/>
              <w:rPr>
                <w:szCs w:val="21"/>
              </w:rPr>
            </w:pPr>
          </w:p>
        </w:tc>
        <w:tc>
          <w:tcPr>
            <w:tcW w:w="1087" w:type="dxa"/>
            <w:noWrap w:val="0"/>
            <w:vAlign w:val="top"/>
          </w:tcPr>
          <w:p w14:paraId="60E92621">
            <w:pPr>
              <w:spacing w:line="360" w:lineRule="auto"/>
              <w:jc w:val="center"/>
              <w:rPr>
                <w:szCs w:val="21"/>
              </w:rPr>
            </w:pPr>
          </w:p>
        </w:tc>
        <w:tc>
          <w:tcPr>
            <w:tcW w:w="760" w:type="dxa"/>
            <w:noWrap w:val="0"/>
            <w:vAlign w:val="top"/>
          </w:tcPr>
          <w:p w14:paraId="7D8C106A">
            <w:pPr>
              <w:spacing w:line="360" w:lineRule="auto"/>
              <w:jc w:val="center"/>
              <w:rPr>
                <w:szCs w:val="21"/>
              </w:rPr>
            </w:pPr>
          </w:p>
        </w:tc>
        <w:tc>
          <w:tcPr>
            <w:tcW w:w="991" w:type="dxa"/>
            <w:noWrap w:val="0"/>
            <w:vAlign w:val="top"/>
          </w:tcPr>
          <w:p w14:paraId="2F7AEE8A">
            <w:pPr>
              <w:spacing w:line="360" w:lineRule="auto"/>
              <w:jc w:val="center"/>
              <w:rPr>
                <w:szCs w:val="21"/>
              </w:rPr>
            </w:pPr>
          </w:p>
        </w:tc>
        <w:tc>
          <w:tcPr>
            <w:tcW w:w="672" w:type="dxa"/>
            <w:noWrap w:val="0"/>
            <w:vAlign w:val="top"/>
          </w:tcPr>
          <w:p w14:paraId="03CD3CA5">
            <w:pPr>
              <w:spacing w:line="360" w:lineRule="auto"/>
              <w:jc w:val="center"/>
              <w:rPr>
                <w:szCs w:val="21"/>
              </w:rPr>
            </w:pPr>
          </w:p>
        </w:tc>
        <w:tc>
          <w:tcPr>
            <w:tcW w:w="738" w:type="dxa"/>
            <w:noWrap w:val="0"/>
            <w:vAlign w:val="top"/>
          </w:tcPr>
          <w:p w14:paraId="4E0D209E">
            <w:pPr>
              <w:spacing w:line="360" w:lineRule="auto"/>
              <w:jc w:val="center"/>
              <w:rPr>
                <w:szCs w:val="21"/>
              </w:rPr>
            </w:pPr>
          </w:p>
        </w:tc>
        <w:tc>
          <w:tcPr>
            <w:tcW w:w="1212" w:type="dxa"/>
            <w:noWrap w:val="0"/>
            <w:vAlign w:val="top"/>
          </w:tcPr>
          <w:p w14:paraId="6F97D2B1">
            <w:pPr>
              <w:spacing w:line="360" w:lineRule="auto"/>
              <w:jc w:val="center"/>
              <w:rPr>
                <w:szCs w:val="21"/>
              </w:rPr>
            </w:pPr>
          </w:p>
        </w:tc>
        <w:tc>
          <w:tcPr>
            <w:tcW w:w="1653" w:type="dxa"/>
            <w:noWrap w:val="0"/>
            <w:vAlign w:val="top"/>
          </w:tcPr>
          <w:p w14:paraId="273ACBD6">
            <w:pPr>
              <w:spacing w:line="360" w:lineRule="auto"/>
              <w:jc w:val="center"/>
              <w:rPr>
                <w:szCs w:val="21"/>
              </w:rPr>
            </w:pPr>
          </w:p>
        </w:tc>
        <w:tc>
          <w:tcPr>
            <w:tcW w:w="688" w:type="dxa"/>
            <w:noWrap w:val="0"/>
            <w:vAlign w:val="top"/>
          </w:tcPr>
          <w:p w14:paraId="32382FD2">
            <w:pPr>
              <w:spacing w:line="360" w:lineRule="auto"/>
              <w:jc w:val="center"/>
              <w:rPr>
                <w:szCs w:val="21"/>
              </w:rPr>
            </w:pPr>
          </w:p>
        </w:tc>
      </w:tr>
      <w:tr w14:paraId="4ACE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66" w:type="dxa"/>
            <w:noWrap w:val="0"/>
            <w:vAlign w:val="top"/>
          </w:tcPr>
          <w:p w14:paraId="3D56CE86">
            <w:pPr>
              <w:spacing w:line="360" w:lineRule="auto"/>
              <w:jc w:val="center"/>
              <w:rPr>
                <w:szCs w:val="21"/>
              </w:rPr>
            </w:pPr>
          </w:p>
        </w:tc>
        <w:tc>
          <w:tcPr>
            <w:tcW w:w="1087" w:type="dxa"/>
            <w:noWrap w:val="0"/>
            <w:vAlign w:val="top"/>
          </w:tcPr>
          <w:p w14:paraId="5E2C0A1E">
            <w:pPr>
              <w:spacing w:line="360" w:lineRule="auto"/>
              <w:jc w:val="center"/>
              <w:rPr>
                <w:szCs w:val="21"/>
              </w:rPr>
            </w:pPr>
          </w:p>
        </w:tc>
        <w:tc>
          <w:tcPr>
            <w:tcW w:w="760" w:type="dxa"/>
            <w:noWrap w:val="0"/>
            <w:vAlign w:val="top"/>
          </w:tcPr>
          <w:p w14:paraId="350BDFF5">
            <w:pPr>
              <w:spacing w:line="360" w:lineRule="auto"/>
              <w:jc w:val="center"/>
              <w:rPr>
                <w:szCs w:val="21"/>
              </w:rPr>
            </w:pPr>
          </w:p>
        </w:tc>
        <w:tc>
          <w:tcPr>
            <w:tcW w:w="991" w:type="dxa"/>
            <w:noWrap w:val="0"/>
            <w:vAlign w:val="top"/>
          </w:tcPr>
          <w:p w14:paraId="6DD272DA">
            <w:pPr>
              <w:spacing w:line="360" w:lineRule="auto"/>
              <w:jc w:val="center"/>
              <w:rPr>
                <w:szCs w:val="21"/>
              </w:rPr>
            </w:pPr>
          </w:p>
        </w:tc>
        <w:tc>
          <w:tcPr>
            <w:tcW w:w="672" w:type="dxa"/>
            <w:noWrap w:val="0"/>
            <w:vAlign w:val="top"/>
          </w:tcPr>
          <w:p w14:paraId="29BDDD37">
            <w:pPr>
              <w:spacing w:line="360" w:lineRule="auto"/>
              <w:jc w:val="center"/>
              <w:rPr>
                <w:szCs w:val="21"/>
              </w:rPr>
            </w:pPr>
          </w:p>
        </w:tc>
        <w:tc>
          <w:tcPr>
            <w:tcW w:w="738" w:type="dxa"/>
            <w:noWrap w:val="0"/>
            <w:vAlign w:val="top"/>
          </w:tcPr>
          <w:p w14:paraId="51C98864">
            <w:pPr>
              <w:spacing w:line="360" w:lineRule="auto"/>
              <w:jc w:val="center"/>
              <w:rPr>
                <w:szCs w:val="21"/>
              </w:rPr>
            </w:pPr>
          </w:p>
        </w:tc>
        <w:tc>
          <w:tcPr>
            <w:tcW w:w="1212" w:type="dxa"/>
            <w:noWrap w:val="0"/>
            <w:vAlign w:val="top"/>
          </w:tcPr>
          <w:p w14:paraId="5985E45A">
            <w:pPr>
              <w:spacing w:line="360" w:lineRule="auto"/>
              <w:jc w:val="center"/>
              <w:rPr>
                <w:szCs w:val="21"/>
              </w:rPr>
            </w:pPr>
          </w:p>
        </w:tc>
        <w:tc>
          <w:tcPr>
            <w:tcW w:w="1653" w:type="dxa"/>
            <w:noWrap w:val="0"/>
            <w:vAlign w:val="top"/>
          </w:tcPr>
          <w:p w14:paraId="49A2AB0C">
            <w:pPr>
              <w:spacing w:line="360" w:lineRule="auto"/>
              <w:jc w:val="center"/>
              <w:rPr>
                <w:szCs w:val="21"/>
              </w:rPr>
            </w:pPr>
          </w:p>
        </w:tc>
        <w:tc>
          <w:tcPr>
            <w:tcW w:w="688" w:type="dxa"/>
            <w:noWrap w:val="0"/>
            <w:vAlign w:val="top"/>
          </w:tcPr>
          <w:p w14:paraId="0F9E93F8">
            <w:pPr>
              <w:spacing w:line="360" w:lineRule="auto"/>
              <w:jc w:val="center"/>
              <w:rPr>
                <w:szCs w:val="21"/>
              </w:rPr>
            </w:pPr>
          </w:p>
        </w:tc>
      </w:tr>
    </w:tbl>
    <w:p w14:paraId="7DFF1A10">
      <w:pPr>
        <w:pStyle w:val="4"/>
        <w:spacing w:line="360" w:lineRule="auto"/>
        <w:jc w:val="center"/>
        <w:rPr>
          <w:rFonts w:hint="eastAsia"/>
          <w:sz w:val="23"/>
          <w:szCs w:val="23"/>
        </w:rPr>
      </w:pPr>
      <w:bookmarkStart w:id="258" w:name="_Toc256000366"/>
      <w:r>
        <w:rPr>
          <w:highlight w:val="white"/>
        </w:rPr>
        <w:t>（</w:t>
      </w:r>
      <w:r>
        <w:rPr>
          <w:rFonts w:hint="eastAsia"/>
          <w:highlight w:val="white"/>
        </w:rPr>
        <w:t>八</w:t>
      </w:r>
      <w:r>
        <w:rPr>
          <w:highlight w:val="white"/>
        </w:rPr>
        <w:t>）项目管理机构组成表</w:t>
      </w:r>
      <w:bookmarkEnd w:id="258"/>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1105"/>
        <w:gridCol w:w="1473"/>
        <w:gridCol w:w="886"/>
        <w:gridCol w:w="1814"/>
        <w:gridCol w:w="1204"/>
        <w:gridCol w:w="672"/>
      </w:tblGrid>
      <w:tr w14:paraId="5FB5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trHeight w:val="57" w:hRule="atLeast"/>
        </w:trPr>
        <w:tc>
          <w:tcPr>
            <w:tcW w:w="647" w:type="dxa"/>
            <w:vMerge w:val="restart"/>
            <w:noWrap w:val="0"/>
            <w:vAlign w:val="center"/>
          </w:tcPr>
          <w:p w14:paraId="3AB98F13">
            <w:pPr>
              <w:spacing w:line="360" w:lineRule="auto"/>
              <w:jc w:val="center"/>
              <w:rPr>
                <w:szCs w:val="21"/>
              </w:rPr>
            </w:pPr>
            <w:r>
              <w:rPr>
                <w:szCs w:val="21"/>
                <w:highlight w:val="white"/>
              </w:rPr>
              <w:t>职务</w:t>
            </w:r>
          </w:p>
        </w:tc>
        <w:tc>
          <w:tcPr>
            <w:tcW w:w="721" w:type="dxa"/>
            <w:vMerge w:val="restart"/>
            <w:noWrap w:val="0"/>
            <w:vAlign w:val="center"/>
          </w:tcPr>
          <w:p w14:paraId="38267BD0">
            <w:pPr>
              <w:spacing w:line="360" w:lineRule="auto"/>
              <w:jc w:val="center"/>
              <w:rPr>
                <w:szCs w:val="21"/>
              </w:rPr>
            </w:pPr>
            <w:r>
              <w:rPr>
                <w:szCs w:val="21"/>
                <w:highlight w:val="white"/>
              </w:rPr>
              <w:t>姓名</w:t>
            </w:r>
          </w:p>
        </w:tc>
        <w:tc>
          <w:tcPr>
            <w:tcW w:w="1105" w:type="dxa"/>
            <w:vMerge w:val="restart"/>
            <w:noWrap w:val="0"/>
            <w:vAlign w:val="center"/>
          </w:tcPr>
          <w:p w14:paraId="4FAFF2E6">
            <w:pPr>
              <w:spacing w:line="360" w:lineRule="auto"/>
              <w:jc w:val="center"/>
              <w:rPr>
                <w:szCs w:val="21"/>
              </w:rPr>
            </w:pPr>
            <w:r>
              <w:rPr>
                <w:rFonts w:hint="eastAsia"/>
                <w:szCs w:val="21"/>
                <w:highlight w:val="white"/>
              </w:rPr>
              <w:t>专业技术</w:t>
            </w:r>
            <w:r>
              <w:rPr>
                <w:szCs w:val="21"/>
                <w:highlight w:val="white"/>
              </w:rPr>
              <w:t>职称</w:t>
            </w:r>
          </w:p>
        </w:tc>
        <w:tc>
          <w:tcPr>
            <w:tcW w:w="5377" w:type="dxa"/>
            <w:gridSpan w:val="4"/>
            <w:noWrap w:val="0"/>
            <w:vAlign w:val="center"/>
          </w:tcPr>
          <w:p w14:paraId="50DFBD3B">
            <w:pPr>
              <w:spacing w:line="360" w:lineRule="auto"/>
              <w:jc w:val="center"/>
              <w:rPr>
                <w:szCs w:val="21"/>
              </w:rPr>
            </w:pPr>
            <w:r>
              <w:rPr>
                <w:szCs w:val="21"/>
                <w:highlight w:val="white"/>
              </w:rPr>
              <w:t>执业或职业资格证明</w:t>
            </w:r>
          </w:p>
        </w:tc>
        <w:tc>
          <w:tcPr>
            <w:tcW w:w="672" w:type="dxa"/>
            <w:noWrap w:val="0"/>
            <w:vAlign w:val="center"/>
          </w:tcPr>
          <w:p w14:paraId="1FFB9308">
            <w:pPr>
              <w:spacing w:line="360" w:lineRule="auto"/>
              <w:jc w:val="center"/>
              <w:rPr>
                <w:szCs w:val="21"/>
              </w:rPr>
            </w:pPr>
            <w:r>
              <w:rPr>
                <w:szCs w:val="21"/>
                <w:highlight w:val="white"/>
              </w:rPr>
              <w:t>备注</w:t>
            </w:r>
          </w:p>
        </w:tc>
      </w:tr>
      <w:tr w14:paraId="0620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vMerge w:val="continue"/>
            <w:noWrap w:val="0"/>
            <w:vAlign w:val="center"/>
          </w:tcPr>
          <w:p w14:paraId="085C8379">
            <w:pPr>
              <w:spacing w:line="360" w:lineRule="auto"/>
              <w:jc w:val="center"/>
              <w:rPr>
                <w:szCs w:val="21"/>
              </w:rPr>
            </w:pPr>
          </w:p>
        </w:tc>
        <w:tc>
          <w:tcPr>
            <w:tcW w:w="721" w:type="dxa"/>
            <w:vMerge w:val="continue"/>
            <w:noWrap w:val="0"/>
            <w:vAlign w:val="center"/>
          </w:tcPr>
          <w:p w14:paraId="5BA179FD">
            <w:pPr>
              <w:spacing w:line="360" w:lineRule="auto"/>
              <w:jc w:val="center"/>
              <w:rPr>
                <w:szCs w:val="21"/>
              </w:rPr>
            </w:pPr>
          </w:p>
        </w:tc>
        <w:tc>
          <w:tcPr>
            <w:tcW w:w="1105" w:type="dxa"/>
            <w:vMerge w:val="continue"/>
            <w:noWrap w:val="0"/>
            <w:vAlign w:val="center"/>
          </w:tcPr>
          <w:p w14:paraId="16742EBA">
            <w:pPr>
              <w:spacing w:line="360" w:lineRule="auto"/>
              <w:jc w:val="center"/>
              <w:rPr>
                <w:szCs w:val="21"/>
              </w:rPr>
            </w:pPr>
          </w:p>
        </w:tc>
        <w:tc>
          <w:tcPr>
            <w:tcW w:w="1473" w:type="dxa"/>
            <w:noWrap w:val="0"/>
            <w:vAlign w:val="center"/>
          </w:tcPr>
          <w:p w14:paraId="0FB47A79">
            <w:pPr>
              <w:spacing w:line="360" w:lineRule="auto"/>
              <w:jc w:val="center"/>
              <w:rPr>
                <w:szCs w:val="21"/>
              </w:rPr>
            </w:pPr>
            <w:r>
              <w:rPr>
                <w:szCs w:val="21"/>
                <w:highlight w:val="white"/>
              </w:rPr>
              <w:t>证书名称</w:t>
            </w:r>
          </w:p>
        </w:tc>
        <w:tc>
          <w:tcPr>
            <w:tcW w:w="886" w:type="dxa"/>
            <w:noWrap w:val="0"/>
            <w:vAlign w:val="center"/>
          </w:tcPr>
          <w:p w14:paraId="2B13B81F">
            <w:pPr>
              <w:spacing w:line="360" w:lineRule="auto"/>
              <w:jc w:val="center"/>
              <w:rPr>
                <w:szCs w:val="21"/>
              </w:rPr>
            </w:pPr>
            <w:r>
              <w:rPr>
                <w:szCs w:val="21"/>
                <w:highlight w:val="white"/>
              </w:rPr>
              <w:t>级别</w:t>
            </w:r>
          </w:p>
        </w:tc>
        <w:tc>
          <w:tcPr>
            <w:tcW w:w="1814" w:type="dxa"/>
            <w:noWrap w:val="0"/>
            <w:vAlign w:val="center"/>
          </w:tcPr>
          <w:p w14:paraId="3E2B267A">
            <w:pPr>
              <w:spacing w:line="360" w:lineRule="auto"/>
              <w:jc w:val="center"/>
              <w:rPr>
                <w:szCs w:val="21"/>
              </w:rPr>
            </w:pPr>
            <w:r>
              <w:rPr>
                <w:szCs w:val="21"/>
                <w:highlight w:val="white"/>
              </w:rPr>
              <w:t>证号</w:t>
            </w:r>
          </w:p>
        </w:tc>
        <w:tc>
          <w:tcPr>
            <w:tcW w:w="1204" w:type="dxa"/>
            <w:noWrap w:val="0"/>
            <w:vAlign w:val="center"/>
          </w:tcPr>
          <w:p w14:paraId="09390134">
            <w:pPr>
              <w:spacing w:line="360" w:lineRule="auto"/>
              <w:jc w:val="center"/>
              <w:rPr>
                <w:szCs w:val="21"/>
              </w:rPr>
            </w:pPr>
            <w:r>
              <w:rPr>
                <w:szCs w:val="21"/>
                <w:highlight w:val="white"/>
              </w:rPr>
              <w:t>专业</w:t>
            </w:r>
          </w:p>
        </w:tc>
        <w:tc>
          <w:tcPr>
            <w:tcW w:w="672" w:type="dxa"/>
            <w:noWrap w:val="0"/>
            <w:vAlign w:val="center"/>
          </w:tcPr>
          <w:p w14:paraId="4C00DADB">
            <w:pPr>
              <w:spacing w:line="360" w:lineRule="auto"/>
              <w:jc w:val="center"/>
              <w:rPr>
                <w:szCs w:val="21"/>
              </w:rPr>
            </w:pPr>
          </w:p>
        </w:tc>
      </w:tr>
      <w:tr w14:paraId="659C5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center"/>
          </w:tcPr>
          <w:p w14:paraId="36703D2C">
            <w:pPr>
              <w:spacing w:line="360" w:lineRule="auto"/>
              <w:jc w:val="center"/>
              <w:rPr>
                <w:szCs w:val="21"/>
              </w:rPr>
            </w:pPr>
          </w:p>
        </w:tc>
        <w:tc>
          <w:tcPr>
            <w:tcW w:w="721" w:type="dxa"/>
            <w:noWrap w:val="0"/>
            <w:vAlign w:val="center"/>
          </w:tcPr>
          <w:p w14:paraId="70FE18E2">
            <w:pPr>
              <w:spacing w:line="360" w:lineRule="auto"/>
              <w:jc w:val="center"/>
              <w:rPr>
                <w:szCs w:val="21"/>
              </w:rPr>
            </w:pPr>
          </w:p>
        </w:tc>
        <w:tc>
          <w:tcPr>
            <w:tcW w:w="1105" w:type="dxa"/>
            <w:noWrap w:val="0"/>
            <w:vAlign w:val="center"/>
          </w:tcPr>
          <w:p w14:paraId="3CFE009A">
            <w:pPr>
              <w:spacing w:line="360" w:lineRule="auto"/>
              <w:jc w:val="center"/>
              <w:rPr>
                <w:szCs w:val="21"/>
              </w:rPr>
            </w:pPr>
          </w:p>
        </w:tc>
        <w:tc>
          <w:tcPr>
            <w:tcW w:w="1473" w:type="dxa"/>
            <w:noWrap w:val="0"/>
            <w:vAlign w:val="center"/>
          </w:tcPr>
          <w:p w14:paraId="7E7F6A9B">
            <w:pPr>
              <w:spacing w:line="360" w:lineRule="auto"/>
              <w:jc w:val="center"/>
              <w:rPr>
                <w:szCs w:val="21"/>
              </w:rPr>
            </w:pPr>
          </w:p>
        </w:tc>
        <w:tc>
          <w:tcPr>
            <w:tcW w:w="886" w:type="dxa"/>
            <w:noWrap w:val="0"/>
            <w:vAlign w:val="center"/>
          </w:tcPr>
          <w:p w14:paraId="04B7EEC4">
            <w:pPr>
              <w:spacing w:line="360" w:lineRule="auto"/>
              <w:jc w:val="center"/>
              <w:rPr>
                <w:szCs w:val="21"/>
              </w:rPr>
            </w:pPr>
          </w:p>
        </w:tc>
        <w:tc>
          <w:tcPr>
            <w:tcW w:w="1814" w:type="dxa"/>
            <w:noWrap w:val="0"/>
            <w:vAlign w:val="center"/>
          </w:tcPr>
          <w:p w14:paraId="27430263">
            <w:pPr>
              <w:spacing w:line="360" w:lineRule="auto"/>
              <w:jc w:val="center"/>
              <w:rPr>
                <w:szCs w:val="21"/>
              </w:rPr>
            </w:pPr>
          </w:p>
        </w:tc>
        <w:tc>
          <w:tcPr>
            <w:tcW w:w="1204" w:type="dxa"/>
            <w:noWrap w:val="0"/>
            <w:vAlign w:val="center"/>
          </w:tcPr>
          <w:p w14:paraId="5AE1CF90">
            <w:pPr>
              <w:spacing w:line="360" w:lineRule="auto"/>
              <w:jc w:val="center"/>
              <w:rPr>
                <w:szCs w:val="21"/>
              </w:rPr>
            </w:pPr>
          </w:p>
        </w:tc>
        <w:tc>
          <w:tcPr>
            <w:tcW w:w="672" w:type="dxa"/>
            <w:noWrap w:val="0"/>
            <w:vAlign w:val="center"/>
          </w:tcPr>
          <w:p w14:paraId="5C5B2DC8">
            <w:pPr>
              <w:spacing w:line="360" w:lineRule="auto"/>
              <w:jc w:val="center"/>
              <w:rPr>
                <w:szCs w:val="21"/>
              </w:rPr>
            </w:pPr>
          </w:p>
        </w:tc>
      </w:tr>
      <w:tr w14:paraId="4E23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2E751B44">
            <w:pPr>
              <w:spacing w:line="360" w:lineRule="auto"/>
              <w:jc w:val="center"/>
              <w:rPr>
                <w:szCs w:val="21"/>
              </w:rPr>
            </w:pPr>
          </w:p>
        </w:tc>
        <w:tc>
          <w:tcPr>
            <w:tcW w:w="721" w:type="dxa"/>
            <w:noWrap w:val="0"/>
            <w:vAlign w:val="top"/>
          </w:tcPr>
          <w:p w14:paraId="5D2DF078">
            <w:pPr>
              <w:spacing w:line="360" w:lineRule="auto"/>
              <w:jc w:val="center"/>
              <w:rPr>
                <w:szCs w:val="21"/>
              </w:rPr>
            </w:pPr>
          </w:p>
        </w:tc>
        <w:tc>
          <w:tcPr>
            <w:tcW w:w="1105" w:type="dxa"/>
            <w:noWrap w:val="0"/>
            <w:vAlign w:val="top"/>
          </w:tcPr>
          <w:p w14:paraId="220A8F38">
            <w:pPr>
              <w:spacing w:line="360" w:lineRule="auto"/>
              <w:jc w:val="center"/>
              <w:rPr>
                <w:szCs w:val="21"/>
              </w:rPr>
            </w:pPr>
          </w:p>
        </w:tc>
        <w:tc>
          <w:tcPr>
            <w:tcW w:w="1473" w:type="dxa"/>
            <w:noWrap w:val="0"/>
            <w:vAlign w:val="top"/>
          </w:tcPr>
          <w:p w14:paraId="2D21B2FE">
            <w:pPr>
              <w:spacing w:line="360" w:lineRule="auto"/>
              <w:jc w:val="center"/>
              <w:rPr>
                <w:szCs w:val="21"/>
              </w:rPr>
            </w:pPr>
          </w:p>
        </w:tc>
        <w:tc>
          <w:tcPr>
            <w:tcW w:w="886" w:type="dxa"/>
            <w:noWrap w:val="0"/>
            <w:vAlign w:val="top"/>
          </w:tcPr>
          <w:p w14:paraId="63CC28A2">
            <w:pPr>
              <w:spacing w:line="360" w:lineRule="auto"/>
              <w:jc w:val="center"/>
              <w:rPr>
                <w:szCs w:val="21"/>
              </w:rPr>
            </w:pPr>
          </w:p>
        </w:tc>
        <w:tc>
          <w:tcPr>
            <w:tcW w:w="1814" w:type="dxa"/>
            <w:noWrap w:val="0"/>
            <w:vAlign w:val="top"/>
          </w:tcPr>
          <w:p w14:paraId="4DCB13BD">
            <w:pPr>
              <w:spacing w:line="360" w:lineRule="auto"/>
              <w:jc w:val="center"/>
              <w:rPr>
                <w:szCs w:val="21"/>
              </w:rPr>
            </w:pPr>
          </w:p>
        </w:tc>
        <w:tc>
          <w:tcPr>
            <w:tcW w:w="1204" w:type="dxa"/>
            <w:noWrap w:val="0"/>
            <w:vAlign w:val="top"/>
          </w:tcPr>
          <w:p w14:paraId="7BB79A09">
            <w:pPr>
              <w:spacing w:line="360" w:lineRule="auto"/>
              <w:jc w:val="center"/>
              <w:rPr>
                <w:szCs w:val="21"/>
              </w:rPr>
            </w:pPr>
          </w:p>
        </w:tc>
        <w:tc>
          <w:tcPr>
            <w:tcW w:w="672" w:type="dxa"/>
            <w:noWrap w:val="0"/>
            <w:vAlign w:val="top"/>
          </w:tcPr>
          <w:p w14:paraId="710DBF10">
            <w:pPr>
              <w:spacing w:line="360" w:lineRule="auto"/>
              <w:jc w:val="center"/>
              <w:rPr>
                <w:szCs w:val="21"/>
              </w:rPr>
            </w:pPr>
          </w:p>
        </w:tc>
      </w:tr>
      <w:tr w14:paraId="3CA9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181F9D2D">
            <w:pPr>
              <w:spacing w:line="360" w:lineRule="auto"/>
              <w:jc w:val="center"/>
              <w:rPr>
                <w:szCs w:val="21"/>
              </w:rPr>
            </w:pPr>
          </w:p>
        </w:tc>
        <w:tc>
          <w:tcPr>
            <w:tcW w:w="721" w:type="dxa"/>
            <w:noWrap w:val="0"/>
            <w:vAlign w:val="top"/>
          </w:tcPr>
          <w:p w14:paraId="0D4D3B38">
            <w:pPr>
              <w:spacing w:line="360" w:lineRule="auto"/>
              <w:jc w:val="center"/>
              <w:rPr>
                <w:szCs w:val="21"/>
              </w:rPr>
            </w:pPr>
          </w:p>
        </w:tc>
        <w:tc>
          <w:tcPr>
            <w:tcW w:w="1105" w:type="dxa"/>
            <w:noWrap w:val="0"/>
            <w:vAlign w:val="top"/>
          </w:tcPr>
          <w:p w14:paraId="32800958">
            <w:pPr>
              <w:spacing w:line="360" w:lineRule="auto"/>
              <w:jc w:val="center"/>
              <w:rPr>
                <w:szCs w:val="21"/>
              </w:rPr>
            </w:pPr>
          </w:p>
        </w:tc>
        <w:tc>
          <w:tcPr>
            <w:tcW w:w="1473" w:type="dxa"/>
            <w:noWrap w:val="0"/>
            <w:vAlign w:val="top"/>
          </w:tcPr>
          <w:p w14:paraId="518BD020">
            <w:pPr>
              <w:spacing w:line="360" w:lineRule="auto"/>
              <w:jc w:val="center"/>
              <w:rPr>
                <w:szCs w:val="21"/>
              </w:rPr>
            </w:pPr>
          </w:p>
        </w:tc>
        <w:tc>
          <w:tcPr>
            <w:tcW w:w="886" w:type="dxa"/>
            <w:noWrap w:val="0"/>
            <w:vAlign w:val="top"/>
          </w:tcPr>
          <w:p w14:paraId="09D28C80">
            <w:pPr>
              <w:spacing w:line="360" w:lineRule="auto"/>
              <w:jc w:val="center"/>
              <w:rPr>
                <w:szCs w:val="21"/>
              </w:rPr>
            </w:pPr>
          </w:p>
        </w:tc>
        <w:tc>
          <w:tcPr>
            <w:tcW w:w="1814" w:type="dxa"/>
            <w:noWrap w:val="0"/>
            <w:vAlign w:val="top"/>
          </w:tcPr>
          <w:p w14:paraId="10E4C908">
            <w:pPr>
              <w:spacing w:line="360" w:lineRule="auto"/>
              <w:jc w:val="center"/>
              <w:rPr>
                <w:szCs w:val="21"/>
              </w:rPr>
            </w:pPr>
          </w:p>
        </w:tc>
        <w:tc>
          <w:tcPr>
            <w:tcW w:w="1204" w:type="dxa"/>
            <w:noWrap w:val="0"/>
            <w:vAlign w:val="top"/>
          </w:tcPr>
          <w:p w14:paraId="69969239">
            <w:pPr>
              <w:spacing w:line="360" w:lineRule="auto"/>
              <w:jc w:val="center"/>
              <w:rPr>
                <w:szCs w:val="21"/>
              </w:rPr>
            </w:pPr>
          </w:p>
        </w:tc>
        <w:tc>
          <w:tcPr>
            <w:tcW w:w="672" w:type="dxa"/>
            <w:noWrap w:val="0"/>
            <w:vAlign w:val="top"/>
          </w:tcPr>
          <w:p w14:paraId="3AE0300D">
            <w:pPr>
              <w:spacing w:line="360" w:lineRule="auto"/>
              <w:jc w:val="center"/>
              <w:rPr>
                <w:szCs w:val="21"/>
              </w:rPr>
            </w:pPr>
          </w:p>
        </w:tc>
      </w:tr>
      <w:tr w14:paraId="05CD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3AE729E9">
            <w:pPr>
              <w:spacing w:line="360" w:lineRule="auto"/>
              <w:jc w:val="center"/>
              <w:rPr>
                <w:szCs w:val="21"/>
              </w:rPr>
            </w:pPr>
          </w:p>
        </w:tc>
        <w:tc>
          <w:tcPr>
            <w:tcW w:w="721" w:type="dxa"/>
            <w:noWrap w:val="0"/>
            <w:vAlign w:val="top"/>
          </w:tcPr>
          <w:p w14:paraId="5AC6F064">
            <w:pPr>
              <w:spacing w:line="360" w:lineRule="auto"/>
              <w:jc w:val="center"/>
              <w:rPr>
                <w:szCs w:val="21"/>
              </w:rPr>
            </w:pPr>
          </w:p>
        </w:tc>
        <w:tc>
          <w:tcPr>
            <w:tcW w:w="1105" w:type="dxa"/>
            <w:noWrap w:val="0"/>
            <w:vAlign w:val="top"/>
          </w:tcPr>
          <w:p w14:paraId="21A27C31">
            <w:pPr>
              <w:spacing w:line="360" w:lineRule="auto"/>
              <w:jc w:val="center"/>
              <w:rPr>
                <w:szCs w:val="21"/>
              </w:rPr>
            </w:pPr>
          </w:p>
        </w:tc>
        <w:tc>
          <w:tcPr>
            <w:tcW w:w="1473" w:type="dxa"/>
            <w:noWrap w:val="0"/>
            <w:vAlign w:val="top"/>
          </w:tcPr>
          <w:p w14:paraId="3C197C8E">
            <w:pPr>
              <w:spacing w:line="360" w:lineRule="auto"/>
              <w:jc w:val="center"/>
              <w:rPr>
                <w:szCs w:val="21"/>
              </w:rPr>
            </w:pPr>
          </w:p>
        </w:tc>
        <w:tc>
          <w:tcPr>
            <w:tcW w:w="886" w:type="dxa"/>
            <w:noWrap w:val="0"/>
            <w:vAlign w:val="top"/>
          </w:tcPr>
          <w:p w14:paraId="7CE3CC74">
            <w:pPr>
              <w:spacing w:line="360" w:lineRule="auto"/>
              <w:jc w:val="center"/>
              <w:rPr>
                <w:szCs w:val="21"/>
              </w:rPr>
            </w:pPr>
          </w:p>
        </w:tc>
        <w:tc>
          <w:tcPr>
            <w:tcW w:w="1814" w:type="dxa"/>
            <w:noWrap w:val="0"/>
            <w:vAlign w:val="top"/>
          </w:tcPr>
          <w:p w14:paraId="4B1964FD">
            <w:pPr>
              <w:spacing w:line="360" w:lineRule="auto"/>
              <w:jc w:val="center"/>
              <w:rPr>
                <w:szCs w:val="21"/>
              </w:rPr>
            </w:pPr>
          </w:p>
        </w:tc>
        <w:tc>
          <w:tcPr>
            <w:tcW w:w="1204" w:type="dxa"/>
            <w:noWrap w:val="0"/>
            <w:vAlign w:val="top"/>
          </w:tcPr>
          <w:p w14:paraId="5475585E">
            <w:pPr>
              <w:spacing w:line="360" w:lineRule="auto"/>
              <w:jc w:val="center"/>
              <w:rPr>
                <w:szCs w:val="21"/>
              </w:rPr>
            </w:pPr>
          </w:p>
        </w:tc>
        <w:tc>
          <w:tcPr>
            <w:tcW w:w="672" w:type="dxa"/>
            <w:noWrap w:val="0"/>
            <w:vAlign w:val="top"/>
          </w:tcPr>
          <w:p w14:paraId="183F90F6">
            <w:pPr>
              <w:spacing w:line="360" w:lineRule="auto"/>
              <w:jc w:val="center"/>
              <w:rPr>
                <w:szCs w:val="21"/>
              </w:rPr>
            </w:pPr>
          </w:p>
        </w:tc>
      </w:tr>
      <w:tr w14:paraId="1237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7FF24049">
            <w:pPr>
              <w:spacing w:line="360" w:lineRule="auto"/>
              <w:jc w:val="center"/>
              <w:rPr>
                <w:szCs w:val="21"/>
              </w:rPr>
            </w:pPr>
          </w:p>
        </w:tc>
        <w:tc>
          <w:tcPr>
            <w:tcW w:w="721" w:type="dxa"/>
            <w:noWrap w:val="0"/>
            <w:vAlign w:val="top"/>
          </w:tcPr>
          <w:p w14:paraId="40AE56C2">
            <w:pPr>
              <w:spacing w:line="360" w:lineRule="auto"/>
              <w:jc w:val="center"/>
              <w:rPr>
                <w:szCs w:val="21"/>
              </w:rPr>
            </w:pPr>
          </w:p>
        </w:tc>
        <w:tc>
          <w:tcPr>
            <w:tcW w:w="1105" w:type="dxa"/>
            <w:noWrap w:val="0"/>
            <w:vAlign w:val="top"/>
          </w:tcPr>
          <w:p w14:paraId="5780FDC5">
            <w:pPr>
              <w:spacing w:line="360" w:lineRule="auto"/>
              <w:jc w:val="center"/>
              <w:rPr>
                <w:szCs w:val="21"/>
              </w:rPr>
            </w:pPr>
          </w:p>
        </w:tc>
        <w:tc>
          <w:tcPr>
            <w:tcW w:w="1473" w:type="dxa"/>
            <w:noWrap w:val="0"/>
            <w:vAlign w:val="top"/>
          </w:tcPr>
          <w:p w14:paraId="3C52C74C">
            <w:pPr>
              <w:spacing w:line="360" w:lineRule="auto"/>
              <w:jc w:val="center"/>
              <w:rPr>
                <w:szCs w:val="21"/>
              </w:rPr>
            </w:pPr>
          </w:p>
        </w:tc>
        <w:tc>
          <w:tcPr>
            <w:tcW w:w="886" w:type="dxa"/>
            <w:noWrap w:val="0"/>
            <w:vAlign w:val="top"/>
          </w:tcPr>
          <w:p w14:paraId="0F9C3513">
            <w:pPr>
              <w:spacing w:line="360" w:lineRule="auto"/>
              <w:jc w:val="center"/>
              <w:rPr>
                <w:szCs w:val="21"/>
              </w:rPr>
            </w:pPr>
          </w:p>
        </w:tc>
        <w:tc>
          <w:tcPr>
            <w:tcW w:w="1814" w:type="dxa"/>
            <w:noWrap w:val="0"/>
            <w:vAlign w:val="top"/>
          </w:tcPr>
          <w:p w14:paraId="33DB5D5D">
            <w:pPr>
              <w:spacing w:line="360" w:lineRule="auto"/>
              <w:jc w:val="center"/>
              <w:rPr>
                <w:szCs w:val="21"/>
              </w:rPr>
            </w:pPr>
          </w:p>
        </w:tc>
        <w:tc>
          <w:tcPr>
            <w:tcW w:w="1204" w:type="dxa"/>
            <w:noWrap w:val="0"/>
            <w:vAlign w:val="top"/>
          </w:tcPr>
          <w:p w14:paraId="46BA5302">
            <w:pPr>
              <w:spacing w:line="360" w:lineRule="auto"/>
              <w:jc w:val="center"/>
              <w:rPr>
                <w:szCs w:val="21"/>
              </w:rPr>
            </w:pPr>
          </w:p>
        </w:tc>
        <w:tc>
          <w:tcPr>
            <w:tcW w:w="672" w:type="dxa"/>
            <w:noWrap w:val="0"/>
            <w:vAlign w:val="top"/>
          </w:tcPr>
          <w:p w14:paraId="077DCEC6">
            <w:pPr>
              <w:spacing w:line="360" w:lineRule="auto"/>
              <w:jc w:val="center"/>
              <w:rPr>
                <w:szCs w:val="21"/>
              </w:rPr>
            </w:pPr>
          </w:p>
        </w:tc>
      </w:tr>
      <w:tr w14:paraId="4E14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2AB00FB0">
            <w:pPr>
              <w:spacing w:line="360" w:lineRule="auto"/>
              <w:jc w:val="center"/>
              <w:rPr>
                <w:szCs w:val="21"/>
              </w:rPr>
            </w:pPr>
          </w:p>
        </w:tc>
        <w:tc>
          <w:tcPr>
            <w:tcW w:w="721" w:type="dxa"/>
            <w:noWrap w:val="0"/>
            <w:vAlign w:val="top"/>
          </w:tcPr>
          <w:p w14:paraId="40B325C5">
            <w:pPr>
              <w:spacing w:line="360" w:lineRule="auto"/>
              <w:jc w:val="center"/>
              <w:rPr>
                <w:szCs w:val="21"/>
              </w:rPr>
            </w:pPr>
          </w:p>
        </w:tc>
        <w:tc>
          <w:tcPr>
            <w:tcW w:w="1105" w:type="dxa"/>
            <w:noWrap w:val="0"/>
            <w:vAlign w:val="top"/>
          </w:tcPr>
          <w:p w14:paraId="59BCAA71">
            <w:pPr>
              <w:spacing w:line="360" w:lineRule="auto"/>
              <w:jc w:val="center"/>
              <w:rPr>
                <w:szCs w:val="21"/>
              </w:rPr>
            </w:pPr>
          </w:p>
        </w:tc>
        <w:tc>
          <w:tcPr>
            <w:tcW w:w="1473" w:type="dxa"/>
            <w:noWrap w:val="0"/>
            <w:vAlign w:val="top"/>
          </w:tcPr>
          <w:p w14:paraId="4649195A">
            <w:pPr>
              <w:spacing w:line="360" w:lineRule="auto"/>
              <w:jc w:val="center"/>
              <w:rPr>
                <w:szCs w:val="21"/>
              </w:rPr>
            </w:pPr>
          </w:p>
        </w:tc>
        <w:tc>
          <w:tcPr>
            <w:tcW w:w="886" w:type="dxa"/>
            <w:noWrap w:val="0"/>
            <w:vAlign w:val="top"/>
          </w:tcPr>
          <w:p w14:paraId="6B689FA0">
            <w:pPr>
              <w:spacing w:line="360" w:lineRule="auto"/>
              <w:jc w:val="center"/>
              <w:rPr>
                <w:szCs w:val="21"/>
              </w:rPr>
            </w:pPr>
          </w:p>
        </w:tc>
        <w:tc>
          <w:tcPr>
            <w:tcW w:w="1814" w:type="dxa"/>
            <w:noWrap w:val="0"/>
            <w:vAlign w:val="top"/>
          </w:tcPr>
          <w:p w14:paraId="0C45CC9E">
            <w:pPr>
              <w:spacing w:line="360" w:lineRule="auto"/>
              <w:jc w:val="center"/>
              <w:rPr>
                <w:szCs w:val="21"/>
              </w:rPr>
            </w:pPr>
          </w:p>
        </w:tc>
        <w:tc>
          <w:tcPr>
            <w:tcW w:w="1204" w:type="dxa"/>
            <w:noWrap w:val="0"/>
            <w:vAlign w:val="top"/>
          </w:tcPr>
          <w:p w14:paraId="75B8B953">
            <w:pPr>
              <w:spacing w:line="360" w:lineRule="auto"/>
              <w:jc w:val="center"/>
              <w:rPr>
                <w:szCs w:val="21"/>
              </w:rPr>
            </w:pPr>
          </w:p>
        </w:tc>
        <w:tc>
          <w:tcPr>
            <w:tcW w:w="672" w:type="dxa"/>
            <w:noWrap w:val="0"/>
            <w:vAlign w:val="top"/>
          </w:tcPr>
          <w:p w14:paraId="3BE6E87B">
            <w:pPr>
              <w:spacing w:line="360" w:lineRule="auto"/>
              <w:jc w:val="center"/>
              <w:rPr>
                <w:szCs w:val="21"/>
              </w:rPr>
            </w:pPr>
          </w:p>
        </w:tc>
      </w:tr>
      <w:tr w14:paraId="32FD6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48ABA958">
            <w:pPr>
              <w:spacing w:line="360" w:lineRule="auto"/>
              <w:jc w:val="center"/>
              <w:rPr>
                <w:szCs w:val="21"/>
              </w:rPr>
            </w:pPr>
          </w:p>
        </w:tc>
        <w:tc>
          <w:tcPr>
            <w:tcW w:w="721" w:type="dxa"/>
            <w:noWrap w:val="0"/>
            <w:vAlign w:val="top"/>
          </w:tcPr>
          <w:p w14:paraId="225660B9">
            <w:pPr>
              <w:spacing w:line="360" w:lineRule="auto"/>
              <w:jc w:val="center"/>
              <w:rPr>
                <w:szCs w:val="21"/>
              </w:rPr>
            </w:pPr>
          </w:p>
        </w:tc>
        <w:tc>
          <w:tcPr>
            <w:tcW w:w="1105" w:type="dxa"/>
            <w:noWrap w:val="0"/>
            <w:vAlign w:val="top"/>
          </w:tcPr>
          <w:p w14:paraId="428D2428">
            <w:pPr>
              <w:spacing w:line="360" w:lineRule="auto"/>
              <w:jc w:val="center"/>
              <w:rPr>
                <w:szCs w:val="21"/>
              </w:rPr>
            </w:pPr>
          </w:p>
        </w:tc>
        <w:tc>
          <w:tcPr>
            <w:tcW w:w="1473" w:type="dxa"/>
            <w:noWrap w:val="0"/>
            <w:vAlign w:val="top"/>
          </w:tcPr>
          <w:p w14:paraId="384006ED">
            <w:pPr>
              <w:spacing w:line="360" w:lineRule="auto"/>
              <w:jc w:val="center"/>
              <w:rPr>
                <w:szCs w:val="21"/>
              </w:rPr>
            </w:pPr>
          </w:p>
        </w:tc>
        <w:tc>
          <w:tcPr>
            <w:tcW w:w="886" w:type="dxa"/>
            <w:noWrap w:val="0"/>
            <w:vAlign w:val="top"/>
          </w:tcPr>
          <w:p w14:paraId="07152A68">
            <w:pPr>
              <w:spacing w:line="360" w:lineRule="auto"/>
              <w:jc w:val="center"/>
              <w:rPr>
                <w:szCs w:val="21"/>
              </w:rPr>
            </w:pPr>
          </w:p>
        </w:tc>
        <w:tc>
          <w:tcPr>
            <w:tcW w:w="1814" w:type="dxa"/>
            <w:noWrap w:val="0"/>
            <w:vAlign w:val="top"/>
          </w:tcPr>
          <w:p w14:paraId="51419414">
            <w:pPr>
              <w:spacing w:line="360" w:lineRule="auto"/>
              <w:jc w:val="center"/>
              <w:rPr>
                <w:szCs w:val="21"/>
              </w:rPr>
            </w:pPr>
          </w:p>
        </w:tc>
        <w:tc>
          <w:tcPr>
            <w:tcW w:w="1204" w:type="dxa"/>
            <w:noWrap w:val="0"/>
            <w:vAlign w:val="top"/>
          </w:tcPr>
          <w:p w14:paraId="12815488">
            <w:pPr>
              <w:spacing w:line="360" w:lineRule="auto"/>
              <w:jc w:val="center"/>
              <w:rPr>
                <w:szCs w:val="21"/>
              </w:rPr>
            </w:pPr>
          </w:p>
        </w:tc>
        <w:tc>
          <w:tcPr>
            <w:tcW w:w="672" w:type="dxa"/>
            <w:noWrap w:val="0"/>
            <w:vAlign w:val="top"/>
          </w:tcPr>
          <w:p w14:paraId="655BF4F8">
            <w:pPr>
              <w:spacing w:line="360" w:lineRule="auto"/>
              <w:jc w:val="center"/>
              <w:rPr>
                <w:szCs w:val="21"/>
              </w:rPr>
            </w:pPr>
          </w:p>
        </w:tc>
      </w:tr>
      <w:tr w14:paraId="1436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4650B852">
            <w:pPr>
              <w:spacing w:line="360" w:lineRule="auto"/>
              <w:jc w:val="center"/>
              <w:rPr>
                <w:szCs w:val="21"/>
              </w:rPr>
            </w:pPr>
          </w:p>
        </w:tc>
        <w:tc>
          <w:tcPr>
            <w:tcW w:w="721" w:type="dxa"/>
            <w:noWrap w:val="0"/>
            <w:vAlign w:val="top"/>
          </w:tcPr>
          <w:p w14:paraId="0F5BC227">
            <w:pPr>
              <w:spacing w:line="360" w:lineRule="auto"/>
              <w:jc w:val="center"/>
              <w:rPr>
                <w:szCs w:val="21"/>
              </w:rPr>
            </w:pPr>
          </w:p>
        </w:tc>
        <w:tc>
          <w:tcPr>
            <w:tcW w:w="1105" w:type="dxa"/>
            <w:noWrap w:val="0"/>
            <w:vAlign w:val="top"/>
          </w:tcPr>
          <w:p w14:paraId="14CCFEA8">
            <w:pPr>
              <w:spacing w:line="360" w:lineRule="auto"/>
              <w:jc w:val="center"/>
              <w:rPr>
                <w:szCs w:val="21"/>
              </w:rPr>
            </w:pPr>
          </w:p>
        </w:tc>
        <w:tc>
          <w:tcPr>
            <w:tcW w:w="1473" w:type="dxa"/>
            <w:noWrap w:val="0"/>
            <w:vAlign w:val="top"/>
          </w:tcPr>
          <w:p w14:paraId="41A7AE06">
            <w:pPr>
              <w:spacing w:line="360" w:lineRule="auto"/>
              <w:jc w:val="center"/>
              <w:rPr>
                <w:szCs w:val="21"/>
              </w:rPr>
            </w:pPr>
          </w:p>
        </w:tc>
        <w:tc>
          <w:tcPr>
            <w:tcW w:w="886" w:type="dxa"/>
            <w:noWrap w:val="0"/>
            <w:vAlign w:val="top"/>
          </w:tcPr>
          <w:p w14:paraId="30E9E0E7">
            <w:pPr>
              <w:spacing w:line="360" w:lineRule="auto"/>
              <w:jc w:val="center"/>
              <w:rPr>
                <w:szCs w:val="21"/>
              </w:rPr>
            </w:pPr>
          </w:p>
        </w:tc>
        <w:tc>
          <w:tcPr>
            <w:tcW w:w="1814" w:type="dxa"/>
            <w:noWrap w:val="0"/>
            <w:vAlign w:val="top"/>
          </w:tcPr>
          <w:p w14:paraId="3DF6D370">
            <w:pPr>
              <w:spacing w:line="360" w:lineRule="auto"/>
              <w:jc w:val="center"/>
              <w:rPr>
                <w:szCs w:val="21"/>
              </w:rPr>
            </w:pPr>
          </w:p>
        </w:tc>
        <w:tc>
          <w:tcPr>
            <w:tcW w:w="1204" w:type="dxa"/>
            <w:noWrap w:val="0"/>
            <w:vAlign w:val="top"/>
          </w:tcPr>
          <w:p w14:paraId="25AF9B3A">
            <w:pPr>
              <w:spacing w:line="360" w:lineRule="auto"/>
              <w:jc w:val="center"/>
              <w:rPr>
                <w:szCs w:val="21"/>
              </w:rPr>
            </w:pPr>
          </w:p>
        </w:tc>
        <w:tc>
          <w:tcPr>
            <w:tcW w:w="672" w:type="dxa"/>
            <w:noWrap w:val="0"/>
            <w:vAlign w:val="top"/>
          </w:tcPr>
          <w:p w14:paraId="44F43779">
            <w:pPr>
              <w:spacing w:line="360" w:lineRule="auto"/>
              <w:jc w:val="center"/>
              <w:rPr>
                <w:szCs w:val="21"/>
              </w:rPr>
            </w:pPr>
          </w:p>
        </w:tc>
      </w:tr>
      <w:tr w14:paraId="3C3A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294E672C">
            <w:pPr>
              <w:spacing w:line="360" w:lineRule="auto"/>
              <w:jc w:val="center"/>
              <w:rPr>
                <w:szCs w:val="21"/>
              </w:rPr>
            </w:pPr>
          </w:p>
        </w:tc>
        <w:tc>
          <w:tcPr>
            <w:tcW w:w="721" w:type="dxa"/>
            <w:noWrap w:val="0"/>
            <w:vAlign w:val="top"/>
          </w:tcPr>
          <w:p w14:paraId="64998785">
            <w:pPr>
              <w:spacing w:line="360" w:lineRule="auto"/>
              <w:jc w:val="center"/>
              <w:rPr>
                <w:szCs w:val="21"/>
              </w:rPr>
            </w:pPr>
          </w:p>
        </w:tc>
        <w:tc>
          <w:tcPr>
            <w:tcW w:w="1105" w:type="dxa"/>
            <w:noWrap w:val="0"/>
            <w:vAlign w:val="top"/>
          </w:tcPr>
          <w:p w14:paraId="23A520AE">
            <w:pPr>
              <w:spacing w:line="360" w:lineRule="auto"/>
              <w:jc w:val="center"/>
              <w:rPr>
                <w:szCs w:val="21"/>
              </w:rPr>
            </w:pPr>
          </w:p>
        </w:tc>
        <w:tc>
          <w:tcPr>
            <w:tcW w:w="1473" w:type="dxa"/>
            <w:noWrap w:val="0"/>
            <w:vAlign w:val="top"/>
          </w:tcPr>
          <w:p w14:paraId="782DE7B5">
            <w:pPr>
              <w:spacing w:line="360" w:lineRule="auto"/>
              <w:jc w:val="center"/>
              <w:rPr>
                <w:szCs w:val="21"/>
              </w:rPr>
            </w:pPr>
          </w:p>
        </w:tc>
        <w:tc>
          <w:tcPr>
            <w:tcW w:w="886" w:type="dxa"/>
            <w:noWrap w:val="0"/>
            <w:vAlign w:val="top"/>
          </w:tcPr>
          <w:p w14:paraId="4561EC96">
            <w:pPr>
              <w:spacing w:line="360" w:lineRule="auto"/>
              <w:jc w:val="center"/>
              <w:rPr>
                <w:szCs w:val="21"/>
              </w:rPr>
            </w:pPr>
          </w:p>
        </w:tc>
        <w:tc>
          <w:tcPr>
            <w:tcW w:w="1814" w:type="dxa"/>
            <w:noWrap w:val="0"/>
            <w:vAlign w:val="top"/>
          </w:tcPr>
          <w:p w14:paraId="73C27074">
            <w:pPr>
              <w:spacing w:line="360" w:lineRule="auto"/>
              <w:jc w:val="center"/>
              <w:rPr>
                <w:szCs w:val="21"/>
              </w:rPr>
            </w:pPr>
          </w:p>
        </w:tc>
        <w:tc>
          <w:tcPr>
            <w:tcW w:w="1204" w:type="dxa"/>
            <w:noWrap w:val="0"/>
            <w:vAlign w:val="top"/>
          </w:tcPr>
          <w:p w14:paraId="302BDA5B">
            <w:pPr>
              <w:spacing w:line="360" w:lineRule="auto"/>
              <w:jc w:val="center"/>
              <w:rPr>
                <w:szCs w:val="21"/>
              </w:rPr>
            </w:pPr>
          </w:p>
        </w:tc>
        <w:tc>
          <w:tcPr>
            <w:tcW w:w="672" w:type="dxa"/>
            <w:noWrap w:val="0"/>
            <w:vAlign w:val="top"/>
          </w:tcPr>
          <w:p w14:paraId="494F703E">
            <w:pPr>
              <w:spacing w:line="360" w:lineRule="auto"/>
              <w:jc w:val="center"/>
              <w:rPr>
                <w:szCs w:val="21"/>
              </w:rPr>
            </w:pPr>
          </w:p>
        </w:tc>
      </w:tr>
      <w:tr w14:paraId="2E6F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6E865AF0">
            <w:pPr>
              <w:spacing w:line="360" w:lineRule="auto"/>
              <w:jc w:val="center"/>
              <w:rPr>
                <w:szCs w:val="21"/>
              </w:rPr>
            </w:pPr>
          </w:p>
        </w:tc>
        <w:tc>
          <w:tcPr>
            <w:tcW w:w="721" w:type="dxa"/>
            <w:noWrap w:val="0"/>
            <w:vAlign w:val="top"/>
          </w:tcPr>
          <w:p w14:paraId="269C131A">
            <w:pPr>
              <w:spacing w:line="360" w:lineRule="auto"/>
              <w:jc w:val="center"/>
              <w:rPr>
                <w:szCs w:val="21"/>
              </w:rPr>
            </w:pPr>
          </w:p>
        </w:tc>
        <w:tc>
          <w:tcPr>
            <w:tcW w:w="1105" w:type="dxa"/>
            <w:noWrap w:val="0"/>
            <w:vAlign w:val="top"/>
          </w:tcPr>
          <w:p w14:paraId="2134B25A">
            <w:pPr>
              <w:spacing w:line="360" w:lineRule="auto"/>
              <w:jc w:val="center"/>
              <w:rPr>
                <w:szCs w:val="21"/>
              </w:rPr>
            </w:pPr>
          </w:p>
        </w:tc>
        <w:tc>
          <w:tcPr>
            <w:tcW w:w="1473" w:type="dxa"/>
            <w:noWrap w:val="0"/>
            <w:vAlign w:val="top"/>
          </w:tcPr>
          <w:p w14:paraId="59A4F9F1">
            <w:pPr>
              <w:spacing w:line="360" w:lineRule="auto"/>
              <w:jc w:val="center"/>
              <w:rPr>
                <w:szCs w:val="21"/>
              </w:rPr>
            </w:pPr>
          </w:p>
        </w:tc>
        <w:tc>
          <w:tcPr>
            <w:tcW w:w="886" w:type="dxa"/>
            <w:noWrap w:val="0"/>
            <w:vAlign w:val="top"/>
          </w:tcPr>
          <w:p w14:paraId="05E1ECD2">
            <w:pPr>
              <w:spacing w:line="360" w:lineRule="auto"/>
              <w:jc w:val="center"/>
              <w:rPr>
                <w:szCs w:val="21"/>
              </w:rPr>
            </w:pPr>
          </w:p>
        </w:tc>
        <w:tc>
          <w:tcPr>
            <w:tcW w:w="1814" w:type="dxa"/>
            <w:noWrap w:val="0"/>
            <w:vAlign w:val="top"/>
          </w:tcPr>
          <w:p w14:paraId="2AA70CE7">
            <w:pPr>
              <w:spacing w:line="360" w:lineRule="auto"/>
              <w:jc w:val="center"/>
              <w:rPr>
                <w:szCs w:val="21"/>
              </w:rPr>
            </w:pPr>
          </w:p>
        </w:tc>
        <w:tc>
          <w:tcPr>
            <w:tcW w:w="1204" w:type="dxa"/>
            <w:noWrap w:val="0"/>
            <w:vAlign w:val="top"/>
          </w:tcPr>
          <w:p w14:paraId="51AAFB9E">
            <w:pPr>
              <w:spacing w:line="360" w:lineRule="auto"/>
              <w:jc w:val="center"/>
              <w:rPr>
                <w:szCs w:val="21"/>
              </w:rPr>
            </w:pPr>
          </w:p>
        </w:tc>
        <w:tc>
          <w:tcPr>
            <w:tcW w:w="672" w:type="dxa"/>
            <w:noWrap w:val="0"/>
            <w:vAlign w:val="top"/>
          </w:tcPr>
          <w:p w14:paraId="2383B9C5">
            <w:pPr>
              <w:spacing w:line="360" w:lineRule="auto"/>
              <w:jc w:val="center"/>
              <w:rPr>
                <w:szCs w:val="21"/>
              </w:rPr>
            </w:pPr>
          </w:p>
        </w:tc>
      </w:tr>
      <w:tr w14:paraId="24F53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227B82F2">
            <w:pPr>
              <w:spacing w:line="360" w:lineRule="auto"/>
              <w:jc w:val="center"/>
              <w:rPr>
                <w:szCs w:val="21"/>
              </w:rPr>
            </w:pPr>
          </w:p>
        </w:tc>
        <w:tc>
          <w:tcPr>
            <w:tcW w:w="721" w:type="dxa"/>
            <w:noWrap w:val="0"/>
            <w:vAlign w:val="top"/>
          </w:tcPr>
          <w:p w14:paraId="25C7876D">
            <w:pPr>
              <w:spacing w:line="360" w:lineRule="auto"/>
              <w:jc w:val="center"/>
              <w:rPr>
                <w:szCs w:val="21"/>
              </w:rPr>
            </w:pPr>
          </w:p>
        </w:tc>
        <w:tc>
          <w:tcPr>
            <w:tcW w:w="1105" w:type="dxa"/>
            <w:noWrap w:val="0"/>
            <w:vAlign w:val="top"/>
          </w:tcPr>
          <w:p w14:paraId="74B2EBB3">
            <w:pPr>
              <w:spacing w:line="360" w:lineRule="auto"/>
              <w:jc w:val="center"/>
              <w:rPr>
                <w:szCs w:val="21"/>
              </w:rPr>
            </w:pPr>
          </w:p>
        </w:tc>
        <w:tc>
          <w:tcPr>
            <w:tcW w:w="1473" w:type="dxa"/>
            <w:noWrap w:val="0"/>
            <w:vAlign w:val="top"/>
          </w:tcPr>
          <w:p w14:paraId="466F4C31">
            <w:pPr>
              <w:spacing w:line="360" w:lineRule="auto"/>
              <w:jc w:val="center"/>
              <w:rPr>
                <w:szCs w:val="21"/>
              </w:rPr>
            </w:pPr>
          </w:p>
        </w:tc>
        <w:tc>
          <w:tcPr>
            <w:tcW w:w="886" w:type="dxa"/>
            <w:noWrap w:val="0"/>
            <w:vAlign w:val="top"/>
          </w:tcPr>
          <w:p w14:paraId="7DC24CB6">
            <w:pPr>
              <w:spacing w:line="360" w:lineRule="auto"/>
              <w:jc w:val="center"/>
              <w:rPr>
                <w:szCs w:val="21"/>
              </w:rPr>
            </w:pPr>
          </w:p>
        </w:tc>
        <w:tc>
          <w:tcPr>
            <w:tcW w:w="1814" w:type="dxa"/>
            <w:noWrap w:val="0"/>
            <w:vAlign w:val="top"/>
          </w:tcPr>
          <w:p w14:paraId="374EFF17">
            <w:pPr>
              <w:spacing w:line="360" w:lineRule="auto"/>
              <w:jc w:val="center"/>
              <w:rPr>
                <w:szCs w:val="21"/>
              </w:rPr>
            </w:pPr>
          </w:p>
        </w:tc>
        <w:tc>
          <w:tcPr>
            <w:tcW w:w="1204" w:type="dxa"/>
            <w:noWrap w:val="0"/>
            <w:vAlign w:val="top"/>
          </w:tcPr>
          <w:p w14:paraId="0246A53B">
            <w:pPr>
              <w:spacing w:line="360" w:lineRule="auto"/>
              <w:jc w:val="center"/>
              <w:rPr>
                <w:szCs w:val="21"/>
              </w:rPr>
            </w:pPr>
          </w:p>
        </w:tc>
        <w:tc>
          <w:tcPr>
            <w:tcW w:w="672" w:type="dxa"/>
            <w:noWrap w:val="0"/>
            <w:vAlign w:val="top"/>
          </w:tcPr>
          <w:p w14:paraId="50813209">
            <w:pPr>
              <w:spacing w:line="360" w:lineRule="auto"/>
              <w:jc w:val="center"/>
              <w:rPr>
                <w:szCs w:val="21"/>
              </w:rPr>
            </w:pPr>
          </w:p>
        </w:tc>
      </w:tr>
      <w:tr w14:paraId="0FAA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63FED089">
            <w:pPr>
              <w:spacing w:line="360" w:lineRule="auto"/>
              <w:jc w:val="center"/>
              <w:rPr>
                <w:szCs w:val="21"/>
              </w:rPr>
            </w:pPr>
          </w:p>
        </w:tc>
        <w:tc>
          <w:tcPr>
            <w:tcW w:w="721" w:type="dxa"/>
            <w:noWrap w:val="0"/>
            <w:vAlign w:val="top"/>
          </w:tcPr>
          <w:p w14:paraId="21BAB947">
            <w:pPr>
              <w:spacing w:line="360" w:lineRule="auto"/>
              <w:jc w:val="center"/>
              <w:rPr>
                <w:szCs w:val="21"/>
              </w:rPr>
            </w:pPr>
          </w:p>
        </w:tc>
        <w:tc>
          <w:tcPr>
            <w:tcW w:w="1105" w:type="dxa"/>
            <w:noWrap w:val="0"/>
            <w:vAlign w:val="top"/>
          </w:tcPr>
          <w:p w14:paraId="1B64AF95">
            <w:pPr>
              <w:spacing w:line="360" w:lineRule="auto"/>
              <w:jc w:val="center"/>
              <w:rPr>
                <w:szCs w:val="21"/>
              </w:rPr>
            </w:pPr>
          </w:p>
        </w:tc>
        <w:tc>
          <w:tcPr>
            <w:tcW w:w="1473" w:type="dxa"/>
            <w:noWrap w:val="0"/>
            <w:vAlign w:val="top"/>
          </w:tcPr>
          <w:p w14:paraId="59C8A276">
            <w:pPr>
              <w:spacing w:line="360" w:lineRule="auto"/>
              <w:jc w:val="center"/>
              <w:rPr>
                <w:szCs w:val="21"/>
              </w:rPr>
            </w:pPr>
          </w:p>
        </w:tc>
        <w:tc>
          <w:tcPr>
            <w:tcW w:w="886" w:type="dxa"/>
            <w:noWrap w:val="0"/>
            <w:vAlign w:val="top"/>
          </w:tcPr>
          <w:p w14:paraId="6FBD93D6">
            <w:pPr>
              <w:spacing w:line="360" w:lineRule="auto"/>
              <w:jc w:val="center"/>
              <w:rPr>
                <w:szCs w:val="21"/>
              </w:rPr>
            </w:pPr>
          </w:p>
        </w:tc>
        <w:tc>
          <w:tcPr>
            <w:tcW w:w="1814" w:type="dxa"/>
            <w:noWrap w:val="0"/>
            <w:vAlign w:val="top"/>
          </w:tcPr>
          <w:p w14:paraId="090BC408">
            <w:pPr>
              <w:spacing w:line="360" w:lineRule="auto"/>
              <w:jc w:val="center"/>
              <w:rPr>
                <w:szCs w:val="21"/>
              </w:rPr>
            </w:pPr>
          </w:p>
        </w:tc>
        <w:tc>
          <w:tcPr>
            <w:tcW w:w="1204" w:type="dxa"/>
            <w:noWrap w:val="0"/>
            <w:vAlign w:val="top"/>
          </w:tcPr>
          <w:p w14:paraId="7B551C07">
            <w:pPr>
              <w:spacing w:line="360" w:lineRule="auto"/>
              <w:jc w:val="center"/>
              <w:rPr>
                <w:szCs w:val="21"/>
              </w:rPr>
            </w:pPr>
          </w:p>
        </w:tc>
        <w:tc>
          <w:tcPr>
            <w:tcW w:w="672" w:type="dxa"/>
            <w:noWrap w:val="0"/>
            <w:vAlign w:val="top"/>
          </w:tcPr>
          <w:p w14:paraId="101FC2B1">
            <w:pPr>
              <w:spacing w:line="360" w:lineRule="auto"/>
              <w:jc w:val="center"/>
              <w:rPr>
                <w:szCs w:val="21"/>
              </w:rPr>
            </w:pPr>
          </w:p>
        </w:tc>
      </w:tr>
      <w:tr w14:paraId="1C24A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4C07F16F">
            <w:pPr>
              <w:spacing w:line="360" w:lineRule="auto"/>
              <w:jc w:val="center"/>
              <w:rPr>
                <w:szCs w:val="21"/>
              </w:rPr>
            </w:pPr>
          </w:p>
        </w:tc>
        <w:tc>
          <w:tcPr>
            <w:tcW w:w="721" w:type="dxa"/>
            <w:noWrap w:val="0"/>
            <w:vAlign w:val="top"/>
          </w:tcPr>
          <w:p w14:paraId="022BED02">
            <w:pPr>
              <w:spacing w:line="360" w:lineRule="auto"/>
              <w:jc w:val="center"/>
              <w:rPr>
                <w:szCs w:val="21"/>
              </w:rPr>
            </w:pPr>
          </w:p>
        </w:tc>
        <w:tc>
          <w:tcPr>
            <w:tcW w:w="1105" w:type="dxa"/>
            <w:noWrap w:val="0"/>
            <w:vAlign w:val="top"/>
          </w:tcPr>
          <w:p w14:paraId="17F23280">
            <w:pPr>
              <w:spacing w:line="360" w:lineRule="auto"/>
              <w:jc w:val="center"/>
              <w:rPr>
                <w:szCs w:val="21"/>
              </w:rPr>
            </w:pPr>
          </w:p>
        </w:tc>
        <w:tc>
          <w:tcPr>
            <w:tcW w:w="1473" w:type="dxa"/>
            <w:noWrap w:val="0"/>
            <w:vAlign w:val="top"/>
          </w:tcPr>
          <w:p w14:paraId="6055B19A">
            <w:pPr>
              <w:spacing w:line="360" w:lineRule="auto"/>
              <w:jc w:val="center"/>
              <w:rPr>
                <w:szCs w:val="21"/>
              </w:rPr>
            </w:pPr>
          </w:p>
        </w:tc>
        <w:tc>
          <w:tcPr>
            <w:tcW w:w="886" w:type="dxa"/>
            <w:noWrap w:val="0"/>
            <w:vAlign w:val="top"/>
          </w:tcPr>
          <w:p w14:paraId="26197C3E">
            <w:pPr>
              <w:spacing w:line="360" w:lineRule="auto"/>
              <w:jc w:val="center"/>
              <w:rPr>
                <w:szCs w:val="21"/>
              </w:rPr>
            </w:pPr>
          </w:p>
        </w:tc>
        <w:tc>
          <w:tcPr>
            <w:tcW w:w="1814" w:type="dxa"/>
            <w:noWrap w:val="0"/>
            <w:vAlign w:val="top"/>
          </w:tcPr>
          <w:p w14:paraId="3BC7C239">
            <w:pPr>
              <w:spacing w:line="360" w:lineRule="auto"/>
              <w:jc w:val="center"/>
              <w:rPr>
                <w:szCs w:val="21"/>
              </w:rPr>
            </w:pPr>
          </w:p>
        </w:tc>
        <w:tc>
          <w:tcPr>
            <w:tcW w:w="1204" w:type="dxa"/>
            <w:noWrap w:val="0"/>
            <w:vAlign w:val="top"/>
          </w:tcPr>
          <w:p w14:paraId="34E4D087">
            <w:pPr>
              <w:spacing w:line="360" w:lineRule="auto"/>
              <w:jc w:val="center"/>
              <w:rPr>
                <w:szCs w:val="21"/>
              </w:rPr>
            </w:pPr>
          </w:p>
        </w:tc>
        <w:tc>
          <w:tcPr>
            <w:tcW w:w="672" w:type="dxa"/>
            <w:noWrap w:val="0"/>
            <w:vAlign w:val="top"/>
          </w:tcPr>
          <w:p w14:paraId="2BB01627">
            <w:pPr>
              <w:spacing w:line="360" w:lineRule="auto"/>
              <w:jc w:val="center"/>
              <w:rPr>
                <w:szCs w:val="21"/>
              </w:rPr>
            </w:pPr>
          </w:p>
        </w:tc>
      </w:tr>
      <w:tr w14:paraId="3B1B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6806653D">
            <w:pPr>
              <w:spacing w:line="360" w:lineRule="auto"/>
              <w:jc w:val="center"/>
              <w:rPr>
                <w:szCs w:val="21"/>
              </w:rPr>
            </w:pPr>
          </w:p>
        </w:tc>
        <w:tc>
          <w:tcPr>
            <w:tcW w:w="721" w:type="dxa"/>
            <w:noWrap w:val="0"/>
            <w:vAlign w:val="top"/>
          </w:tcPr>
          <w:p w14:paraId="317D88F4">
            <w:pPr>
              <w:spacing w:line="360" w:lineRule="auto"/>
              <w:jc w:val="center"/>
              <w:rPr>
                <w:szCs w:val="21"/>
              </w:rPr>
            </w:pPr>
          </w:p>
        </w:tc>
        <w:tc>
          <w:tcPr>
            <w:tcW w:w="1105" w:type="dxa"/>
            <w:noWrap w:val="0"/>
            <w:vAlign w:val="top"/>
          </w:tcPr>
          <w:p w14:paraId="24506F34">
            <w:pPr>
              <w:spacing w:line="360" w:lineRule="auto"/>
              <w:jc w:val="center"/>
              <w:rPr>
                <w:szCs w:val="21"/>
              </w:rPr>
            </w:pPr>
          </w:p>
        </w:tc>
        <w:tc>
          <w:tcPr>
            <w:tcW w:w="1473" w:type="dxa"/>
            <w:noWrap w:val="0"/>
            <w:vAlign w:val="top"/>
          </w:tcPr>
          <w:p w14:paraId="38A03BF6">
            <w:pPr>
              <w:spacing w:line="360" w:lineRule="auto"/>
              <w:jc w:val="center"/>
              <w:rPr>
                <w:szCs w:val="21"/>
              </w:rPr>
            </w:pPr>
          </w:p>
        </w:tc>
        <w:tc>
          <w:tcPr>
            <w:tcW w:w="886" w:type="dxa"/>
            <w:noWrap w:val="0"/>
            <w:vAlign w:val="top"/>
          </w:tcPr>
          <w:p w14:paraId="2ECCB110">
            <w:pPr>
              <w:spacing w:line="360" w:lineRule="auto"/>
              <w:jc w:val="center"/>
              <w:rPr>
                <w:szCs w:val="21"/>
              </w:rPr>
            </w:pPr>
          </w:p>
        </w:tc>
        <w:tc>
          <w:tcPr>
            <w:tcW w:w="1814" w:type="dxa"/>
            <w:noWrap w:val="0"/>
            <w:vAlign w:val="top"/>
          </w:tcPr>
          <w:p w14:paraId="3A5B48B7">
            <w:pPr>
              <w:spacing w:line="360" w:lineRule="auto"/>
              <w:jc w:val="center"/>
              <w:rPr>
                <w:szCs w:val="21"/>
              </w:rPr>
            </w:pPr>
          </w:p>
        </w:tc>
        <w:tc>
          <w:tcPr>
            <w:tcW w:w="1204" w:type="dxa"/>
            <w:noWrap w:val="0"/>
            <w:vAlign w:val="top"/>
          </w:tcPr>
          <w:p w14:paraId="51D7FB35">
            <w:pPr>
              <w:spacing w:line="360" w:lineRule="auto"/>
              <w:jc w:val="center"/>
              <w:rPr>
                <w:szCs w:val="21"/>
              </w:rPr>
            </w:pPr>
          </w:p>
        </w:tc>
        <w:tc>
          <w:tcPr>
            <w:tcW w:w="672" w:type="dxa"/>
            <w:noWrap w:val="0"/>
            <w:vAlign w:val="top"/>
          </w:tcPr>
          <w:p w14:paraId="71FE4D0D">
            <w:pPr>
              <w:spacing w:line="360" w:lineRule="auto"/>
              <w:jc w:val="center"/>
              <w:rPr>
                <w:szCs w:val="21"/>
              </w:rPr>
            </w:pPr>
          </w:p>
        </w:tc>
      </w:tr>
      <w:tr w14:paraId="483A2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7D63EED2">
            <w:pPr>
              <w:spacing w:line="360" w:lineRule="auto"/>
              <w:jc w:val="center"/>
              <w:rPr>
                <w:szCs w:val="21"/>
              </w:rPr>
            </w:pPr>
          </w:p>
        </w:tc>
        <w:tc>
          <w:tcPr>
            <w:tcW w:w="721" w:type="dxa"/>
            <w:noWrap w:val="0"/>
            <w:vAlign w:val="top"/>
          </w:tcPr>
          <w:p w14:paraId="2D588F4F">
            <w:pPr>
              <w:spacing w:line="360" w:lineRule="auto"/>
              <w:jc w:val="center"/>
              <w:rPr>
                <w:szCs w:val="21"/>
              </w:rPr>
            </w:pPr>
          </w:p>
        </w:tc>
        <w:tc>
          <w:tcPr>
            <w:tcW w:w="1105" w:type="dxa"/>
            <w:noWrap w:val="0"/>
            <w:vAlign w:val="top"/>
          </w:tcPr>
          <w:p w14:paraId="009D3FFD">
            <w:pPr>
              <w:spacing w:line="360" w:lineRule="auto"/>
              <w:jc w:val="center"/>
              <w:rPr>
                <w:szCs w:val="21"/>
              </w:rPr>
            </w:pPr>
          </w:p>
        </w:tc>
        <w:tc>
          <w:tcPr>
            <w:tcW w:w="1473" w:type="dxa"/>
            <w:noWrap w:val="0"/>
            <w:vAlign w:val="top"/>
          </w:tcPr>
          <w:p w14:paraId="6E4A00D8">
            <w:pPr>
              <w:spacing w:line="360" w:lineRule="auto"/>
              <w:jc w:val="center"/>
              <w:rPr>
                <w:szCs w:val="21"/>
              </w:rPr>
            </w:pPr>
          </w:p>
        </w:tc>
        <w:tc>
          <w:tcPr>
            <w:tcW w:w="886" w:type="dxa"/>
            <w:noWrap w:val="0"/>
            <w:vAlign w:val="top"/>
          </w:tcPr>
          <w:p w14:paraId="0B290773">
            <w:pPr>
              <w:spacing w:line="360" w:lineRule="auto"/>
              <w:jc w:val="center"/>
              <w:rPr>
                <w:szCs w:val="21"/>
              </w:rPr>
            </w:pPr>
          </w:p>
        </w:tc>
        <w:tc>
          <w:tcPr>
            <w:tcW w:w="1814" w:type="dxa"/>
            <w:noWrap w:val="0"/>
            <w:vAlign w:val="top"/>
          </w:tcPr>
          <w:p w14:paraId="37F4E994">
            <w:pPr>
              <w:spacing w:line="360" w:lineRule="auto"/>
              <w:jc w:val="center"/>
              <w:rPr>
                <w:szCs w:val="21"/>
              </w:rPr>
            </w:pPr>
          </w:p>
        </w:tc>
        <w:tc>
          <w:tcPr>
            <w:tcW w:w="1204" w:type="dxa"/>
            <w:noWrap w:val="0"/>
            <w:vAlign w:val="top"/>
          </w:tcPr>
          <w:p w14:paraId="5CE22226">
            <w:pPr>
              <w:spacing w:line="360" w:lineRule="auto"/>
              <w:jc w:val="center"/>
              <w:rPr>
                <w:szCs w:val="21"/>
              </w:rPr>
            </w:pPr>
          </w:p>
        </w:tc>
        <w:tc>
          <w:tcPr>
            <w:tcW w:w="672" w:type="dxa"/>
            <w:noWrap w:val="0"/>
            <w:vAlign w:val="top"/>
          </w:tcPr>
          <w:p w14:paraId="016E698A">
            <w:pPr>
              <w:spacing w:line="360" w:lineRule="auto"/>
              <w:jc w:val="center"/>
              <w:rPr>
                <w:szCs w:val="21"/>
              </w:rPr>
            </w:pPr>
          </w:p>
        </w:tc>
      </w:tr>
      <w:tr w14:paraId="3C9D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17453238">
            <w:pPr>
              <w:spacing w:line="360" w:lineRule="auto"/>
              <w:jc w:val="center"/>
              <w:rPr>
                <w:szCs w:val="21"/>
              </w:rPr>
            </w:pPr>
          </w:p>
        </w:tc>
        <w:tc>
          <w:tcPr>
            <w:tcW w:w="721" w:type="dxa"/>
            <w:noWrap w:val="0"/>
            <w:vAlign w:val="top"/>
          </w:tcPr>
          <w:p w14:paraId="361DF910">
            <w:pPr>
              <w:spacing w:line="360" w:lineRule="auto"/>
              <w:jc w:val="center"/>
              <w:rPr>
                <w:szCs w:val="21"/>
              </w:rPr>
            </w:pPr>
          </w:p>
        </w:tc>
        <w:tc>
          <w:tcPr>
            <w:tcW w:w="1105" w:type="dxa"/>
            <w:noWrap w:val="0"/>
            <w:vAlign w:val="top"/>
          </w:tcPr>
          <w:p w14:paraId="1C92122B">
            <w:pPr>
              <w:spacing w:line="360" w:lineRule="auto"/>
              <w:jc w:val="center"/>
              <w:rPr>
                <w:szCs w:val="21"/>
              </w:rPr>
            </w:pPr>
          </w:p>
        </w:tc>
        <w:tc>
          <w:tcPr>
            <w:tcW w:w="1473" w:type="dxa"/>
            <w:noWrap w:val="0"/>
            <w:vAlign w:val="top"/>
          </w:tcPr>
          <w:p w14:paraId="6FEBC8E2">
            <w:pPr>
              <w:spacing w:line="360" w:lineRule="auto"/>
              <w:jc w:val="center"/>
              <w:rPr>
                <w:szCs w:val="21"/>
              </w:rPr>
            </w:pPr>
          </w:p>
        </w:tc>
        <w:tc>
          <w:tcPr>
            <w:tcW w:w="886" w:type="dxa"/>
            <w:noWrap w:val="0"/>
            <w:vAlign w:val="top"/>
          </w:tcPr>
          <w:p w14:paraId="092164F6">
            <w:pPr>
              <w:spacing w:line="360" w:lineRule="auto"/>
              <w:jc w:val="center"/>
              <w:rPr>
                <w:szCs w:val="21"/>
              </w:rPr>
            </w:pPr>
          </w:p>
        </w:tc>
        <w:tc>
          <w:tcPr>
            <w:tcW w:w="1814" w:type="dxa"/>
            <w:noWrap w:val="0"/>
            <w:vAlign w:val="top"/>
          </w:tcPr>
          <w:p w14:paraId="567B06FB">
            <w:pPr>
              <w:spacing w:line="360" w:lineRule="auto"/>
              <w:jc w:val="center"/>
              <w:rPr>
                <w:szCs w:val="21"/>
              </w:rPr>
            </w:pPr>
          </w:p>
        </w:tc>
        <w:tc>
          <w:tcPr>
            <w:tcW w:w="1204" w:type="dxa"/>
            <w:noWrap w:val="0"/>
            <w:vAlign w:val="top"/>
          </w:tcPr>
          <w:p w14:paraId="45B4D16D">
            <w:pPr>
              <w:spacing w:line="360" w:lineRule="auto"/>
              <w:jc w:val="center"/>
              <w:rPr>
                <w:szCs w:val="21"/>
              </w:rPr>
            </w:pPr>
          </w:p>
        </w:tc>
        <w:tc>
          <w:tcPr>
            <w:tcW w:w="672" w:type="dxa"/>
            <w:noWrap w:val="0"/>
            <w:vAlign w:val="top"/>
          </w:tcPr>
          <w:p w14:paraId="52586B3E">
            <w:pPr>
              <w:spacing w:line="360" w:lineRule="auto"/>
              <w:jc w:val="center"/>
              <w:rPr>
                <w:szCs w:val="21"/>
              </w:rPr>
            </w:pPr>
          </w:p>
        </w:tc>
      </w:tr>
      <w:tr w14:paraId="77C0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0FD1076B">
            <w:pPr>
              <w:spacing w:line="360" w:lineRule="auto"/>
              <w:jc w:val="center"/>
              <w:rPr>
                <w:szCs w:val="21"/>
              </w:rPr>
            </w:pPr>
          </w:p>
        </w:tc>
        <w:tc>
          <w:tcPr>
            <w:tcW w:w="721" w:type="dxa"/>
            <w:noWrap w:val="0"/>
            <w:vAlign w:val="top"/>
          </w:tcPr>
          <w:p w14:paraId="0E8BC780">
            <w:pPr>
              <w:spacing w:line="360" w:lineRule="auto"/>
              <w:jc w:val="center"/>
              <w:rPr>
                <w:szCs w:val="21"/>
              </w:rPr>
            </w:pPr>
          </w:p>
        </w:tc>
        <w:tc>
          <w:tcPr>
            <w:tcW w:w="1105" w:type="dxa"/>
            <w:noWrap w:val="0"/>
            <w:vAlign w:val="top"/>
          </w:tcPr>
          <w:p w14:paraId="7BF88393">
            <w:pPr>
              <w:spacing w:line="360" w:lineRule="auto"/>
              <w:jc w:val="center"/>
              <w:rPr>
                <w:szCs w:val="21"/>
              </w:rPr>
            </w:pPr>
          </w:p>
        </w:tc>
        <w:tc>
          <w:tcPr>
            <w:tcW w:w="1473" w:type="dxa"/>
            <w:noWrap w:val="0"/>
            <w:vAlign w:val="top"/>
          </w:tcPr>
          <w:p w14:paraId="5AE08276">
            <w:pPr>
              <w:spacing w:line="360" w:lineRule="auto"/>
              <w:jc w:val="center"/>
              <w:rPr>
                <w:szCs w:val="21"/>
              </w:rPr>
            </w:pPr>
          </w:p>
        </w:tc>
        <w:tc>
          <w:tcPr>
            <w:tcW w:w="886" w:type="dxa"/>
            <w:noWrap w:val="0"/>
            <w:vAlign w:val="top"/>
          </w:tcPr>
          <w:p w14:paraId="7A247B29">
            <w:pPr>
              <w:spacing w:line="360" w:lineRule="auto"/>
              <w:jc w:val="center"/>
              <w:rPr>
                <w:szCs w:val="21"/>
              </w:rPr>
            </w:pPr>
          </w:p>
        </w:tc>
        <w:tc>
          <w:tcPr>
            <w:tcW w:w="1814" w:type="dxa"/>
            <w:noWrap w:val="0"/>
            <w:vAlign w:val="top"/>
          </w:tcPr>
          <w:p w14:paraId="0E463107">
            <w:pPr>
              <w:spacing w:line="360" w:lineRule="auto"/>
              <w:jc w:val="center"/>
              <w:rPr>
                <w:szCs w:val="21"/>
              </w:rPr>
            </w:pPr>
          </w:p>
        </w:tc>
        <w:tc>
          <w:tcPr>
            <w:tcW w:w="1204" w:type="dxa"/>
            <w:noWrap w:val="0"/>
            <w:vAlign w:val="top"/>
          </w:tcPr>
          <w:p w14:paraId="49ED637D">
            <w:pPr>
              <w:spacing w:line="360" w:lineRule="auto"/>
              <w:jc w:val="center"/>
              <w:rPr>
                <w:szCs w:val="21"/>
              </w:rPr>
            </w:pPr>
          </w:p>
        </w:tc>
        <w:tc>
          <w:tcPr>
            <w:tcW w:w="672" w:type="dxa"/>
            <w:noWrap w:val="0"/>
            <w:vAlign w:val="top"/>
          </w:tcPr>
          <w:p w14:paraId="0CBB2943">
            <w:pPr>
              <w:spacing w:line="360" w:lineRule="auto"/>
              <w:jc w:val="center"/>
              <w:rPr>
                <w:szCs w:val="21"/>
              </w:rPr>
            </w:pPr>
          </w:p>
        </w:tc>
      </w:tr>
      <w:tr w14:paraId="677E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3110DFDE">
            <w:pPr>
              <w:spacing w:line="360" w:lineRule="auto"/>
              <w:jc w:val="center"/>
              <w:rPr>
                <w:szCs w:val="21"/>
              </w:rPr>
            </w:pPr>
          </w:p>
        </w:tc>
        <w:tc>
          <w:tcPr>
            <w:tcW w:w="721" w:type="dxa"/>
            <w:noWrap w:val="0"/>
            <w:vAlign w:val="top"/>
          </w:tcPr>
          <w:p w14:paraId="33D06FF1">
            <w:pPr>
              <w:spacing w:line="360" w:lineRule="auto"/>
              <w:jc w:val="center"/>
              <w:rPr>
                <w:szCs w:val="21"/>
              </w:rPr>
            </w:pPr>
          </w:p>
        </w:tc>
        <w:tc>
          <w:tcPr>
            <w:tcW w:w="1105" w:type="dxa"/>
            <w:noWrap w:val="0"/>
            <w:vAlign w:val="top"/>
          </w:tcPr>
          <w:p w14:paraId="46972E47">
            <w:pPr>
              <w:spacing w:line="360" w:lineRule="auto"/>
              <w:jc w:val="center"/>
              <w:rPr>
                <w:szCs w:val="21"/>
              </w:rPr>
            </w:pPr>
          </w:p>
        </w:tc>
        <w:tc>
          <w:tcPr>
            <w:tcW w:w="1473" w:type="dxa"/>
            <w:noWrap w:val="0"/>
            <w:vAlign w:val="top"/>
          </w:tcPr>
          <w:p w14:paraId="02D55B9F">
            <w:pPr>
              <w:spacing w:line="360" w:lineRule="auto"/>
              <w:jc w:val="center"/>
              <w:rPr>
                <w:szCs w:val="21"/>
              </w:rPr>
            </w:pPr>
          </w:p>
        </w:tc>
        <w:tc>
          <w:tcPr>
            <w:tcW w:w="886" w:type="dxa"/>
            <w:noWrap w:val="0"/>
            <w:vAlign w:val="top"/>
          </w:tcPr>
          <w:p w14:paraId="3CB06D01">
            <w:pPr>
              <w:spacing w:line="360" w:lineRule="auto"/>
              <w:jc w:val="center"/>
              <w:rPr>
                <w:szCs w:val="21"/>
              </w:rPr>
            </w:pPr>
          </w:p>
        </w:tc>
        <w:tc>
          <w:tcPr>
            <w:tcW w:w="1814" w:type="dxa"/>
            <w:noWrap w:val="0"/>
            <w:vAlign w:val="top"/>
          </w:tcPr>
          <w:p w14:paraId="74AD85B7">
            <w:pPr>
              <w:spacing w:line="360" w:lineRule="auto"/>
              <w:jc w:val="center"/>
              <w:rPr>
                <w:szCs w:val="21"/>
              </w:rPr>
            </w:pPr>
          </w:p>
        </w:tc>
        <w:tc>
          <w:tcPr>
            <w:tcW w:w="1204" w:type="dxa"/>
            <w:noWrap w:val="0"/>
            <w:vAlign w:val="top"/>
          </w:tcPr>
          <w:p w14:paraId="34FF8EB1">
            <w:pPr>
              <w:spacing w:line="360" w:lineRule="auto"/>
              <w:jc w:val="center"/>
              <w:rPr>
                <w:szCs w:val="21"/>
              </w:rPr>
            </w:pPr>
          </w:p>
        </w:tc>
        <w:tc>
          <w:tcPr>
            <w:tcW w:w="672" w:type="dxa"/>
            <w:noWrap w:val="0"/>
            <w:vAlign w:val="top"/>
          </w:tcPr>
          <w:p w14:paraId="6AB2FC7B">
            <w:pPr>
              <w:spacing w:line="360" w:lineRule="auto"/>
              <w:jc w:val="center"/>
              <w:rPr>
                <w:szCs w:val="21"/>
              </w:rPr>
            </w:pPr>
          </w:p>
        </w:tc>
      </w:tr>
      <w:tr w14:paraId="4C46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4DAA36D3">
            <w:pPr>
              <w:spacing w:line="360" w:lineRule="auto"/>
              <w:jc w:val="center"/>
              <w:rPr>
                <w:szCs w:val="21"/>
              </w:rPr>
            </w:pPr>
          </w:p>
        </w:tc>
        <w:tc>
          <w:tcPr>
            <w:tcW w:w="721" w:type="dxa"/>
            <w:noWrap w:val="0"/>
            <w:vAlign w:val="top"/>
          </w:tcPr>
          <w:p w14:paraId="7F6D2979">
            <w:pPr>
              <w:spacing w:line="360" w:lineRule="auto"/>
              <w:jc w:val="center"/>
              <w:rPr>
                <w:szCs w:val="21"/>
              </w:rPr>
            </w:pPr>
          </w:p>
        </w:tc>
        <w:tc>
          <w:tcPr>
            <w:tcW w:w="1105" w:type="dxa"/>
            <w:noWrap w:val="0"/>
            <w:vAlign w:val="top"/>
          </w:tcPr>
          <w:p w14:paraId="37CF3540">
            <w:pPr>
              <w:spacing w:line="360" w:lineRule="auto"/>
              <w:jc w:val="center"/>
              <w:rPr>
                <w:szCs w:val="21"/>
              </w:rPr>
            </w:pPr>
          </w:p>
        </w:tc>
        <w:tc>
          <w:tcPr>
            <w:tcW w:w="1473" w:type="dxa"/>
            <w:noWrap w:val="0"/>
            <w:vAlign w:val="top"/>
          </w:tcPr>
          <w:p w14:paraId="3E7DEA54">
            <w:pPr>
              <w:spacing w:line="360" w:lineRule="auto"/>
              <w:jc w:val="center"/>
              <w:rPr>
                <w:szCs w:val="21"/>
              </w:rPr>
            </w:pPr>
          </w:p>
        </w:tc>
        <w:tc>
          <w:tcPr>
            <w:tcW w:w="886" w:type="dxa"/>
            <w:noWrap w:val="0"/>
            <w:vAlign w:val="top"/>
          </w:tcPr>
          <w:p w14:paraId="0F02E15C">
            <w:pPr>
              <w:spacing w:line="360" w:lineRule="auto"/>
              <w:jc w:val="center"/>
              <w:rPr>
                <w:szCs w:val="21"/>
              </w:rPr>
            </w:pPr>
          </w:p>
        </w:tc>
        <w:tc>
          <w:tcPr>
            <w:tcW w:w="1814" w:type="dxa"/>
            <w:noWrap w:val="0"/>
            <w:vAlign w:val="top"/>
          </w:tcPr>
          <w:p w14:paraId="4D075A37">
            <w:pPr>
              <w:spacing w:line="360" w:lineRule="auto"/>
              <w:jc w:val="center"/>
              <w:rPr>
                <w:szCs w:val="21"/>
              </w:rPr>
            </w:pPr>
          </w:p>
        </w:tc>
        <w:tc>
          <w:tcPr>
            <w:tcW w:w="1204" w:type="dxa"/>
            <w:noWrap w:val="0"/>
            <w:vAlign w:val="top"/>
          </w:tcPr>
          <w:p w14:paraId="68F0674E">
            <w:pPr>
              <w:spacing w:line="360" w:lineRule="auto"/>
              <w:jc w:val="center"/>
              <w:rPr>
                <w:szCs w:val="21"/>
              </w:rPr>
            </w:pPr>
          </w:p>
        </w:tc>
        <w:tc>
          <w:tcPr>
            <w:tcW w:w="672" w:type="dxa"/>
            <w:noWrap w:val="0"/>
            <w:vAlign w:val="top"/>
          </w:tcPr>
          <w:p w14:paraId="6D95C8E7">
            <w:pPr>
              <w:spacing w:line="360" w:lineRule="auto"/>
              <w:jc w:val="center"/>
              <w:rPr>
                <w:szCs w:val="21"/>
              </w:rPr>
            </w:pPr>
          </w:p>
        </w:tc>
      </w:tr>
      <w:tr w14:paraId="68BB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7784690A">
            <w:pPr>
              <w:spacing w:line="360" w:lineRule="auto"/>
              <w:jc w:val="center"/>
              <w:rPr>
                <w:szCs w:val="21"/>
              </w:rPr>
            </w:pPr>
          </w:p>
        </w:tc>
        <w:tc>
          <w:tcPr>
            <w:tcW w:w="721" w:type="dxa"/>
            <w:noWrap w:val="0"/>
            <w:vAlign w:val="top"/>
          </w:tcPr>
          <w:p w14:paraId="3E219A60">
            <w:pPr>
              <w:spacing w:line="360" w:lineRule="auto"/>
              <w:jc w:val="center"/>
              <w:rPr>
                <w:szCs w:val="21"/>
              </w:rPr>
            </w:pPr>
          </w:p>
        </w:tc>
        <w:tc>
          <w:tcPr>
            <w:tcW w:w="1105" w:type="dxa"/>
            <w:noWrap w:val="0"/>
            <w:vAlign w:val="top"/>
          </w:tcPr>
          <w:p w14:paraId="54914B43">
            <w:pPr>
              <w:spacing w:line="360" w:lineRule="auto"/>
              <w:jc w:val="center"/>
              <w:rPr>
                <w:szCs w:val="21"/>
              </w:rPr>
            </w:pPr>
          </w:p>
        </w:tc>
        <w:tc>
          <w:tcPr>
            <w:tcW w:w="1473" w:type="dxa"/>
            <w:noWrap w:val="0"/>
            <w:vAlign w:val="top"/>
          </w:tcPr>
          <w:p w14:paraId="451692E6">
            <w:pPr>
              <w:spacing w:line="360" w:lineRule="auto"/>
              <w:jc w:val="center"/>
              <w:rPr>
                <w:szCs w:val="21"/>
              </w:rPr>
            </w:pPr>
          </w:p>
        </w:tc>
        <w:tc>
          <w:tcPr>
            <w:tcW w:w="886" w:type="dxa"/>
            <w:noWrap w:val="0"/>
            <w:vAlign w:val="top"/>
          </w:tcPr>
          <w:p w14:paraId="271D2167">
            <w:pPr>
              <w:spacing w:line="360" w:lineRule="auto"/>
              <w:jc w:val="center"/>
              <w:rPr>
                <w:szCs w:val="21"/>
              </w:rPr>
            </w:pPr>
          </w:p>
        </w:tc>
        <w:tc>
          <w:tcPr>
            <w:tcW w:w="1814" w:type="dxa"/>
            <w:noWrap w:val="0"/>
            <w:vAlign w:val="top"/>
          </w:tcPr>
          <w:p w14:paraId="52E1854F">
            <w:pPr>
              <w:spacing w:line="360" w:lineRule="auto"/>
              <w:jc w:val="center"/>
              <w:rPr>
                <w:szCs w:val="21"/>
              </w:rPr>
            </w:pPr>
          </w:p>
        </w:tc>
        <w:tc>
          <w:tcPr>
            <w:tcW w:w="1204" w:type="dxa"/>
            <w:noWrap w:val="0"/>
            <w:vAlign w:val="top"/>
          </w:tcPr>
          <w:p w14:paraId="4A7EB0B8">
            <w:pPr>
              <w:spacing w:line="360" w:lineRule="auto"/>
              <w:jc w:val="center"/>
              <w:rPr>
                <w:szCs w:val="21"/>
              </w:rPr>
            </w:pPr>
          </w:p>
        </w:tc>
        <w:tc>
          <w:tcPr>
            <w:tcW w:w="672" w:type="dxa"/>
            <w:noWrap w:val="0"/>
            <w:vAlign w:val="top"/>
          </w:tcPr>
          <w:p w14:paraId="77928466">
            <w:pPr>
              <w:spacing w:line="360" w:lineRule="auto"/>
              <w:jc w:val="center"/>
              <w:rPr>
                <w:szCs w:val="21"/>
              </w:rPr>
            </w:pPr>
          </w:p>
        </w:tc>
      </w:tr>
      <w:tr w14:paraId="44428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4B0B0FD8">
            <w:pPr>
              <w:spacing w:line="360" w:lineRule="auto"/>
              <w:jc w:val="center"/>
              <w:rPr>
                <w:szCs w:val="21"/>
              </w:rPr>
            </w:pPr>
          </w:p>
        </w:tc>
        <w:tc>
          <w:tcPr>
            <w:tcW w:w="721" w:type="dxa"/>
            <w:noWrap w:val="0"/>
            <w:vAlign w:val="top"/>
          </w:tcPr>
          <w:p w14:paraId="10C0120B">
            <w:pPr>
              <w:spacing w:line="360" w:lineRule="auto"/>
              <w:jc w:val="center"/>
              <w:rPr>
                <w:szCs w:val="21"/>
              </w:rPr>
            </w:pPr>
          </w:p>
        </w:tc>
        <w:tc>
          <w:tcPr>
            <w:tcW w:w="1105" w:type="dxa"/>
            <w:noWrap w:val="0"/>
            <w:vAlign w:val="top"/>
          </w:tcPr>
          <w:p w14:paraId="2B8FF428">
            <w:pPr>
              <w:spacing w:line="360" w:lineRule="auto"/>
              <w:jc w:val="center"/>
              <w:rPr>
                <w:szCs w:val="21"/>
              </w:rPr>
            </w:pPr>
          </w:p>
        </w:tc>
        <w:tc>
          <w:tcPr>
            <w:tcW w:w="1473" w:type="dxa"/>
            <w:noWrap w:val="0"/>
            <w:vAlign w:val="top"/>
          </w:tcPr>
          <w:p w14:paraId="61FE03C4">
            <w:pPr>
              <w:spacing w:line="360" w:lineRule="auto"/>
              <w:jc w:val="center"/>
              <w:rPr>
                <w:szCs w:val="21"/>
              </w:rPr>
            </w:pPr>
          </w:p>
        </w:tc>
        <w:tc>
          <w:tcPr>
            <w:tcW w:w="886" w:type="dxa"/>
            <w:noWrap w:val="0"/>
            <w:vAlign w:val="top"/>
          </w:tcPr>
          <w:p w14:paraId="16C4ECC7">
            <w:pPr>
              <w:spacing w:line="360" w:lineRule="auto"/>
              <w:jc w:val="center"/>
              <w:rPr>
                <w:szCs w:val="21"/>
              </w:rPr>
            </w:pPr>
          </w:p>
        </w:tc>
        <w:tc>
          <w:tcPr>
            <w:tcW w:w="1814" w:type="dxa"/>
            <w:noWrap w:val="0"/>
            <w:vAlign w:val="top"/>
          </w:tcPr>
          <w:p w14:paraId="449B296B">
            <w:pPr>
              <w:spacing w:line="360" w:lineRule="auto"/>
              <w:jc w:val="center"/>
              <w:rPr>
                <w:szCs w:val="21"/>
              </w:rPr>
            </w:pPr>
          </w:p>
        </w:tc>
        <w:tc>
          <w:tcPr>
            <w:tcW w:w="1204" w:type="dxa"/>
            <w:noWrap w:val="0"/>
            <w:vAlign w:val="top"/>
          </w:tcPr>
          <w:p w14:paraId="6F596EDC">
            <w:pPr>
              <w:spacing w:line="360" w:lineRule="auto"/>
              <w:jc w:val="center"/>
              <w:rPr>
                <w:szCs w:val="21"/>
              </w:rPr>
            </w:pPr>
          </w:p>
        </w:tc>
        <w:tc>
          <w:tcPr>
            <w:tcW w:w="672" w:type="dxa"/>
            <w:noWrap w:val="0"/>
            <w:vAlign w:val="top"/>
          </w:tcPr>
          <w:p w14:paraId="358592C8">
            <w:pPr>
              <w:spacing w:line="360" w:lineRule="auto"/>
              <w:jc w:val="center"/>
              <w:rPr>
                <w:szCs w:val="21"/>
              </w:rPr>
            </w:pPr>
          </w:p>
        </w:tc>
      </w:tr>
      <w:tr w14:paraId="4337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 w:hRule="atLeast"/>
        </w:trPr>
        <w:tc>
          <w:tcPr>
            <w:tcW w:w="647" w:type="dxa"/>
            <w:noWrap w:val="0"/>
            <w:vAlign w:val="top"/>
          </w:tcPr>
          <w:p w14:paraId="04A390B4">
            <w:pPr>
              <w:spacing w:line="360" w:lineRule="auto"/>
              <w:jc w:val="center"/>
              <w:rPr>
                <w:szCs w:val="21"/>
              </w:rPr>
            </w:pPr>
          </w:p>
        </w:tc>
        <w:tc>
          <w:tcPr>
            <w:tcW w:w="721" w:type="dxa"/>
            <w:noWrap w:val="0"/>
            <w:vAlign w:val="top"/>
          </w:tcPr>
          <w:p w14:paraId="6A8717C9">
            <w:pPr>
              <w:spacing w:line="360" w:lineRule="auto"/>
              <w:jc w:val="center"/>
              <w:rPr>
                <w:szCs w:val="21"/>
              </w:rPr>
            </w:pPr>
          </w:p>
        </w:tc>
        <w:tc>
          <w:tcPr>
            <w:tcW w:w="1105" w:type="dxa"/>
            <w:noWrap w:val="0"/>
            <w:vAlign w:val="top"/>
          </w:tcPr>
          <w:p w14:paraId="32F98EC5">
            <w:pPr>
              <w:spacing w:line="360" w:lineRule="auto"/>
              <w:jc w:val="center"/>
              <w:rPr>
                <w:szCs w:val="21"/>
              </w:rPr>
            </w:pPr>
          </w:p>
        </w:tc>
        <w:tc>
          <w:tcPr>
            <w:tcW w:w="1473" w:type="dxa"/>
            <w:noWrap w:val="0"/>
            <w:vAlign w:val="top"/>
          </w:tcPr>
          <w:p w14:paraId="1A1A2D31">
            <w:pPr>
              <w:spacing w:line="360" w:lineRule="auto"/>
              <w:jc w:val="center"/>
              <w:rPr>
                <w:szCs w:val="21"/>
              </w:rPr>
            </w:pPr>
          </w:p>
        </w:tc>
        <w:tc>
          <w:tcPr>
            <w:tcW w:w="886" w:type="dxa"/>
            <w:noWrap w:val="0"/>
            <w:vAlign w:val="top"/>
          </w:tcPr>
          <w:p w14:paraId="439F1736">
            <w:pPr>
              <w:spacing w:line="360" w:lineRule="auto"/>
              <w:jc w:val="center"/>
              <w:rPr>
                <w:szCs w:val="21"/>
              </w:rPr>
            </w:pPr>
          </w:p>
        </w:tc>
        <w:tc>
          <w:tcPr>
            <w:tcW w:w="1814" w:type="dxa"/>
            <w:noWrap w:val="0"/>
            <w:vAlign w:val="top"/>
          </w:tcPr>
          <w:p w14:paraId="7F20C2FA">
            <w:pPr>
              <w:spacing w:line="360" w:lineRule="auto"/>
              <w:jc w:val="center"/>
              <w:rPr>
                <w:szCs w:val="21"/>
              </w:rPr>
            </w:pPr>
          </w:p>
        </w:tc>
        <w:tc>
          <w:tcPr>
            <w:tcW w:w="1204" w:type="dxa"/>
            <w:noWrap w:val="0"/>
            <w:vAlign w:val="top"/>
          </w:tcPr>
          <w:p w14:paraId="138CB60C">
            <w:pPr>
              <w:spacing w:line="360" w:lineRule="auto"/>
              <w:jc w:val="center"/>
              <w:rPr>
                <w:szCs w:val="21"/>
              </w:rPr>
            </w:pPr>
          </w:p>
        </w:tc>
        <w:tc>
          <w:tcPr>
            <w:tcW w:w="672" w:type="dxa"/>
            <w:noWrap w:val="0"/>
            <w:vAlign w:val="top"/>
          </w:tcPr>
          <w:p w14:paraId="75B0EEBB">
            <w:pPr>
              <w:spacing w:line="360" w:lineRule="auto"/>
              <w:jc w:val="center"/>
              <w:rPr>
                <w:szCs w:val="21"/>
              </w:rPr>
            </w:pPr>
          </w:p>
        </w:tc>
      </w:tr>
      <w:tr w14:paraId="66837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trHeight w:val="57" w:hRule="atLeast"/>
        </w:trPr>
        <w:tc>
          <w:tcPr>
            <w:tcW w:w="647" w:type="dxa"/>
            <w:noWrap w:val="0"/>
            <w:vAlign w:val="top"/>
          </w:tcPr>
          <w:p w14:paraId="52E601A8">
            <w:pPr>
              <w:spacing w:line="360" w:lineRule="auto"/>
              <w:jc w:val="center"/>
              <w:rPr>
                <w:szCs w:val="21"/>
              </w:rPr>
            </w:pPr>
          </w:p>
        </w:tc>
        <w:tc>
          <w:tcPr>
            <w:tcW w:w="721" w:type="dxa"/>
            <w:noWrap w:val="0"/>
            <w:vAlign w:val="top"/>
          </w:tcPr>
          <w:p w14:paraId="0B5B50AB">
            <w:pPr>
              <w:spacing w:line="360" w:lineRule="auto"/>
              <w:jc w:val="center"/>
              <w:rPr>
                <w:szCs w:val="21"/>
              </w:rPr>
            </w:pPr>
          </w:p>
        </w:tc>
        <w:tc>
          <w:tcPr>
            <w:tcW w:w="1105" w:type="dxa"/>
            <w:noWrap w:val="0"/>
            <w:vAlign w:val="top"/>
          </w:tcPr>
          <w:p w14:paraId="0D95CE56">
            <w:pPr>
              <w:spacing w:line="360" w:lineRule="auto"/>
              <w:jc w:val="center"/>
              <w:rPr>
                <w:szCs w:val="21"/>
              </w:rPr>
            </w:pPr>
          </w:p>
        </w:tc>
        <w:tc>
          <w:tcPr>
            <w:tcW w:w="1473" w:type="dxa"/>
            <w:noWrap w:val="0"/>
            <w:vAlign w:val="top"/>
          </w:tcPr>
          <w:p w14:paraId="5877C00B">
            <w:pPr>
              <w:spacing w:line="360" w:lineRule="auto"/>
              <w:jc w:val="center"/>
              <w:rPr>
                <w:szCs w:val="21"/>
              </w:rPr>
            </w:pPr>
          </w:p>
        </w:tc>
        <w:tc>
          <w:tcPr>
            <w:tcW w:w="886" w:type="dxa"/>
            <w:noWrap w:val="0"/>
            <w:vAlign w:val="top"/>
          </w:tcPr>
          <w:p w14:paraId="796681C8">
            <w:pPr>
              <w:spacing w:line="360" w:lineRule="auto"/>
              <w:jc w:val="center"/>
              <w:rPr>
                <w:szCs w:val="21"/>
              </w:rPr>
            </w:pPr>
          </w:p>
        </w:tc>
        <w:tc>
          <w:tcPr>
            <w:tcW w:w="1814" w:type="dxa"/>
            <w:noWrap w:val="0"/>
            <w:vAlign w:val="top"/>
          </w:tcPr>
          <w:p w14:paraId="3BB1543C">
            <w:pPr>
              <w:spacing w:line="360" w:lineRule="auto"/>
              <w:jc w:val="center"/>
              <w:rPr>
                <w:szCs w:val="21"/>
              </w:rPr>
            </w:pPr>
          </w:p>
        </w:tc>
        <w:tc>
          <w:tcPr>
            <w:tcW w:w="1204" w:type="dxa"/>
            <w:noWrap w:val="0"/>
            <w:vAlign w:val="top"/>
          </w:tcPr>
          <w:p w14:paraId="35F61EA8">
            <w:pPr>
              <w:spacing w:line="360" w:lineRule="auto"/>
              <w:jc w:val="center"/>
              <w:rPr>
                <w:szCs w:val="21"/>
              </w:rPr>
            </w:pPr>
          </w:p>
        </w:tc>
        <w:tc>
          <w:tcPr>
            <w:tcW w:w="672" w:type="dxa"/>
            <w:noWrap w:val="0"/>
            <w:vAlign w:val="top"/>
          </w:tcPr>
          <w:p w14:paraId="204F7D85">
            <w:pPr>
              <w:spacing w:line="360" w:lineRule="auto"/>
              <w:jc w:val="center"/>
              <w:rPr>
                <w:szCs w:val="21"/>
              </w:rPr>
            </w:pPr>
          </w:p>
        </w:tc>
      </w:tr>
    </w:tbl>
    <w:p w14:paraId="0C49401A">
      <w:pPr>
        <w:pStyle w:val="4"/>
        <w:spacing w:line="360" w:lineRule="auto"/>
        <w:jc w:val="center"/>
        <w:rPr>
          <w:sz w:val="23"/>
          <w:szCs w:val="23"/>
        </w:rPr>
      </w:pPr>
      <w:bookmarkStart w:id="259" w:name="_Toc256000367"/>
      <w:r>
        <w:rPr>
          <w:highlight w:val="white"/>
        </w:rPr>
        <w:t>（</w:t>
      </w:r>
      <w:r>
        <w:rPr>
          <w:rFonts w:hint="eastAsia"/>
          <w:highlight w:val="white"/>
        </w:rPr>
        <w:t>九</w:t>
      </w:r>
      <w:r>
        <w:rPr>
          <w:highlight w:val="white"/>
        </w:rPr>
        <w:t>）主要人员简历表</w:t>
      </w:r>
      <w:bookmarkEnd w:id="259"/>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771"/>
        <w:gridCol w:w="1261"/>
        <w:gridCol w:w="2297"/>
      </w:tblGrid>
      <w:tr w14:paraId="390F6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noWrap w:val="0"/>
            <w:vAlign w:val="center"/>
          </w:tcPr>
          <w:p w14:paraId="247083D9">
            <w:pPr>
              <w:spacing w:line="360" w:lineRule="auto"/>
              <w:jc w:val="center"/>
              <w:rPr>
                <w:rFonts w:ascii="宋体" w:hAnsi="宋体"/>
                <w:szCs w:val="21"/>
              </w:rPr>
            </w:pPr>
            <w:r>
              <w:rPr>
                <w:rFonts w:ascii="宋体" w:hAnsi="宋体"/>
                <w:szCs w:val="21"/>
                <w:highlight w:val="white"/>
              </w:rPr>
              <w:t>姓  名</w:t>
            </w:r>
          </w:p>
        </w:tc>
        <w:tc>
          <w:tcPr>
            <w:tcW w:w="1079" w:type="dxa"/>
            <w:gridSpan w:val="2"/>
            <w:noWrap w:val="0"/>
            <w:vAlign w:val="center"/>
          </w:tcPr>
          <w:p w14:paraId="6922F535">
            <w:pPr>
              <w:spacing w:line="360" w:lineRule="auto"/>
              <w:jc w:val="center"/>
              <w:rPr>
                <w:rFonts w:ascii="宋体" w:hAnsi="宋体"/>
                <w:szCs w:val="21"/>
              </w:rPr>
            </w:pPr>
          </w:p>
        </w:tc>
        <w:tc>
          <w:tcPr>
            <w:tcW w:w="927" w:type="dxa"/>
            <w:noWrap w:val="0"/>
            <w:vAlign w:val="center"/>
          </w:tcPr>
          <w:p w14:paraId="18D4B3B4">
            <w:pPr>
              <w:spacing w:line="360" w:lineRule="auto"/>
              <w:jc w:val="center"/>
              <w:rPr>
                <w:rFonts w:ascii="宋体" w:hAnsi="宋体"/>
                <w:szCs w:val="21"/>
              </w:rPr>
            </w:pPr>
            <w:r>
              <w:rPr>
                <w:rFonts w:ascii="宋体" w:hAnsi="宋体"/>
                <w:szCs w:val="21"/>
                <w:highlight w:val="white"/>
              </w:rPr>
              <w:t>年 龄</w:t>
            </w:r>
          </w:p>
        </w:tc>
        <w:tc>
          <w:tcPr>
            <w:tcW w:w="1771" w:type="dxa"/>
            <w:noWrap w:val="0"/>
            <w:vAlign w:val="center"/>
          </w:tcPr>
          <w:p w14:paraId="46D16DAB">
            <w:pPr>
              <w:spacing w:line="360" w:lineRule="auto"/>
              <w:jc w:val="center"/>
              <w:rPr>
                <w:rFonts w:ascii="宋体" w:hAnsi="宋体"/>
                <w:szCs w:val="21"/>
              </w:rPr>
            </w:pPr>
          </w:p>
        </w:tc>
        <w:tc>
          <w:tcPr>
            <w:tcW w:w="1261" w:type="dxa"/>
            <w:vMerge w:val="restart"/>
            <w:noWrap w:val="0"/>
            <w:vAlign w:val="center"/>
          </w:tcPr>
          <w:p w14:paraId="16F6654E">
            <w:pPr>
              <w:spacing w:line="360" w:lineRule="auto"/>
              <w:jc w:val="center"/>
              <w:rPr>
                <w:rFonts w:ascii="宋体" w:hAnsi="宋体"/>
                <w:szCs w:val="21"/>
              </w:rPr>
            </w:pPr>
            <w:r>
              <w:rPr>
                <w:rFonts w:ascii="宋体" w:hAnsi="宋体"/>
                <w:szCs w:val="21"/>
                <w:highlight w:val="white"/>
              </w:rPr>
              <w:t>拟在本合同任职</w:t>
            </w:r>
          </w:p>
        </w:tc>
        <w:tc>
          <w:tcPr>
            <w:tcW w:w="2297" w:type="dxa"/>
            <w:vMerge w:val="restart"/>
            <w:noWrap w:val="0"/>
            <w:vAlign w:val="center"/>
          </w:tcPr>
          <w:p w14:paraId="0E1B51D5">
            <w:pPr>
              <w:spacing w:line="360" w:lineRule="auto"/>
              <w:jc w:val="center"/>
              <w:rPr>
                <w:rFonts w:ascii="宋体" w:hAnsi="宋体"/>
                <w:szCs w:val="21"/>
              </w:rPr>
            </w:pPr>
          </w:p>
        </w:tc>
      </w:tr>
      <w:tr w14:paraId="6A55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noWrap w:val="0"/>
            <w:vAlign w:val="center"/>
          </w:tcPr>
          <w:p w14:paraId="05CAA3D7">
            <w:pPr>
              <w:spacing w:line="360" w:lineRule="auto"/>
              <w:jc w:val="center"/>
              <w:rPr>
                <w:rFonts w:ascii="宋体" w:hAnsi="宋体"/>
                <w:szCs w:val="21"/>
              </w:rPr>
            </w:pPr>
            <w:r>
              <w:rPr>
                <w:rFonts w:ascii="宋体" w:hAnsi="宋体"/>
                <w:szCs w:val="21"/>
                <w:highlight w:val="white"/>
              </w:rPr>
              <w:t>职  称</w:t>
            </w:r>
          </w:p>
        </w:tc>
        <w:tc>
          <w:tcPr>
            <w:tcW w:w="1079" w:type="dxa"/>
            <w:gridSpan w:val="2"/>
            <w:noWrap w:val="0"/>
            <w:vAlign w:val="center"/>
          </w:tcPr>
          <w:p w14:paraId="246AA6A5">
            <w:pPr>
              <w:spacing w:line="360" w:lineRule="auto"/>
              <w:jc w:val="center"/>
              <w:rPr>
                <w:rFonts w:ascii="宋体" w:hAnsi="宋体"/>
                <w:szCs w:val="21"/>
              </w:rPr>
            </w:pPr>
          </w:p>
        </w:tc>
        <w:tc>
          <w:tcPr>
            <w:tcW w:w="927" w:type="dxa"/>
            <w:noWrap w:val="0"/>
            <w:vAlign w:val="center"/>
          </w:tcPr>
          <w:p w14:paraId="19C9AA28">
            <w:pPr>
              <w:spacing w:line="360" w:lineRule="auto"/>
              <w:jc w:val="center"/>
              <w:rPr>
                <w:rFonts w:ascii="宋体" w:hAnsi="宋体"/>
                <w:szCs w:val="21"/>
              </w:rPr>
            </w:pPr>
            <w:r>
              <w:rPr>
                <w:rFonts w:ascii="宋体" w:hAnsi="宋体"/>
                <w:szCs w:val="21"/>
                <w:highlight w:val="white"/>
              </w:rPr>
              <w:t>职 务</w:t>
            </w:r>
          </w:p>
        </w:tc>
        <w:tc>
          <w:tcPr>
            <w:tcW w:w="1771" w:type="dxa"/>
            <w:noWrap w:val="0"/>
            <w:vAlign w:val="center"/>
          </w:tcPr>
          <w:p w14:paraId="202C8A6C">
            <w:pPr>
              <w:spacing w:line="360" w:lineRule="auto"/>
              <w:jc w:val="center"/>
              <w:rPr>
                <w:rFonts w:ascii="宋体" w:hAnsi="宋体"/>
                <w:szCs w:val="21"/>
              </w:rPr>
            </w:pPr>
          </w:p>
        </w:tc>
        <w:tc>
          <w:tcPr>
            <w:tcW w:w="1261" w:type="dxa"/>
            <w:vMerge w:val="continue"/>
            <w:noWrap w:val="0"/>
            <w:vAlign w:val="center"/>
          </w:tcPr>
          <w:p w14:paraId="34ECABFA">
            <w:pPr>
              <w:spacing w:line="360" w:lineRule="auto"/>
              <w:jc w:val="center"/>
              <w:rPr>
                <w:rFonts w:ascii="宋体" w:hAnsi="宋体"/>
                <w:szCs w:val="21"/>
              </w:rPr>
            </w:pPr>
          </w:p>
        </w:tc>
        <w:tc>
          <w:tcPr>
            <w:tcW w:w="2297" w:type="dxa"/>
            <w:vMerge w:val="continue"/>
            <w:noWrap w:val="0"/>
            <w:vAlign w:val="center"/>
          </w:tcPr>
          <w:p w14:paraId="31CB05B4">
            <w:pPr>
              <w:spacing w:line="360" w:lineRule="auto"/>
              <w:jc w:val="center"/>
              <w:rPr>
                <w:rFonts w:ascii="宋体" w:hAnsi="宋体"/>
                <w:szCs w:val="21"/>
              </w:rPr>
            </w:pPr>
          </w:p>
        </w:tc>
      </w:tr>
      <w:tr w14:paraId="3D024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noWrap w:val="0"/>
            <w:vAlign w:val="center"/>
          </w:tcPr>
          <w:p w14:paraId="0E98D292">
            <w:pPr>
              <w:spacing w:line="360" w:lineRule="auto"/>
              <w:jc w:val="center"/>
              <w:rPr>
                <w:rFonts w:ascii="宋体" w:hAnsi="宋体"/>
                <w:szCs w:val="21"/>
              </w:rPr>
            </w:pPr>
            <w:r>
              <w:rPr>
                <w:rFonts w:ascii="宋体" w:hAnsi="宋体"/>
                <w:szCs w:val="21"/>
                <w:highlight w:val="white"/>
              </w:rPr>
              <w:t>毕业学校</w:t>
            </w:r>
          </w:p>
        </w:tc>
        <w:tc>
          <w:tcPr>
            <w:tcW w:w="7335" w:type="dxa"/>
            <w:gridSpan w:val="6"/>
            <w:noWrap w:val="0"/>
            <w:vAlign w:val="top"/>
          </w:tcPr>
          <w:p w14:paraId="5C614A33">
            <w:pPr>
              <w:spacing w:line="360" w:lineRule="auto"/>
              <w:ind w:firstLine="945" w:firstLineChars="450"/>
              <w:rPr>
                <w:rFonts w:ascii="宋体" w:hAnsi="宋体"/>
                <w:szCs w:val="21"/>
              </w:rPr>
            </w:pPr>
            <w:r>
              <w:rPr>
                <w:rFonts w:ascii="宋体" w:hAnsi="宋体"/>
                <w:szCs w:val="21"/>
                <w:highlight w:val="white"/>
              </w:rPr>
              <w:t>年毕业于            学校        专业</w:t>
            </w:r>
          </w:p>
        </w:tc>
      </w:tr>
      <w:tr w14:paraId="1D2D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7"/>
            <w:noWrap w:val="0"/>
            <w:vAlign w:val="center"/>
          </w:tcPr>
          <w:p w14:paraId="64FFC772">
            <w:pPr>
              <w:spacing w:line="360" w:lineRule="auto"/>
              <w:rPr>
                <w:rFonts w:hint="eastAsia" w:ascii="宋体" w:hAnsi="宋体"/>
                <w:szCs w:val="21"/>
              </w:rPr>
            </w:pPr>
            <w:r>
              <w:rPr>
                <w:rFonts w:ascii="宋体" w:hAnsi="宋体"/>
                <w:szCs w:val="21"/>
                <w:highlight w:val="white"/>
              </w:rPr>
              <w:t>主要工作经历</w:t>
            </w:r>
            <w:r>
              <w:rPr>
                <w:rFonts w:hint="eastAsia" w:ascii="宋体" w:hAnsi="宋体"/>
                <w:szCs w:val="21"/>
                <w:highlight w:val="white"/>
              </w:rPr>
              <w:t>：</w:t>
            </w:r>
          </w:p>
        </w:tc>
      </w:tr>
      <w:tr w14:paraId="4EF13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4" w:type="dxa"/>
            <w:gridSpan w:val="2"/>
            <w:noWrap w:val="0"/>
            <w:vAlign w:val="center"/>
          </w:tcPr>
          <w:p w14:paraId="694E2374">
            <w:pPr>
              <w:spacing w:line="360" w:lineRule="auto"/>
              <w:ind w:firstLine="210" w:firstLineChars="100"/>
              <w:rPr>
                <w:rFonts w:ascii="宋体" w:hAnsi="宋体"/>
                <w:szCs w:val="21"/>
              </w:rPr>
            </w:pPr>
            <w:r>
              <w:rPr>
                <w:rFonts w:ascii="宋体" w:hAnsi="宋体"/>
                <w:szCs w:val="21"/>
                <w:highlight w:val="white"/>
              </w:rPr>
              <w:t>时  间</w:t>
            </w:r>
          </w:p>
        </w:tc>
        <w:tc>
          <w:tcPr>
            <w:tcW w:w="3420" w:type="dxa"/>
            <w:gridSpan w:val="3"/>
            <w:noWrap w:val="0"/>
            <w:vAlign w:val="center"/>
          </w:tcPr>
          <w:p w14:paraId="0B12520B">
            <w:pPr>
              <w:spacing w:line="360" w:lineRule="auto"/>
              <w:ind w:firstLine="630" w:firstLineChars="300"/>
              <w:rPr>
                <w:rFonts w:ascii="宋体" w:hAnsi="宋体"/>
                <w:szCs w:val="21"/>
              </w:rPr>
            </w:pPr>
            <w:r>
              <w:rPr>
                <w:rFonts w:ascii="宋体" w:hAnsi="宋体"/>
                <w:szCs w:val="21"/>
                <w:highlight w:val="white"/>
              </w:rPr>
              <w:t>参加过的类似项目</w:t>
            </w:r>
          </w:p>
        </w:tc>
        <w:tc>
          <w:tcPr>
            <w:tcW w:w="1261" w:type="dxa"/>
            <w:noWrap w:val="0"/>
            <w:vAlign w:val="center"/>
          </w:tcPr>
          <w:p w14:paraId="7A19FACE">
            <w:pPr>
              <w:spacing w:line="360" w:lineRule="auto"/>
              <w:rPr>
                <w:rFonts w:ascii="宋体" w:hAnsi="宋体"/>
                <w:szCs w:val="21"/>
              </w:rPr>
            </w:pPr>
            <w:r>
              <w:rPr>
                <w:rFonts w:ascii="宋体" w:hAnsi="宋体"/>
                <w:szCs w:val="21"/>
                <w:highlight w:val="white"/>
              </w:rPr>
              <w:t>担任职务</w:t>
            </w:r>
          </w:p>
        </w:tc>
        <w:tc>
          <w:tcPr>
            <w:tcW w:w="2297" w:type="dxa"/>
            <w:noWrap w:val="0"/>
            <w:vAlign w:val="center"/>
          </w:tcPr>
          <w:p w14:paraId="7C252EAF">
            <w:pPr>
              <w:spacing w:line="360" w:lineRule="auto"/>
              <w:ind w:firstLine="210" w:firstLineChars="100"/>
              <w:rPr>
                <w:rFonts w:ascii="宋体" w:hAnsi="宋体"/>
                <w:szCs w:val="21"/>
              </w:rPr>
            </w:pPr>
            <w:r>
              <w:rPr>
                <w:rFonts w:ascii="宋体" w:hAnsi="宋体"/>
                <w:szCs w:val="21"/>
                <w:highlight w:val="white"/>
              </w:rPr>
              <w:t>发包人及联系电话</w:t>
            </w:r>
          </w:p>
        </w:tc>
      </w:tr>
      <w:tr w14:paraId="0699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0"/>
            <w:vAlign w:val="top"/>
          </w:tcPr>
          <w:p w14:paraId="2BDDF707">
            <w:pPr>
              <w:spacing w:line="360" w:lineRule="auto"/>
              <w:rPr>
                <w:rFonts w:eastAsia="黑体"/>
                <w:szCs w:val="21"/>
              </w:rPr>
            </w:pPr>
          </w:p>
        </w:tc>
        <w:tc>
          <w:tcPr>
            <w:tcW w:w="3420" w:type="dxa"/>
            <w:gridSpan w:val="3"/>
            <w:noWrap w:val="0"/>
            <w:vAlign w:val="top"/>
          </w:tcPr>
          <w:p w14:paraId="7303EFA6">
            <w:pPr>
              <w:spacing w:line="360" w:lineRule="auto"/>
              <w:rPr>
                <w:rFonts w:eastAsia="黑体"/>
                <w:szCs w:val="21"/>
              </w:rPr>
            </w:pPr>
          </w:p>
        </w:tc>
        <w:tc>
          <w:tcPr>
            <w:tcW w:w="1261" w:type="dxa"/>
            <w:noWrap w:val="0"/>
            <w:vAlign w:val="top"/>
          </w:tcPr>
          <w:p w14:paraId="489DE787">
            <w:pPr>
              <w:spacing w:line="360" w:lineRule="auto"/>
              <w:rPr>
                <w:rFonts w:eastAsia="黑体"/>
                <w:szCs w:val="21"/>
              </w:rPr>
            </w:pPr>
          </w:p>
        </w:tc>
        <w:tc>
          <w:tcPr>
            <w:tcW w:w="2297" w:type="dxa"/>
            <w:noWrap w:val="0"/>
            <w:vAlign w:val="top"/>
          </w:tcPr>
          <w:p w14:paraId="2B48E006">
            <w:pPr>
              <w:spacing w:line="360" w:lineRule="auto"/>
              <w:rPr>
                <w:rFonts w:eastAsia="黑体"/>
                <w:szCs w:val="21"/>
              </w:rPr>
            </w:pPr>
          </w:p>
        </w:tc>
      </w:tr>
      <w:tr w14:paraId="74D3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0"/>
            <w:vAlign w:val="top"/>
          </w:tcPr>
          <w:p w14:paraId="22DBE0F7">
            <w:pPr>
              <w:spacing w:line="360" w:lineRule="auto"/>
              <w:rPr>
                <w:rFonts w:eastAsia="黑体"/>
                <w:szCs w:val="21"/>
              </w:rPr>
            </w:pPr>
          </w:p>
        </w:tc>
        <w:tc>
          <w:tcPr>
            <w:tcW w:w="3420" w:type="dxa"/>
            <w:gridSpan w:val="3"/>
            <w:noWrap w:val="0"/>
            <w:vAlign w:val="top"/>
          </w:tcPr>
          <w:p w14:paraId="78B329D0">
            <w:pPr>
              <w:spacing w:line="360" w:lineRule="auto"/>
              <w:rPr>
                <w:rFonts w:eastAsia="黑体"/>
                <w:szCs w:val="21"/>
              </w:rPr>
            </w:pPr>
          </w:p>
        </w:tc>
        <w:tc>
          <w:tcPr>
            <w:tcW w:w="1261" w:type="dxa"/>
            <w:noWrap w:val="0"/>
            <w:vAlign w:val="top"/>
          </w:tcPr>
          <w:p w14:paraId="0DEBC119">
            <w:pPr>
              <w:spacing w:line="360" w:lineRule="auto"/>
              <w:rPr>
                <w:rFonts w:eastAsia="黑体"/>
                <w:szCs w:val="21"/>
              </w:rPr>
            </w:pPr>
          </w:p>
        </w:tc>
        <w:tc>
          <w:tcPr>
            <w:tcW w:w="2297" w:type="dxa"/>
            <w:noWrap w:val="0"/>
            <w:vAlign w:val="top"/>
          </w:tcPr>
          <w:p w14:paraId="45CC44F4">
            <w:pPr>
              <w:spacing w:line="360" w:lineRule="auto"/>
              <w:rPr>
                <w:rFonts w:eastAsia="黑体"/>
                <w:szCs w:val="21"/>
              </w:rPr>
            </w:pPr>
          </w:p>
        </w:tc>
      </w:tr>
      <w:tr w14:paraId="53C6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0"/>
            <w:vAlign w:val="top"/>
          </w:tcPr>
          <w:p w14:paraId="65043E86">
            <w:pPr>
              <w:spacing w:line="360" w:lineRule="auto"/>
              <w:rPr>
                <w:rFonts w:eastAsia="黑体"/>
                <w:szCs w:val="21"/>
              </w:rPr>
            </w:pPr>
          </w:p>
        </w:tc>
        <w:tc>
          <w:tcPr>
            <w:tcW w:w="3420" w:type="dxa"/>
            <w:gridSpan w:val="3"/>
            <w:noWrap w:val="0"/>
            <w:vAlign w:val="top"/>
          </w:tcPr>
          <w:p w14:paraId="589F5D1E">
            <w:pPr>
              <w:spacing w:line="360" w:lineRule="auto"/>
              <w:rPr>
                <w:rFonts w:eastAsia="黑体"/>
                <w:szCs w:val="21"/>
              </w:rPr>
            </w:pPr>
          </w:p>
        </w:tc>
        <w:tc>
          <w:tcPr>
            <w:tcW w:w="1261" w:type="dxa"/>
            <w:noWrap w:val="0"/>
            <w:vAlign w:val="top"/>
          </w:tcPr>
          <w:p w14:paraId="1A439CA3">
            <w:pPr>
              <w:spacing w:line="360" w:lineRule="auto"/>
              <w:rPr>
                <w:rFonts w:eastAsia="黑体"/>
                <w:szCs w:val="21"/>
              </w:rPr>
            </w:pPr>
          </w:p>
        </w:tc>
        <w:tc>
          <w:tcPr>
            <w:tcW w:w="2297" w:type="dxa"/>
            <w:noWrap w:val="0"/>
            <w:vAlign w:val="top"/>
          </w:tcPr>
          <w:p w14:paraId="0417D09F">
            <w:pPr>
              <w:spacing w:line="360" w:lineRule="auto"/>
              <w:rPr>
                <w:rFonts w:eastAsia="黑体"/>
                <w:szCs w:val="21"/>
              </w:rPr>
            </w:pPr>
          </w:p>
        </w:tc>
      </w:tr>
      <w:tr w14:paraId="6665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0"/>
            <w:vAlign w:val="center"/>
          </w:tcPr>
          <w:p w14:paraId="097BB4F7">
            <w:pPr>
              <w:spacing w:line="360" w:lineRule="auto"/>
              <w:rPr>
                <w:rFonts w:eastAsia="黑体"/>
                <w:szCs w:val="21"/>
              </w:rPr>
            </w:pPr>
          </w:p>
        </w:tc>
        <w:tc>
          <w:tcPr>
            <w:tcW w:w="3420" w:type="dxa"/>
            <w:gridSpan w:val="3"/>
            <w:noWrap w:val="0"/>
            <w:vAlign w:val="center"/>
          </w:tcPr>
          <w:p w14:paraId="42D7144B">
            <w:pPr>
              <w:spacing w:line="360" w:lineRule="auto"/>
              <w:rPr>
                <w:rFonts w:eastAsia="黑体"/>
                <w:szCs w:val="21"/>
              </w:rPr>
            </w:pPr>
          </w:p>
        </w:tc>
        <w:tc>
          <w:tcPr>
            <w:tcW w:w="1261" w:type="dxa"/>
            <w:noWrap w:val="0"/>
            <w:vAlign w:val="center"/>
          </w:tcPr>
          <w:p w14:paraId="36CFB6E2">
            <w:pPr>
              <w:spacing w:line="360" w:lineRule="auto"/>
              <w:rPr>
                <w:rFonts w:eastAsia="黑体"/>
                <w:szCs w:val="21"/>
              </w:rPr>
            </w:pPr>
          </w:p>
        </w:tc>
        <w:tc>
          <w:tcPr>
            <w:tcW w:w="2297" w:type="dxa"/>
            <w:noWrap w:val="0"/>
            <w:vAlign w:val="center"/>
          </w:tcPr>
          <w:p w14:paraId="75EE2EB6">
            <w:pPr>
              <w:spacing w:line="360" w:lineRule="auto"/>
              <w:rPr>
                <w:rFonts w:eastAsia="黑体"/>
                <w:szCs w:val="21"/>
              </w:rPr>
            </w:pPr>
          </w:p>
        </w:tc>
      </w:tr>
      <w:tr w14:paraId="5A96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0"/>
            <w:vAlign w:val="center"/>
          </w:tcPr>
          <w:p w14:paraId="1E70A52C">
            <w:pPr>
              <w:spacing w:line="360" w:lineRule="auto"/>
              <w:rPr>
                <w:rFonts w:eastAsia="黑体"/>
                <w:szCs w:val="21"/>
              </w:rPr>
            </w:pPr>
          </w:p>
        </w:tc>
        <w:tc>
          <w:tcPr>
            <w:tcW w:w="3420" w:type="dxa"/>
            <w:gridSpan w:val="3"/>
            <w:noWrap w:val="0"/>
            <w:vAlign w:val="center"/>
          </w:tcPr>
          <w:p w14:paraId="0820AC17">
            <w:pPr>
              <w:spacing w:line="360" w:lineRule="auto"/>
              <w:rPr>
                <w:rFonts w:eastAsia="黑体"/>
                <w:szCs w:val="21"/>
              </w:rPr>
            </w:pPr>
          </w:p>
        </w:tc>
        <w:tc>
          <w:tcPr>
            <w:tcW w:w="1261" w:type="dxa"/>
            <w:noWrap w:val="0"/>
            <w:vAlign w:val="center"/>
          </w:tcPr>
          <w:p w14:paraId="6466235A">
            <w:pPr>
              <w:spacing w:line="360" w:lineRule="auto"/>
              <w:rPr>
                <w:rFonts w:eastAsia="黑体"/>
                <w:szCs w:val="21"/>
              </w:rPr>
            </w:pPr>
          </w:p>
        </w:tc>
        <w:tc>
          <w:tcPr>
            <w:tcW w:w="2297" w:type="dxa"/>
            <w:noWrap w:val="0"/>
            <w:vAlign w:val="center"/>
          </w:tcPr>
          <w:p w14:paraId="67337C5F">
            <w:pPr>
              <w:spacing w:line="360" w:lineRule="auto"/>
              <w:rPr>
                <w:rFonts w:eastAsia="黑体"/>
                <w:szCs w:val="21"/>
              </w:rPr>
            </w:pPr>
          </w:p>
        </w:tc>
      </w:tr>
    </w:tbl>
    <w:p w14:paraId="142088AA">
      <w:pPr>
        <w:spacing w:line="360" w:lineRule="auto"/>
        <w:rPr>
          <w:rFonts w:hint="eastAsia" w:ascii="宋体" w:hAnsi="宋体"/>
          <w:sz w:val="24"/>
        </w:rPr>
      </w:pPr>
      <w:r>
        <w:rPr>
          <w:rFonts w:hint="eastAsia" w:ascii="宋体" w:hAnsi="宋体" w:cs="宋体"/>
          <w:sz w:val="24"/>
          <w:highlight w:val="white"/>
        </w:rPr>
        <w:t>注：</w:t>
      </w:r>
      <w:r>
        <w:rPr>
          <w:rFonts w:hint="eastAsia" w:ascii="宋体" w:hAnsi="宋体" w:cs="宋体"/>
          <w:kern w:val="0"/>
          <w:sz w:val="24"/>
          <w:highlight w:val="white"/>
        </w:rPr>
        <w:t>（1）</w:t>
      </w:r>
      <w:r>
        <w:rPr>
          <w:rFonts w:hint="eastAsia" w:ascii="宋体" w:hAnsi="宋体"/>
          <w:sz w:val="24"/>
          <w:highlight w:val="white"/>
        </w:rPr>
        <w:t>项目经理设计负责人、施工负责人应附身份证、社保缴费证明和第二章投标人须知前附表1.4.1条规定的证书扫描件；其他人员应附身份证、社保缴费证明和第三章评标办法中规定的证书扫描件。</w:t>
      </w:r>
    </w:p>
    <w:p w14:paraId="61582FF7">
      <w:pPr>
        <w:tabs>
          <w:tab w:val="left" w:pos="0"/>
          <w:tab w:val="left" w:pos="1134"/>
        </w:tabs>
        <w:autoSpaceDE w:val="0"/>
        <w:autoSpaceDN w:val="0"/>
        <w:spacing w:line="360" w:lineRule="auto"/>
        <w:ind w:firstLine="480" w:firstLineChars="200"/>
        <w:jc w:val="left"/>
        <w:textAlignment w:val="bottom"/>
        <w:rPr>
          <w:rFonts w:ascii="宋体" w:hAnsi="宋体"/>
          <w:sz w:val="24"/>
        </w:rPr>
      </w:pPr>
      <w:r>
        <w:rPr>
          <w:rFonts w:hint="eastAsia" w:ascii="宋体" w:hAnsi="宋体" w:cs="宋体"/>
          <w:kern w:val="0"/>
          <w:sz w:val="24"/>
          <w:highlight w:val="white"/>
        </w:rPr>
        <w:t>（2）社保缴费证明是指,由社保部门出具的主要人员在该投标人单位最近6个月连续缴费证明,从招标文件开始下载时间的上一个月或上上个月起算,往前推6个月的连续、不间断的缴费证明,企业设立不足6个月的可少于6个月;退休人员提供退休证明材料,无需提供社保缴费证明;新聘人员提供至少1个月在该投标人单位的社保缴费证明并提供聘用合同。</w:t>
      </w:r>
      <w:r>
        <w:rPr>
          <w:rFonts w:hint="eastAsia" w:ascii="宋体" w:hAnsi="宋体"/>
          <w:sz w:val="24"/>
          <w:highlight w:val="white"/>
        </w:rPr>
        <w:t xml:space="preserve">  </w:t>
      </w:r>
      <w:r>
        <w:rPr>
          <w:rFonts w:ascii="宋体" w:hAnsi="宋体"/>
          <w:sz w:val="24"/>
          <w:highlight w:val="white"/>
        </w:rPr>
        <w:t xml:space="preserve">    </w:t>
      </w:r>
    </w:p>
    <w:p w14:paraId="29EBAFC0">
      <w:pPr>
        <w:spacing w:line="360" w:lineRule="auto"/>
        <w:ind w:firstLine="360" w:firstLineChars="150"/>
        <w:rPr>
          <w:rFonts w:ascii="宋体" w:hAnsi="宋体"/>
          <w:sz w:val="24"/>
        </w:rPr>
      </w:pPr>
      <w:r>
        <w:rPr>
          <w:rFonts w:hint="eastAsia" w:ascii="宋体" w:hAnsi="宋体"/>
          <w:sz w:val="24"/>
          <w:highlight w:val="white"/>
        </w:rPr>
        <w:t>（3）资格条件和评标办法中有其他要求的应按要求提供相关证明材料扫描件，未要求的可不提供。</w:t>
      </w:r>
      <w:r>
        <w:rPr>
          <w:rFonts w:hint="eastAsia" w:ascii="宋体" w:hAnsi="宋体" w:cs="宋体"/>
          <w:kern w:val="0"/>
          <w:sz w:val="24"/>
          <w:highlight w:val="white"/>
        </w:rPr>
        <w:t>若要求施工负责人业绩，则施工负责人业绩以竣工验收报告中载明的施工项目负责人为准。</w:t>
      </w:r>
    </w:p>
    <w:p w14:paraId="4C2366E0">
      <w:pPr>
        <w:spacing w:line="360" w:lineRule="auto"/>
        <w:ind w:firstLine="360" w:firstLineChars="150"/>
        <w:rPr>
          <w:rFonts w:hint="eastAsia" w:ascii="宋体" w:hAnsi="宋体"/>
          <w:sz w:val="24"/>
        </w:rPr>
      </w:pPr>
      <w:r>
        <w:rPr>
          <w:rFonts w:hint="eastAsia" w:ascii="宋体" w:hAnsi="宋体"/>
          <w:sz w:val="24"/>
          <w:highlight w:val="white"/>
        </w:rPr>
        <w:t>（4）使用电子注册证书的，其电子证书的有效性应符合有关规定。</w:t>
      </w:r>
    </w:p>
    <w:p w14:paraId="24E06FB1">
      <w:pPr>
        <w:spacing w:line="360" w:lineRule="auto"/>
        <w:rPr>
          <w:rFonts w:hint="eastAsia" w:ascii="宋体" w:hAnsi="宋体" w:cs="宋体"/>
          <w:sz w:val="24"/>
        </w:rPr>
      </w:pPr>
    </w:p>
    <w:p w14:paraId="262AE0ED">
      <w:pPr>
        <w:pStyle w:val="70"/>
        <w:tabs>
          <w:tab w:val="left" w:pos="0"/>
          <w:tab w:val="clear" w:pos="1843"/>
        </w:tabs>
        <w:autoSpaceDE w:val="0"/>
        <w:autoSpaceDN w:val="0"/>
        <w:adjustRightInd/>
        <w:spacing w:before="0" w:after="0" w:line="360" w:lineRule="auto"/>
        <w:ind w:left="0" w:right="0" w:rightChars="0" w:firstLine="240" w:firstLineChars="100"/>
        <w:jc w:val="left"/>
        <w:textAlignment w:val="bottom"/>
        <w:rPr>
          <w:rFonts w:hint="eastAsia"/>
        </w:rPr>
      </w:pPr>
      <w:r>
        <w:rPr>
          <w:rFonts w:hint="eastAsia"/>
          <w:highlight w:val="white"/>
        </w:rPr>
        <w:br w:type="page"/>
      </w:r>
    </w:p>
    <w:p w14:paraId="34502541">
      <w:pPr>
        <w:pStyle w:val="3"/>
        <w:spacing w:line="360" w:lineRule="auto"/>
        <w:jc w:val="center"/>
        <w:rPr>
          <w:rFonts w:hint="eastAsia" w:ascii="宋体" w:hAnsi="宋体" w:eastAsia="宋体"/>
          <w:bCs w:val="0"/>
          <w:kern w:val="44"/>
          <w:sz w:val="28"/>
          <w:szCs w:val="28"/>
        </w:rPr>
      </w:pPr>
      <w:bookmarkStart w:id="260" w:name="_Toc256000368"/>
      <w:r>
        <w:rPr>
          <w:rFonts w:hint="eastAsia" w:ascii="宋体" w:hAnsi="宋体" w:eastAsia="宋体"/>
          <w:bCs w:val="0"/>
          <w:kern w:val="44"/>
          <w:sz w:val="28"/>
          <w:szCs w:val="28"/>
          <w:highlight w:val="white"/>
        </w:rPr>
        <w:t>九、其他资料</w:t>
      </w:r>
      <w:bookmarkEnd w:id="260"/>
    </w:p>
    <w:p w14:paraId="6FDCEAD5">
      <w:pPr>
        <w:spacing w:line="360" w:lineRule="auto"/>
        <w:rPr>
          <w:rFonts w:ascii="仿宋" w:hAnsi="仿宋" w:eastAsia="仿宋" w:cs="仿宋"/>
          <w:sz w:val="24"/>
        </w:rPr>
      </w:pPr>
      <w:r>
        <w:rPr>
          <w:highlight w:val="white"/>
        </w:rPr>
        <w:br w:type="page"/>
      </w:r>
      <w:r>
        <w:rPr>
          <w:rFonts w:hint="eastAsia" w:ascii="仿宋" w:hAnsi="仿宋" w:eastAsia="仿宋" w:cs="仿宋"/>
          <w:sz w:val="24"/>
          <w:highlight w:val="white"/>
        </w:rPr>
        <w:t xml:space="preserve">□ </w:t>
      </w:r>
    </w:p>
    <w:p w14:paraId="79F249DC">
      <w:pPr>
        <w:spacing w:line="360" w:lineRule="auto"/>
        <w:jc w:val="center"/>
        <w:rPr>
          <w:rFonts w:ascii="仿宋" w:hAnsi="仿宋" w:eastAsia="仿宋" w:cs="仿宋"/>
          <w:b/>
          <w:bCs/>
          <w:sz w:val="24"/>
        </w:rPr>
      </w:pPr>
      <w:r>
        <w:rPr>
          <w:rFonts w:hint="eastAsia" w:ascii="仿宋" w:hAnsi="仿宋" w:eastAsia="仿宋" w:cs="仿宋"/>
          <w:b/>
          <w:bCs/>
          <w:sz w:val="24"/>
          <w:highlight w:val="white"/>
        </w:rPr>
        <w:t>中小企业声明函</w:t>
      </w:r>
    </w:p>
    <w:p w14:paraId="7CAA4C8C">
      <w:pPr>
        <w:wordWrap w:val="0"/>
        <w:spacing w:line="360" w:lineRule="auto"/>
        <w:ind w:firstLine="480" w:firstLineChars="200"/>
        <w:rPr>
          <w:rFonts w:ascii="仿宋" w:hAnsi="仿宋" w:eastAsia="仿宋" w:cs="仿宋"/>
          <w:sz w:val="24"/>
        </w:rPr>
      </w:pPr>
      <w:r>
        <w:rPr>
          <w:rFonts w:hint="eastAsia" w:ascii="仿宋" w:hAnsi="仿宋" w:eastAsia="仿宋" w:cs="仿宋"/>
          <w:sz w:val="24"/>
          <w:highlight w:val="white"/>
        </w:rPr>
        <w:t>本单位郑重声明，根据《四川省人民政府办公厅关于深化改革创新促进招标投标市场规范健康发展的意见》（川办规（2025）8号）的规定，本单位参加</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（招标人名称）的</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（项目名称、标段名称）招标活动，本单位的具体情况如下：</w:t>
      </w:r>
    </w:p>
    <w:p w14:paraId="50B5AACD">
      <w:pPr>
        <w:wordWrap w:val="0"/>
        <w:spacing w:line="360" w:lineRule="auto"/>
        <w:ind w:firstLine="480" w:firstLineChars="200"/>
        <w:rPr>
          <w:rFonts w:ascii="仿宋" w:hAnsi="仿宋" w:eastAsia="仿宋" w:cs="仿宋"/>
          <w:sz w:val="24"/>
        </w:rPr>
      </w:pP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（项目名称、标段名称）属于建筑业； 承建（承接）企业为</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（单位名称），营业收入为</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万元，资产总额为</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万元，属于</w:t>
      </w:r>
      <w:r>
        <w:rPr>
          <w:rFonts w:hint="eastAsia" w:ascii="仿宋" w:hAnsi="仿宋" w:eastAsia="仿宋" w:cs="仿宋"/>
          <w:sz w:val="24"/>
          <w:highlight w:val="white"/>
          <w:u w:val="single"/>
        </w:rPr>
        <w:t xml:space="preserve">    （中型企业或小型企业或微型企业）</w:t>
      </w:r>
      <w:r>
        <w:rPr>
          <w:rFonts w:hint="eastAsia" w:ascii="仿宋" w:hAnsi="仿宋" w:eastAsia="仿宋" w:cs="仿宋"/>
          <w:sz w:val="24"/>
          <w:highlight w:val="white"/>
        </w:rPr>
        <w:t>；</w:t>
      </w:r>
    </w:p>
    <w:p w14:paraId="0F7D822C">
      <w:pPr>
        <w:wordWrap w:val="0"/>
        <w:spacing w:line="360" w:lineRule="auto"/>
        <w:ind w:firstLine="480" w:firstLineChars="200"/>
        <w:rPr>
          <w:rFonts w:ascii="仿宋" w:hAnsi="仿宋" w:eastAsia="仿宋" w:cs="仿宋"/>
          <w:sz w:val="24"/>
        </w:rPr>
      </w:pPr>
      <w:r>
        <w:rPr>
          <w:rFonts w:hint="eastAsia" w:ascii="仿宋" w:hAnsi="仿宋" w:eastAsia="仿宋" w:cs="仿宋"/>
          <w:sz w:val="24"/>
          <w:highlight w:val="white"/>
        </w:rPr>
        <w:t>本单位声明不属于大企业的分支机构，不存在控股股东为大企业的情形，也不存在与大企业的负责人为同一人的情形。</w:t>
      </w:r>
    </w:p>
    <w:p w14:paraId="632C9603">
      <w:pPr>
        <w:wordWrap w:val="0"/>
        <w:spacing w:line="360" w:lineRule="auto"/>
        <w:ind w:firstLine="480" w:firstLineChars="200"/>
        <w:rPr>
          <w:rFonts w:ascii="仿宋" w:hAnsi="仿宋" w:eastAsia="仿宋" w:cs="仿宋"/>
          <w:sz w:val="24"/>
        </w:rPr>
      </w:pPr>
      <w:r>
        <w:rPr>
          <w:rFonts w:hint="eastAsia" w:ascii="仿宋" w:hAnsi="仿宋" w:eastAsia="仿宋" w:cs="仿宋"/>
          <w:sz w:val="24"/>
          <w:highlight w:val="white"/>
        </w:rPr>
        <w:t>本单位对上述声明内容的真实性负责。如有虚假，将依法承担相应责任。</w:t>
      </w:r>
    </w:p>
    <w:p w14:paraId="718CE884">
      <w:pPr>
        <w:spacing w:line="360" w:lineRule="auto"/>
        <w:rPr>
          <w:rFonts w:ascii="仿宋" w:hAnsi="仿宋" w:eastAsia="仿宋" w:cs="仿宋"/>
          <w:sz w:val="24"/>
        </w:rPr>
      </w:pPr>
    </w:p>
    <w:p w14:paraId="3D05FA1F">
      <w:pPr>
        <w:spacing w:line="360" w:lineRule="auto"/>
        <w:jc w:val="right"/>
        <w:rPr>
          <w:rFonts w:ascii="仿宋" w:hAnsi="仿宋" w:eastAsia="仿宋" w:cs="仿宋"/>
          <w:sz w:val="24"/>
        </w:rPr>
      </w:pPr>
      <w:r>
        <w:rPr>
          <w:rFonts w:hint="eastAsia" w:ascii="仿宋" w:hAnsi="仿宋" w:eastAsia="仿宋" w:cs="仿宋"/>
          <w:sz w:val="24"/>
          <w:highlight w:val="white"/>
        </w:rPr>
        <w:t>声明单位：</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（盖单位章）</w:t>
      </w:r>
    </w:p>
    <w:p w14:paraId="13472465">
      <w:pPr>
        <w:spacing w:line="360" w:lineRule="auto"/>
        <w:jc w:val="right"/>
        <w:rPr>
          <w:rFonts w:ascii="仿宋" w:hAnsi="仿宋" w:eastAsia="仿宋" w:cs="仿宋"/>
          <w:sz w:val="24"/>
        </w:rPr>
      </w:pP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年</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月</w:t>
      </w:r>
      <w:r>
        <w:rPr>
          <w:rFonts w:hint="eastAsia" w:ascii="仿宋" w:hAnsi="仿宋" w:eastAsia="仿宋" w:cs="仿宋"/>
          <w:sz w:val="24"/>
          <w:highlight w:val="white"/>
          <w:u w:val="single"/>
        </w:rPr>
        <w:t xml:space="preserve">    </w:t>
      </w:r>
      <w:r>
        <w:rPr>
          <w:rFonts w:hint="eastAsia" w:ascii="仿宋" w:hAnsi="仿宋" w:eastAsia="仿宋" w:cs="仿宋"/>
          <w:sz w:val="24"/>
          <w:highlight w:val="white"/>
        </w:rPr>
        <w:t>日</w:t>
      </w:r>
    </w:p>
    <w:p w14:paraId="51F0A34C">
      <w:pPr>
        <w:spacing w:line="360" w:lineRule="auto"/>
        <w:rPr>
          <w:rFonts w:ascii="仿宋" w:hAnsi="仿宋" w:eastAsia="仿宋" w:cs="仿宋"/>
          <w:sz w:val="24"/>
        </w:rPr>
      </w:pPr>
    </w:p>
    <w:p w14:paraId="1C7DFC01">
      <w:pPr>
        <w:wordWrap w:val="0"/>
        <w:spacing w:line="360" w:lineRule="auto"/>
        <w:rPr>
          <w:rFonts w:ascii="仿宋" w:hAnsi="仿宋" w:eastAsia="仿宋" w:cs="仿宋"/>
          <w:sz w:val="24"/>
        </w:rPr>
      </w:pPr>
      <w:r>
        <w:rPr>
          <w:rFonts w:hint="eastAsia" w:ascii="仿宋" w:hAnsi="仿宋" w:eastAsia="仿宋" w:cs="仿宋"/>
          <w:sz w:val="24"/>
          <w:highlight w:val="white"/>
        </w:rPr>
        <w:t>注:</w:t>
      </w:r>
    </w:p>
    <w:p w14:paraId="2B0CBE20">
      <w:pPr>
        <w:wordWrap w:val="0"/>
        <w:spacing w:line="360" w:lineRule="auto"/>
        <w:ind w:firstLine="480" w:firstLineChars="200"/>
        <w:rPr>
          <w:rFonts w:ascii="仿宋" w:hAnsi="仿宋" w:eastAsia="仿宋" w:cs="仿宋"/>
          <w:sz w:val="24"/>
        </w:rPr>
      </w:pPr>
      <w:r>
        <w:rPr>
          <w:rFonts w:hint="eastAsia" w:ascii="仿宋" w:hAnsi="仿宋" w:eastAsia="仿宋" w:cs="仿宋"/>
          <w:sz w:val="24"/>
          <w:highlight w:val="white"/>
        </w:rPr>
        <w:t>1、投标人根据《工业和信息化部、国家统计局、国家发展和改革委员会、财政部关于印发中小企业划型标准规定的通知》(工信部联企业(2011)300号)规定，结合自身实际，确定对应的中小企业划型。</w:t>
      </w:r>
    </w:p>
    <w:p w14:paraId="43FC81E0">
      <w:pPr>
        <w:wordWrap w:val="0"/>
        <w:spacing w:line="360" w:lineRule="auto"/>
        <w:ind w:firstLine="480" w:firstLineChars="200"/>
        <w:rPr>
          <w:rFonts w:ascii="仿宋" w:hAnsi="仿宋" w:eastAsia="仿宋" w:cs="仿宋"/>
          <w:sz w:val="24"/>
        </w:rPr>
      </w:pPr>
      <w:r>
        <w:rPr>
          <w:rFonts w:hint="eastAsia" w:ascii="仿宋" w:hAnsi="仿宋" w:eastAsia="仿宋" w:cs="仿宋"/>
          <w:sz w:val="24"/>
          <w:highlight w:val="white"/>
        </w:rPr>
        <w:t>2、营业收入、资产总额填报上一年度数据，无上一年度数据的新成立企业从业人员、营业收入、资产总额填0或不填，根据提交投标文件时的实际情况填写企业类型。“上一年度”时间认定分两种情况。例：招标文件开始下载的时间在6月1日以前的，上一年度是指当年之前的1个年度或当年的上一年之前的1个年度。如某项目招标，招标文件开始下载的时间是2020年5 月1日，“上一年度”是指2019 年度或2018 年度，采用哪个年度，由投标人选择；招标文件开始下载的时间在6 月 1 日以后（含6月1日）的，“上一年度”是指当年之前的1个年度，如某项目招标，招标文件开始下载的时间是 2020 年 6月5日，“上一年度”是指2019年度。</w:t>
      </w:r>
    </w:p>
    <w:p w14:paraId="73DD193D">
      <w:pPr>
        <w:spacing w:line="360" w:lineRule="auto"/>
      </w:pPr>
      <w:r>
        <w:rPr>
          <w:rFonts w:hint="eastAsia" w:ascii="仿宋" w:hAnsi="仿宋" w:eastAsia="仿宋" w:cs="仿宋"/>
          <w:sz w:val="24"/>
          <w:highlight w:val="white"/>
        </w:rPr>
        <w:t>3、若为联合体投标的，联合体所有单位均应属于中小企业，并应分别填写此表。</w:t>
      </w:r>
    </w:p>
    <w:p w14:paraId="781C9F35">
      <w:r>
        <w:rPr>
          <w:highlight w:val="white"/>
        </w:rPr>
        <w:br w:type="page"/>
      </w:r>
    </w:p>
    <w:p w14:paraId="6512509F">
      <w:pPr>
        <w:pStyle w:val="2"/>
        <w:jc w:val="center"/>
        <w:rPr>
          <w:rFonts w:hint="eastAsia" w:ascii="宋体" w:hAnsi="宋体" w:cs="宋体"/>
          <w:bCs w:val="0"/>
          <w:sz w:val="32"/>
          <w:szCs w:val="32"/>
        </w:rPr>
      </w:pPr>
      <w:bookmarkStart w:id="261" w:name="_Toc256000369"/>
      <w:r>
        <w:rPr>
          <w:rFonts w:hint="eastAsia" w:ascii="宋体" w:hAnsi="宋体" w:cs="宋体"/>
          <w:bCs w:val="0"/>
          <w:sz w:val="32"/>
          <w:szCs w:val="32"/>
          <w:highlight w:val="white"/>
        </w:rPr>
        <w:t>第八章  定标方案</w:t>
      </w:r>
      <w:bookmarkEnd w:id="261"/>
    </w:p>
    <w:p w14:paraId="09E661C1">
      <w:pPr>
        <w:rPr>
          <w:rFonts w:hint="eastAsia"/>
          <w:highlight w:val="yellow"/>
        </w:rPr>
      </w:pPr>
      <w:bookmarkStart w:id="262" w:name="EBc4fd887222304fa3b4e904326c7e5d68"/>
      <w:r>
        <w:rPr>
          <w:rFonts w:hint="eastAsia"/>
          <w:color w:val="000080"/>
          <w:sz w:val="20"/>
          <w:highlight w:val="white"/>
        </w:rPr>
        <w:t xml:space="preserve"> </w:t>
      </w:r>
      <w:bookmarkEnd w:id="262"/>
      <w:bookmarkStart w:id="263" w:name="EBdd663ab0a0cb4e02b97c703c365d5c4b"/>
      <w:r>
        <w:rPr>
          <w:rFonts w:hint="eastAsia"/>
          <w:color w:val="000080"/>
          <w:sz w:val="20"/>
          <w:highlight w:val="white"/>
        </w:rPr>
        <w:t xml:space="preserve"> </w:t>
      </w:r>
      <w:bookmarkEnd w:id="263"/>
    </w:p>
    <w:tbl>
      <w:tblPr>
        <w:tblStyle w:val="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370"/>
        <w:gridCol w:w="6438"/>
      </w:tblGrid>
      <w:tr w14:paraId="32BAA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695EA0A4">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序号</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3868D144">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条款名称</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0D262150">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内容</w:t>
            </w:r>
          </w:p>
        </w:tc>
      </w:tr>
      <w:tr w14:paraId="6FEDB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0F2DD8EB">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1</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76353139">
            <w:pPr>
              <w:widowControl w:val="0"/>
              <w:spacing w:line="360" w:lineRule="auto"/>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定标时限</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1DB1ADDD">
            <w:pPr>
              <w:widowControl w:val="0"/>
              <w:wordWrap w:val="0"/>
              <w:spacing w:line="360" w:lineRule="auto"/>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定标时限：</w:t>
            </w:r>
            <w:bookmarkStart w:id="264" w:name="EB4cd7425a4da04124917daf98c4c7cb2a"/>
            <w:r>
              <w:rPr>
                <w:rFonts w:hint="eastAsia" w:ascii="仿宋" w:hAnsi="仿宋" w:eastAsia="仿宋" w:cs="仿宋"/>
                <w:color w:val="0000FF"/>
                <w:kern w:val="2"/>
                <w:sz w:val="24"/>
                <w:szCs w:val="24"/>
                <w:highlight w:val="white"/>
                <w:lang w:val="en-US" w:eastAsia="zh-CN" w:bidi="ar-SA"/>
              </w:rPr>
              <w:t>中标候选人公示期结束之日起20日内完成。</w:t>
            </w:r>
            <w:bookmarkEnd w:id="264"/>
          </w:p>
          <w:p w14:paraId="45BE3E98">
            <w:pPr>
              <w:widowControl w:val="0"/>
              <w:wordWrap w:val="0"/>
              <w:spacing w:line="360" w:lineRule="auto"/>
              <w:jc w:val="both"/>
              <w:rPr>
                <w:rFonts w:ascii="仿宋" w:hAnsi="仿宋" w:eastAsia="仿宋" w:cs="仿宋"/>
                <w:kern w:val="2"/>
                <w:sz w:val="24"/>
                <w:szCs w:val="24"/>
                <w:u w:val="single"/>
                <w:lang w:val="en-US" w:eastAsia="zh-CN" w:bidi="ar-SA"/>
              </w:rPr>
            </w:pPr>
            <w:r>
              <w:rPr>
                <w:rFonts w:hint="eastAsia" w:ascii="仿宋" w:hAnsi="仿宋" w:eastAsia="仿宋" w:cs="仿宋"/>
                <w:bCs/>
                <w:kern w:val="2"/>
                <w:sz w:val="24"/>
                <w:szCs w:val="24"/>
                <w:highlight w:val="white"/>
                <w:lang w:val="en-US" w:eastAsia="zh-CN" w:bidi="ar-SA"/>
              </w:rPr>
              <w:t>注：定标一般应在中标候选人公示期结束之日起20日内完成。</w:t>
            </w:r>
          </w:p>
        </w:tc>
      </w:tr>
      <w:tr w14:paraId="5048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038149ED">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2</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54863C22">
            <w:pPr>
              <w:widowControl w:val="0"/>
              <w:spacing w:line="360" w:lineRule="auto"/>
              <w:jc w:val="both"/>
              <w:rPr>
                <w:rFonts w:ascii="仿宋" w:hAnsi="仿宋" w:eastAsia="仿宋" w:cs="仿宋"/>
                <w:bCs/>
                <w:kern w:val="2"/>
                <w:sz w:val="24"/>
                <w:szCs w:val="24"/>
                <w:lang w:val="en-US" w:eastAsia="zh-CN" w:bidi="ar-SA"/>
              </w:rPr>
            </w:pPr>
            <w:r>
              <w:rPr>
                <w:rFonts w:hint="eastAsia" w:ascii="仿宋" w:hAnsi="仿宋" w:eastAsia="仿宋" w:cs="仿宋"/>
                <w:bCs/>
                <w:kern w:val="2"/>
                <w:sz w:val="24"/>
                <w:szCs w:val="24"/>
                <w:highlight w:val="white"/>
                <w:lang w:val="en-US" w:eastAsia="zh-CN" w:bidi="ar-SA"/>
              </w:rPr>
              <w:t>是否进行中标候选人核查</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550170EB">
            <w:pPr>
              <w:widowControl w:val="0"/>
              <w:wordWrap w:val="0"/>
              <w:spacing w:line="360" w:lineRule="auto"/>
              <w:jc w:val="both"/>
              <w:rPr>
                <w:rFonts w:ascii="仿宋" w:hAnsi="仿宋" w:eastAsia="仿宋" w:cs="仿宋"/>
                <w:kern w:val="2"/>
                <w:sz w:val="24"/>
                <w:szCs w:val="24"/>
                <w:lang w:val="en-US" w:eastAsia="zh-CN" w:bidi="ar-SA"/>
              </w:rPr>
            </w:pPr>
            <w:r>
              <w:rPr>
                <w:rFonts w:hint="eastAsia" w:ascii="仿宋" w:hAnsi="仿宋" w:eastAsia="仿宋" w:cs="仿宋"/>
                <w:color w:val="0000FF"/>
                <w:kern w:val="2"/>
                <w:sz w:val="24"/>
                <w:szCs w:val="24"/>
                <w:highlight w:val="white"/>
                <w:lang w:val="en-US" w:eastAsia="zh-CN" w:bidi="ar-SA"/>
              </w:rPr>
              <w:t>☑</w:t>
            </w:r>
            <w:r>
              <w:rPr>
                <w:rFonts w:hint="eastAsia" w:ascii="仿宋" w:hAnsi="仿宋" w:eastAsia="仿宋" w:cs="仿宋"/>
                <w:kern w:val="2"/>
                <w:sz w:val="24"/>
                <w:szCs w:val="24"/>
                <w:highlight w:val="white"/>
                <w:lang w:val="en-US" w:eastAsia="zh-CN" w:bidi="ar-SA"/>
              </w:rPr>
              <w:t>不进行</w:t>
            </w:r>
          </w:p>
          <w:p w14:paraId="1E1EB8E9">
            <w:pPr>
              <w:widowControl w:val="0"/>
              <w:wordWrap w:val="0"/>
              <w:spacing w:line="360" w:lineRule="auto"/>
              <w:jc w:val="both"/>
              <w:rPr>
                <w:rFonts w:hint="eastAsia" w:ascii="仿宋" w:hAnsi="仿宋" w:eastAsia="仿宋" w:cs="仿宋"/>
                <w:bCs/>
                <w:kern w:val="2"/>
                <w:sz w:val="24"/>
                <w:szCs w:val="24"/>
                <w:u w:val="single"/>
                <w:lang w:val="en-US" w:eastAsia="zh-CN" w:bidi="ar-SA"/>
              </w:rPr>
            </w:pPr>
            <w:r>
              <w:rPr>
                <w:rFonts w:hint="eastAsia" w:ascii="仿宋" w:hAnsi="仿宋" w:eastAsia="仿宋" w:cs="仿宋"/>
                <w:color w:val="0000FF"/>
                <w:kern w:val="2"/>
                <w:sz w:val="24"/>
                <w:szCs w:val="24"/>
                <w:highlight w:val="white"/>
                <w:lang w:val="en-US" w:eastAsia="zh-CN" w:bidi="ar-SA"/>
              </w:rPr>
              <w:t>□</w:t>
            </w:r>
            <w:r>
              <w:rPr>
                <w:rFonts w:hint="eastAsia" w:ascii="仿宋" w:hAnsi="仿宋" w:eastAsia="仿宋" w:cs="仿宋"/>
                <w:kern w:val="2"/>
                <w:sz w:val="24"/>
                <w:szCs w:val="24"/>
                <w:highlight w:val="white"/>
                <w:lang w:val="en-US" w:eastAsia="zh-CN" w:bidi="ar-SA"/>
              </w:rPr>
              <w:t>进行</w:t>
            </w:r>
            <w:r>
              <w:rPr>
                <w:rFonts w:hint="eastAsia" w:ascii="仿宋" w:hAnsi="仿宋" w:eastAsia="仿宋" w:cs="仿宋"/>
                <w:bCs/>
                <w:kern w:val="2"/>
                <w:sz w:val="24"/>
                <w:szCs w:val="24"/>
                <w:highlight w:val="white"/>
                <w:lang w:val="en-US" w:eastAsia="zh-CN" w:bidi="ar-SA"/>
              </w:rPr>
              <w:t xml:space="preserve">  核查的内容：</w:t>
            </w:r>
          </w:p>
          <w:p w14:paraId="11738A15">
            <w:pPr>
              <w:widowControl w:val="0"/>
              <w:wordWrap w:val="0"/>
              <w:spacing w:line="360" w:lineRule="auto"/>
              <w:jc w:val="both"/>
              <w:rPr>
                <w:rFonts w:hint="eastAsia" w:ascii="仿宋" w:hAnsi="仿宋" w:eastAsia="仿宋" w:cs="仿宋"/>
                <w:bCs/>
                <w:kern w:val="2"/>
                <w:sz w:val="24"/>
                <w:szCs w:val="24"/>
                <w:highlight w:val="green"/>
                <w:lang w:val="en-US" w:eastAsia="zh-CN" w:bidi="ar-SA"/>
              </w:rPr>
            </w:pPr>
            <w:bookmarkStart w:id="265" w:name="EBf788981e1d5e452190513550f84ae4b1"/>
            <w:r>
              <w:rPr>
                <w:rFonts w:hint="eastAsia" w:ascii="仿宋" w:hAnsi="仿宋" w:eastAsia="仿宋" w:cs="仿宋"/>
                <w:bCs/>
                <w:color w:val="0000FF"/>
                <w:kern w:val="2"/>
                <w:sz w:val="24"/>
                <w:szCs w:val="24"/>
                <w:highlight w:val="white"/>
                <w:lang w:val="en-US" w:eastAsia="zh-CN" w:bidi="ar-SA"/>
              </w:rPr>
              <w:t>/。</w:t>
            </w:r>
            <w:bookmarkEnd w:id="265"/>
          </w:p>
          <w:p w14:paraId="0155CF8D">
            <w:pPr>
              <w:widowControl w:val="0"/>
              <w:wordWrap w:val="0"/>
              <w:spacing w:line="360" w:lineRule="auto"/>
              <w:ind w:firstLine="480" w:firstLineChars="200"/>
              <w:jc w:val="both"/>
              <w:rPr>
                <w:rFonts w:ascii="仿宋" w:hAnsi="仿宋" w:eastAsia="仿宋" w:cs="仿宋"/>
                <w:b/>
                <w:kern w:val="2"/>
                <w:sz w:val="24"/>
                <w:szCs w:val="24"/>
                <w:lang w:val="en-US" w:eastAsia="zh-CN" w:bidi="ar-SA"/>
              </w:rPr>
            </w:pPr>
            <w:r>
              <w:rPr>
                <w:rFonts w:hint="eastAsia" w:ascii="仿宋" w:hAnsi="仿宋" w:eastAsia="仿宋" w:cs="仿宋"/>
                <w:bCs/>
                <w:kern w:val="2"/>
                <w:sz w:val="24"/>
                <w:szCs w:val="24"/>
                <w:highlight w:val="white"/>
                <w:lang w:val="en-US" w:eastAsia="zh-CN" w:bidi="ar-SA"/>
              </w:rPr>
              <w:t>注：核查可包括信用状况、履约能力、是否受到可能影响履约的行政处罚、是否被标注“资质异常”、是否被安全生产许可预警标注等内容，以及招标人认为需要核查的其他内容。核查应在定标前完成并将相关核查结果作为定标资料提交定标会议。</w:t>
            </w:r>
          </w:p>
        </w:tc>
      </w:tr>
      <w:tr w14:paraId="3F32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6CCF17E3">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3</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71C759FF">
            <w:pPr>
              <w:widowControl w:val="0"/>
              <w:spacing w:line="360" w:lineRule="auto"/>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是否进行现场考察</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7224C102">
            <w:pPr>
              <w:widowControl w:val="0"/>
              <w:wordWrap w:val="0"/>
              <w:spacing w:line="360" w:lineRule="auto"/>
              <w:jc w:val="both"/>
              <w:rPr>
                <w:rFonts w:ascii="仿宋" w:hAnsi="仿宋" w:eastAsia="仿宋" w:cs="仿宋"/>
                <w:bCs/>
                <w:kern w:val="2"/>
                <w:sz w:val="24"/>
                <w:szCs w:val="24"/>
                <w:lang w:val="en-US" w:eastAsia="zh-CN" w:bidi="ar-SA"/>
              </w:rPr>
            </w:pPr>
            <w:bookmarkStart w:id="266" w:name="EBd9424c3065c843ae9f6cc3fec253c91f"/>
            <w:r>
              <w:rPr>
                <w:rFonts w:hint="eastAsia" w:ascii="仿宋" w:hAnsi="仿宋" w:eastAsia="仿宋" w:cs="仿宋"/>
                <w:bCs/>
                <w:color w:val="0000FF"/>
                <w:kern w:val="2"/>
                <w:sz w:val="24"/>
                <w:szCs w:val="24"/>
                <w:highlight w:val="white"/>
                <w:lang w:val="en-US" w:eastAsia="zh-CN" w:bidi="ar-SA"/>
              </w:rPr>
              <w:t>☑</w:t>
            </w:r>
            <w:bookmarkEnd w:id="266"/>
            <w:r>
              <w:rPr>
                <w:rFonts w:hint="eastAsia" w:ascii="仿宋" w:hAnsi="仿宋" w:eastAsia="仿宋" w:cs="仿宋"/>
                <w:bCs/>
                <w:kern w:val="2"/>
                <w:sz w:val="24"/>
                <w:szCs w:val="24"/>
                <w:highlight w:val="white"/>
                <w:lang w:val="en-US" w:eastAsia="zh-CN" w:bidi="ar-SA"/>
              </w:rPr>
              <w:t>不进行</w:t>
            </w:r>
          </w:p>
          <w:p w14:paraId="39522460">
            <w:pPr>
              <w:widowControl w:val="0"/>
              <w:wordWrap w:val="0"/>
              <w:spacing w:line="360" w:lineRule="auto"/>
              <w:jc w:val="both"/>
              <w:rPr>
                <w:rFonts w:hint="eastAsia" w:ascii="仿宋" w:hAnsi="仿宋" w:eastAsia="仿宋" w:cs="仿宋"/>
                <w:bCs/>
                <w:kern w:val="2"/>
                <w:sz w:val="24"/>
                <w:szCs w:val="24"/>
                <w:u w:val="single"/>
                <w:lang w:val="en-US" w:eastAsia="zh-CN" w:bidi="ar-SA"/>
              </w:rPr>
            </w:pPr>
            <w:bookmarkStart w:id="267" w:name="EB1ff9ac8bc7494f718c91f588a4444202"/>
            <w:r>
              <w:rPr>
                <w:rFonts w:hint="eastAsia" w:ascii="仿宋" w:hAnsi="仿宋" w:eastAsia="仿宋" w:cs="仿宋"/>
                <w:bCs/>
                <w:color w:val="0000FF"/>
                <w:kern w:val="2"/>
                <w:sz w:val="24"/>
                <w:szCs w:val="24"/>
                <w:highlight w:val="white"/>
                <w:lang w:val="en-US" w:eastAsia="zh-CN" w:bidi="ar-SA"/>
              </w:rPr>
              <w:t>□</w:t>
            </w:r>
            <w:bookmarkEnd w:id="267"/>
            <w:r>
              <w:rPr>
                <w:rFonts w:hint="eastAsia" w:ascii="仿宋" w:hAnsi="仿宋" w:eastAsia="仿宋" w:cs="仿宋"/>
                <w:bCs/>
                <w:kern w:val="2"/>
                <w:sz w:val="24"/>
                <w:szCs w:val="24"/>
                <w:highlight w:val="white"/>
                <w:lang w:val="en-US" w:eastAsia="zh-CN" w:bidi="ar-SA"/>
              </w:rPr>
              <w:t>进行    考察的内容：</w:t>
            </w:r>
          </w:p>
          <w:p w14:paraId="3FADE2EC">
            <w:pPr>
              <w:widowControl w:val="0"/>
              <w:wordWrap w:val="0"/>
              <w:spacing w:line="360" w:lineRule="auto"/>
              <w:jc w:val="both"/>
              <w:rPr>
                <w:rFonts w:hint="eastAsia" w:ascii="仿宋" w:hAnsi="仿宋" w:eastAsia="仿宋" w:cs="仿宋"/>
                <w:kern w:val="2"/>
                <w:sz w:val="24"/>
                <w:szCs w:val="24"/>
                <w:highlight w:val="green"/>
                <w:lang w:val="en-US" w:eastAsia="zh-CN" w:bidi="ar-SA"/>
              </w:rPr>
            </w:pPr>
            <w:bookmarkStart w:id="268" w:name="EBe0cf1cfb378249f1af3af799a908e575"/>
            <w:bookmarkEnd w:id="268"/>
          </w:p>
          <w:p w14:paraId="13E023AC">
            <w:pPr>
              <w:widowControl w:val="0"/>
              <w:wordWrap w:val="0"/>
              <w:spacing w:line="360" w:lineRule="auto"/>
              <w:ind w:firstLine="480" w:firstLineChars="200"/>
              <w:jc w:val="both"/>
              <w:rPr>
                <w:rFonts w:ascii="仿宋" w:hAnsi="仿宋" w:eastAsia="仿宋" w:cs="仿宋"/>
                <w:bCs/>
                <w:kern w:val="2"/>
                <w:sz w:val="24"/>
                <w:szCs w:val="24"/>
                <w:lang w:val="en-US" w:eastAsia="zh-CN" w:bidi="ar-SA"/>
              </w:rPr>
            </w:pPr>
            <w:r>
              <w:rPr>
                <w:rFonts w:hint="eastAsia" w:ascii="仿宋" w:hAnsi="仿宋" w:eastAsia="仿宋" w:cs="仿宋"/>
                <w:bCs/>
                <w:kern w:val="2"/>
                <w:sz w:val="24"/>
                <w:szCs w:val="24"/>
                <w:highlight w:val="white"/>
                <w:lang w:val="en-US" w:eastAsia="zh-CN" w:bidi="ar-SA"/>
              </w:rPr>
              <w:t>注：开展考察的，应当基于公平原则涵盖所有中标候选人，不得区别对待。考察期间，不得与中标候选人就中标条件、合同实质性内容进行谈判。考察活动应当全过程录音、录像并纳入招标档案统一存档备查。考察应在定标前完成并将相关考察结果作为定标资料提交定标会议。</w:t>
            </w:r>
          </w:p>
        </w:tc>
      </w:tr>
      <w:tr w14:paraId="1D76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5E23F875">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4</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369D351C">
            <w:pPr>
              <w:widowControl w:val="0"/>
              <w:spacing w:line="360" w:lineRule="auto"/>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是否进行拟派项目团队现场答辩</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4ABDAA74">
            <w:pPr>
              <w:widowControl w:val="0"/>
              <w:wordWrap w:val="0"/>
              <w:spacing w:line="360" w:lineRule="auto"/>
              <w:jc w:val="both"/>
              <w:rPr>
                <w:rFonts w:ascii="仿宋" w:hAnsi="仿宋" w:eastAsia="仿宋" w:cs="仿宋"/>
                <w:kern w:val="2"/>
                <w:sz w:val="24"/>
                <w:szCs w:val="24"/>
                <w:lang w:val="en-US" w:eastAsia="zh-CN" w:bidi="ar-SA"/>
              </w:rPr>
            </w:pPr>
            <w:r>
              <w:rPr>
                <w:rFonts w:hint="eastAsia" w:ascii="仿宋" w:hAnsi="仿宋" w:eastAsia="仿宋" w:cs="仿宋"/>
                <w:color w:val="0000FF"/>
                <w:kern w:val="2"/>
                <w:sz w:val="24"/>
                <w:szCs w:val="24"/>
                <w:highlight w:val="white"/>
                <w:lang w:val="en-US" w:eastAsia="zh-CN" w:bidi="ar-SA"/>
              </w:rPr>
              <w:t>☑</w:t>
            </w:r>
            <w:r>
              <w:rPr>
                <w:rFonts w:hint="eastAsia" w:ascii="仿宋" w:hAnsi="仿宋" w:eastAsia="仿宋" w:cs="仿宋"/>
                <w:kern w:val="2"/>
                <w:sz w:val="24"/>
                <w:szCs w:val="24"/>
                <w:highlight w:val="white"/>
                <w:lang w:val="en-US" w:eastAsia="zh-CN" w:bidi="ar-SA"/>
              </w:rPr>
              <w:t>不进行</w:t>
            </w:r>
          </w:p>
          <w:p w14:paraId="32F89636">
            <w:pPr>
              <w:widowControl w:val="0"/>
              <w:wordWrap w:val="0"/>
              <w:spacing w:line="360" w:lineRule="auto"/>
              <w:jc w:val="both"/>
              <w:rPr>
                <w:rFonts w:hint="eastAsia" w:ascii="仿宋" w:hAnsi="仿宋" w:eastAsia="仿宋" w:cs="仿宋"/>
                <w:kern w:val="2"/>
                <w:sz w:val="24"/>
                <w:szCs w:val="24"/>
                <w:u w:val="single"/>
                <w:lang w:val="en-US" w:eastAsia="zh-CN" w:bidi="ar-SA"/>
              </w:rPr>
            </w:pPr>
            <w:r>
              <w:rPr>
                <w:rFonts w:hint="eastAsia" w:ascii="仿宋" w:hAnsi="仿宋" w:eastAsia="仿宋" w:cs="仿宋"/>
                <w:color w:val="0000FF"/>
                <w:kern w:val="2"/>
                <w:sz w:val="24"/>
                <w:szCs w:val="24"/>
                <w:highlight w:val="white"/>
                <w:lang w:val="en-US" w:eastAsia="zh-CN" w:bidi="ar-SA"/>
              </w:rPr>
              <w:t>□</w:t>
            </w:r>
            <w:r>
              <w:rPr>
                <w:rFonts w:hint="eastAsia" w:ascii="仿宋" w:hAnsi="仿宋" w:eastAsia="仿宋" w:cs="仿宋"/>
                <w:kern w:val="2"/>
                <w:sz w:val="24"/>
                <w:szCs w:val="24"/>
                <w:highlight w:val="white"/>
                <w:lang w:val="en-US" w:eastAsia="zh-CN" w:bidi="ar-SA"/>
              </w:rPr>
              <w:t>进行    答辩内容与要求:</w:t>
            </w:r>
          </w:p>
          <w:p w14:paraId="0B98AD35">
            <w:pPr>
              <w:widowControl w:val="0"/>
              <w:wordWrap w:val="0"/>
              <w:spacing w:line="360" w:lineRule="auto"/>
              <w:jc w:val="both"/>
              <w:rPr>
                <w:rFonts w:hint="eastAsia" w:ascii="仿宋" w:hAnsi="仿宋" w:eastAsia="仿宋" w:cs="仿宋"/>
                <w:color w:val="0000FF"/>
                <w:kern w:val="2"/>
                <w:sz w:val="24"/>
                <w:szCs w:val="24"/>
                <w:highlight w:val="white"/>
                <w:lang w:val="en-US" w:eastAsia="zh-CN" w:bidi="ar-SA"/>
              </w:rPr>
            </w:pPr>
            <w:bookmarkStart w:id="269" w:name="EB22108e8bbdaf461f91317c9166b37d6e"/>
            <w:r>
              <w:rPr>
                <w:rFonts w:hint="eastAsia" w:ascii="仿宋" w:hAnsi="仿宋" w:eastAsia="仿宋" w:cs="仿宋"/>
                <w:color w:val="0000FF"/>
                <w:kern w:val="2"/>
                <w:sz w:val="24"/>
                <w:szCs w:val="24"/>
                <w:highlight w:val="white"/>
                <w:lang w:val="en-US" w:eastAsia="zh-CN" w:bidi="ar-SA"/>
              </w:rPr>
              <w:t>/。</w:t>
            </w:r>
            <w:bookmarkEnd w:id="269"/>
          </w:p>
          <w:p w14:paraId="57F87653">
            <w:pPr>
              <w:widowControl w:val="0"/>
              <w:wordWrap w:val="0"/>
              <w:spacing w:line="360" w:lineRule="auto"/>
              <w:ind w:firstLine="480" w:firstLineChars="200"/>
              <w:jc w:val="both"/>
              <w:rPr>
                <w:rFonts w:ascii="仿宋" w:hAnsi="仿宋" w:eastAsia="仿宋" w:cs="仿宋"/>
                <w:b/>
                <w:kern w:val="2"/>
                <w:sz w:val="24"/>
                <w:szCs w:val="24"/>
                <w:lang w:val="en-US" w:eastAsia="zh-CN" w:bidi="ar-SA"/>
              </w:rPr>
            </w:pPr>
            <w:r>
              <w:rPr>
                <w:rFonts w:hint="eastAsia" w:ascii="仿宋" w:hAnsi="仿宋" w:eastAsia="仿宋" w:cs="仿宋"/>
                <w:bCs/>
                <w:kern w:val="2"/>
                <w:sz w:val="24"/>
                <w:szCs w:val="24"/>
                <w:highlight w:val="white"/>
                <w:lang w:val="en-US" w:eastAsia="zh-CN" w:bidi="ar-SA"/>
              </w:rPr>
              <w:t>注：开展答辩的，应当基于公平原则涵盖所有中标候选人，不得区别对待。答辩期间，不得与中标候选人就中标条件、合同实质性内容进行谈判。答辩活动应当全过程录音、录像并纳入招标档案统一存档备查。答辩应在定标前完成并将相关答辩结果作为定标资料提交定标会议。</w:t>
            </w:r>
          </w:p>
        </w:tc>
      </w:tr>
      <w:tr w14:paraId="06185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24D92FE9">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5</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4D11C1AC">
            <w:pPr>
              <w:widowControl w:val="0"/>
              <w:spacing w:line="360" w:lineRule="auto"/>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定标因素</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7FAB8444">
            <w:pPr>
              <w:widowControl w:val="0"/>
              <w:wordWrap w:val="0"/>
              <w:spacing w:line="360" w:lineRule="auto"/>
              <w:jc w:val="both"/>
              <w:rPr>
                <w:rFonts w:hint="eastAsia" w:ascii="仿宋" w:hAnsi="仿宋" w:eastAsia="仿宋" w:cs="仿宋"/>
                <w:kern w:val="2"/>
                <w:sz w:val="24"/>
                <w:szCs w:val="24"/>
                <w:u w:val="single"/>
                <w:lang w:val="en-US" w:eastAsia="zh-CN" w:bidi="ar-SA"/>
              </w:rPr>
            </w:pPr>
            <w:r>
              <w:rPr>
                <w:rFonts w:hint="eastAsia" w:ascii="仿宋" w:hAnsi="仿宋" w:eastAsia="仿宋" w:cs="仿宋"/>
                <w:kern w:val="2"/>
                <w:sz w:val="24"/>
                <w:szCs w:val="24"/>
                <w:highlight w:val="white"/>
                <w:lang w:val="en-US" w:eastAsia="zh-CN" w:bidi="ar-SA"/>
              </w:rPr>
              <w:t>定标因素:</w:t>
            </w:r>
          </w:p>
          <w:p w14:paraId="4E501CEA">
            <w:pPr>
              <w:widowControl w:val="0"/>
              <w:wordWrap w:val="0"/>
              <w:spacing w:line="360" w:lineRule="auto"/>
              <w:jc w:val="both"/>
              <w:rPr>
                <w:rFonts w:ascii="仿宋" w:hAnsi="仿宋" w:eastAsia="仿宋" w:cs="仿宋"/>
                <w:kern w:val="2"/>
                <w:sz w:val="24"/>
                <w:szCs w:val="24"/>
                <w:highlight w:val="green"/>
                <w:lang w:val="en-US" w:eastAsia="zh-CN" w:bidi="ar-SA"/>
              </w:rPr>
            </w:pPr>
            <w:bookmarkStart w:id="270" w:name="EBa40406a773714cbd884033b7b1d5ab0d"/>
            <w:r>
              <w:rPr>
                <w:rFonts w:hint="eastAsia" w:ascii="仿宋" w:hAnsi="仿宋" w:eastAsia="仿宋" w:cs="仿宋"/>
                <w:color w:val="0000FF"/>
                <w:kern w:val="2"/>
                <w:sz w:val="24"/>
                <w:szCs w:val="24"/>
                <w:highlight w:val="white"/>
                <w:lang w:val="en-US" w:eastAsia="zh-CN" w:bidi="ar-SA"/>
              </w:rPr>
              <w:t>根据各中标候选人的价格、企业实力、企业信誉、投标方案、拟派团队能力与水平、评标专家评审意见及招标人认为需要考量的其他合理因素。</w:t>
            </w:r>
            <w:bookmarkEnd w:id="270"/>
          </w:p>
          <w:p w14:paraId="5B9E1803">
            <w:pPr>
              <w:widowControl w:val="0"/>
              <w:wordWrap w:val="0"/>
              <w:spacing w:line="360" w:lineRule="auto"/>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bCs/>
                <w:kern w:val="2"/>
                <w:sz w:val="24"/>
                <w:szCs w:val="24"/>
                <w:highlight w:val="white"/>
                <w:lang w:val="en-US" w:eastAsia="zh-CN" w:bidi="ar-SA"/>
              </w:rPr>
              <w:t>注：（1）招标人应根据项目具体情况选择定标因素，不宜将投标文件编写水平优劣、评标专家评价高低、报价高低作为唯一依据，还应结合项目特征、规模、技术难度等，重点考察企业实力、信用状况、拟派团队管理技术实力等直接关系到履约能力和水平的因素。定标可参考以下要素：价格因素、企业实力、企业信誉、投标方案、拟派团队能力与水平、提供产品服务质量、招标人认为需要考量的其他合理因素。</w:t>
            </w:r>
          </w:p>
          <w:p w14:paraId="0C4A1DF2">
            <w:pPr>
              <w:widowControl w:val="0"/>
              <w:wordWrap w:val="0"/>
              <w:spacing w:line="360" w:lineRule="auto"/>
              <w:ind w:firstLine="480" w:firstLineChars="200"/>
              <w:jc w:val="both"/>
              <w:rPr>
                <w:rFonts w:ascii="仿宋" w:hAnsi="仿宋" w:eastAsia="仿宋" w:cs="仿宋"/>
                <w:kern w:val="2"/>
                <w:sz w:val="24"/>
                <w:szCs w:val="24"/>
                <w:lang w:val="en-US" w:eastAsia="zh-CN" w:bidi="ar-SA"/>
              </w:rPr>
            </w:pPr>
            <w:r>
              <w:rPr>
                <w:rFonts w:hint="eastAsia" w:ascii="仿宋" w:hAnsi="仿宋" w:eastAsia="仿宋" w:cs="仿宋"/>
                <w:bCs/>
                <w:kern w:val="2"/>
                <w:sz w:val="24"/>
                <w:szCs w:val="24"/>
                <w:highlight w:val="white"/>
                <w:lang w:val="en-US" w:eastAsia="zh-CN" w:bidi="ar-SA"/>
              </w:rPr>
              <w:t>（2）仅面向中小企业发包的，在其他定标因素相当的情况下，原则上应优先选择小微建筑企业。</w:t>
            </w:r>
          </w:p>
        </w:tc>
      </w:tr>
      <w:tr w14:paraId="2584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tcBorders>
              <w:top w:val="single" w:color="auto" w:sz="4" w:space="0"/>
              <w:left w:val="single" w:color="auto" w:sz="4" w:space="0"/>
              <w:bottom w:val="single" w:color="auto" w:sz="4" w:space="0"/>
              <w:right w:val="single" w:color="auto" w:sz="4" w:space="0"/>
            </w:tcBorders>
            <w:noWrap w:val="0"/>
            <w:vAlign w:val="center"/>
          </w:tcPr>
          <w:p w14:paraId="19ADB3C0">
            <w:pPr>
              <w:widowControl w:val="0"/>
              <w:spacing w:line="360" w:lineRule="auto"/>
              <w:jc w:val="center"/>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6</w:t>
            </w:r>
          </w:p>
        </w:tc>
        <w:tc>
          <w:tcPr>
            <w:tcW w:w="804" w:type="pct"/>
            <w:tcBorders>
              <w:top w:val="single" w:color="auto" w:sz="4" w:space="0"/>
              <w:left w:val="single" w:color="auto" w:sz="4" w:space="0"/>
              <w:bottom w:val="single" w:color="auto" w:sz="4" w:space="0"/>
              <w:right w:val="single" w:color="auto" w:sz="4" w:space="0"/>
            </w:tcBorders>
            <w:noWrap w:val="0"/>
            <w:vAlign w:val="center"/>
          </w:tcPr>
          <w:p w14:paraId="2DF14D61">
            <w:pPr>
              <w:widowControl w:val="0"/>
              <w:spacing w:line="360" w:lineRule="auto"/>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highlight w:val="white"/>
                <w:lang w:val="en-US" w:eastAsia="zh-CN" w:bidi="ar-SA"/>
              </w:rPr>
              <w:t>定标方式</w:t>
            </w:r>
          </w:p>
        </w:tc>
        <w:tc>
          <w:tcPr>
            <w:tcW w:w="3778" w:type="pct"/>
            <w:tcBorders>
              <w:top w:val="single" w:color="auto" w:sz="4" w:space="0"/>
              <w:left w:val="single" w:color="auto" w:sz="4" w:space="0"/>
              <w:bottom w:val="single" w:color="auto" w:sz="4" w:space="0"/>
              <w:right w:val="single" w:color="auto" w:sz="4" w:space="0"/>
            </w:tcBorders>
            <w:noWrap w:val="0"/>
            <w:vAlign w:val="center"/>
          </w:tcPr>
          <w:p w14:paraId="31A9F3CD">
            <w:pPr>
              <w:widowControl w:val="0"/>
              <w:wordWrap w:val="0"/>
              <w:spacing w:line="360" w:lineRule="auto"/>
              <w:jc w:val="both"/>
              <w:rPr>
                <w:rFonts w:ascii="仿宋" w:hAnsi="仿宋" w:eastAsia="仿宋" w:cs="仿宋"/>
                <w:kern w:val="2"/>
                <w:sz w:val="24"/>
                <w:szCs w:val="24"/>
                <w:lang w:val="en-US" w:eastAsia="zh-CN" w:bidi="ar-SA"/>
              </w:rPr>
            </w:pPr>
            <w:bookmarkStart w:id="271" w:name="EB107cb2af6f95423992313b65d24e9f81"/>
            <w:r>
              <w:rPr>
                <w:rFonts w:hint="eastAsia" w:ascii="仿宋" w:hAnsi="仿宋" w:eastAsia="仿宋" w:cs="仿宋"/>
                <w:color w:val="0000FF"/>
                <w:kern w:val="2"/>
                <w:sz w:val="24"/>
                <w:szCs w:val="24"/>
                <w:highlight w:val="white"/>
                <w:lang w:val="en-US" w:eastAsia="zh-CN" w:bidi="ar-SA"/>
              </w:rPr>
              <w:t>□</w:t>
            </w:r>
            <w:bookmarkEnd w:id="271"/>
            <w:r>
              <w:rPr>
                <w:rFonts w:hint="eastAsia" w:ascii="仿宋" w:hAnsi="仿宋" w:eastAsia="仿宋" w:cs="仿宋"/>
                <w:kern w:val="2"/>
                <w:sz w:val="24"/>
                <w:szCs w:val="24"/>
                <w:highlight w:val="white"/>
                <w:lang w:val="en-US" w:eastAsia="zh-CN" w:bidi="ar-SA"/>
              </w:rPr>
              <w:t>招标人领导班子（党政机关、事业单位、团体组织的党委、党组，国有及国有控股企业相应“三重一大”决策层级）集体决策</w:t>
            </w:r>
          </w:p>
          <w:p w14:paraId="3A6734C0">
            <w:pPr>
              <w:widowControl w:val="0"/>
              <w:wordWrap w:val="0"/>
              <w:spacing w:line="360" w:lineRule="auto"/>
              <w:jc w:val="both"/>
              <w:rPr>
                <w:rFonts w:hint="default" w:ascii="仿宋" w:hAnsi="仿宋" w:eastAsia="仿宋" w:cs="仿宋"/>
                <w:color w:val="0000FF"/>
                <w:kern w:val="2"/>
                <w:sz w:val="24"/>
                <w:szCs w:val="24"/>
                <w:highlight w:val="white"/>
                <w:lang w:val="en-US" w:eastAsia="zh-CN" w:bidi="ar-SA"/>
              </w:rPr>
            </w:pPr>
            <w:r>
              <w:rPr>
                <w:rFonts w:hint="eastAsia" w:ascii="仿宋" w:hAnsi="仿宋" w:eastAsia="仿宋" w:cs="仿宋"/>
                <w:color w:val="0000FF"/>
                <w:kern w:val="2"/>
                <w:sz w:val="24"/>
                <w:szCs w:val="24"/>
                <w:highlight w:val="white"/>
                <w:lang w:val="en-US" w:eastAsia="zh-CN" w:bidi="ar-SA"/>
              </w:rPr>
              <w:t>根据定标因素确定</w:t>
            </w:r>
          </w:p>
          <w:p w14:paraId="22A4CAB9">
            <w:pPr>
              <w:widowControl w:val="0"/>
              <w:wordWrap w:val="0"/>
              <w:spacing w:line="360" w:lineRule="auto"/>
              <w:jc w:val="both"/>
              <w:rPr>
                <w:rFonts w:hint="eastAsia" w:ascii="仿宋" w:hAnsi="仿宋" w:eastAsia="仿宋" w:cs="仿宋"/>
                <w:kern w:val="2"/>
                <w:sz w:val="24"/>
                <w:szCs w:val="24"/>
                <w:lang w:val="en-US" w:eastAsia="zh-CN" w:bidi="ar-SA"/>
              </w:rPr>
            </w:pPr>
            <w:r>
              <w:rPr>
                <w:rFonts w:hint="eastAsia" w:ascii="仿宋" w:hAnsi="仿宋" w:eastAsia="仿宋" w:cs="仿宋"/>
                <w:color w:val="0000FF"/>
                <w:kern w:val="2"/>
                <w:sz w:val="24"/>
                <w:szCs w:val="24"/>
                <w:highlight w:val="white"/>
                <w:lang w:val="en-US" w:eastAsia="zh-CN" w:bidi="ar-SA"/>
              </w:rPr>
              <w:t>□</w:t>
            </w:r>
            <w:r>
              <w:rPr>
                <w:rFonts w:hint="eastAsia" w:ascii="仿宋" w:hAnsi="仿宋" w:eastAsia="仿宋" w:cs="仿宋"/>
                <w:kern w:val="2"/>
                <w:sz w:val="24"/>
                <w:szCs w:val="24"/>
                <w:highlight w:val="white"/>
                <w:lang w:val="en-US" w:eastAsia="zh-CN" w:bidi="ar-SA"/>
              </w:rPr>
              <w:t>组建定标委员会确定（</w:t>
            </w:r>
            <w:r>
              <w:rPr>
                <w:rFonts w:hint="eastAsia" w:ascii="仿宋" w:hAnsi="仿宋" w:eastAsia="仿宋" w:cs="仿宋"/>
                <w:color w:val="0000FF"/>
                <w:kern w:val="2"/>
                <w:sz w:val="24"/>
                <w:szCs w:val="24"/>
                <w:highlight w:val="white"/>
                <w:lang w:val="en-US" w:eastAsia="zh-CN" w:bidi="ar-SA"/>
              </w:rPr>
              <w:t>□</w:t>
            </w:r>
            <w:r>
              <w:rPr>
                <w:rFonts w:hint="eastAsia" w:ascii="仿宋" w:hAnsi="仿宋" w:eastAsia="仿宋" w:cs="仿宋"/>
                <w:kern w:val="2"/>
                <w:sz w:val="24"/>
                <w:szCs w:val="24"/>
                <w:highlight w:val="white"/>
                <w:lang w:val="en-US" w:eastAsia="zh-CN" w:bidi="ar-SA"/>
              </w:rPr>
              <w:t xml:space="preserve">直接票决制 </w:t>
            </w:r>
            <w:bookmarkStart w:id="272" w:name="EB010ebd89f7fd43dea966a109784ac503"/>
            <w:r>
              <w:rPr>
                <w:rFonts w:hint="eastAsia" w:ascii="仿宋" w:hAnsi="仿宋" w:eastAsia="仿宋" w:cs="仿宋"/>
                <w:color w:val="0000FF"/>
                <w:kern w:val="2"/>
                <w:sz w:val="24"/>
                <w:szCs w:val="24"/>
                <w:highlight w:val="white"/>
                <w:lang w:val="en-US" w:eastAsia="zh-CN" w:bidi="ar-SA"/>
              </w:rPr>
              <w:t>□</w:t>
            </w:r>
            <w:bookmarkEnd w:id="272"/>
            <w:r>
              <w:rPr>
                <w:rFonts w:hint="eastAsia" w:ascii="仿宋" w:hAnsi="仿宋" w:eastAsia="仿宋" w:cs="仿宋"/>
                <w:kern w:val="2"/>
                <w:sz w:val="24"/>
                <w:szCs w:val="24"/>
                <w:highlight w:val="white"/>
                <w:lang w:val="en-US" w:eastAsia="zh-CN" w:bidi="ar-SA"/>
              </w:rPr>
              <w:t xml:space="preserve">逐轮票决制 </w:t>
            </w:r>
            <w:bookmarkStart w:id="273" w:name="EB532f7eb0c4184387a93401a3e28812bb"/>
            <w:r>
              <w:rPr>
                <w:rFonts w:hint="eastAsia" w:ascii="仿宋" w:hAnsi="仿宋" w:eastAsia="仿宋" w:cs="仿宋"/>
                <w:color w:val="0000FF"/>
                <w:kern w:val="2"/>
                <w:sz w:val="24"/>
                <w:szCs w:val="24"/>
                <w:highlight w:val="white"/>
                <w:lang w:val="en-US" w:eastAsia="zh-CN" w:bidi="ar-SA"/>
              </w:rPr>
              <w:t>□</w:t>
            </w:r>
            <w:bookmarkEnd w:id="273"/>
            <w:r>
              <w:rPr>
                <w:rFonts w:hint="eastAsia" w:ascii="仿宋" w:hAnsi="仿宋" w:eastAsia="仿宋" w:cs="仿宋"/>
                <w:kern w:val="2"/>
                <w:sz w:val="24"/>
                <w:szCs w:val="24"/>
                <w:highlight w:val="white"/>
                <w:lang w:val="en-US" w:eastAsia="zh-CN" w:bidi="ar-SA"/>
              </w:rPr>
              <w:t>其他）</w:t>
            </w:r>
          </w:p>
          <w:p w14:paraId="495FC52C">
            <w:pPr>
              <w:widowControl w:val="0"/>
              <w:wordWrap w:val="0"/>
              <w:spacing w:line="360" w:lineRule="auto"/>
              <w:jc w:val="both"/>
              <w:rPr>
                <w:rFonts w:hint="eastAsia" w:ascii="仿宋" w:hAnsi="仿宋" w:eastAsia="仿宋" w:cs="仿宋"/>
                <w:kern w:val="2"/>
                <w:sz w:val="24"/>
                <w:szCs w:val="24"/>
                <w:highlight w:val="green"/>
                <w:lang w:val="en-US" w:eastAsia="zh-CN" w:bidi="ar-SA"/>
              </w:rPr>
            </w:pPr>
            <w:bookmarkStart w:id="274" w:name="EBe9b9860a9b6e43218dbb08d64a38316d"/>
            <w:r>
              <w:rPr>
                <w:rFonts w:hint="eastAsia" w:ascii="仿宋" w:hAnsi="仿宋" w:eastAsia="仿宋" w:cs="仿宋"/>
                <w:color w:val="0000FF"/>
                <w:kern w:val="2"/>
                <w:sz w:val="24"/>
                <w:szCs w:val="24"/>
                <w:highlight w:val="white"/>
                <w:lang w:val="en-US" w:eastAsia="zh-CN" w:bidi="ar-SA"/>
              </w:rPr>
              <w:t>/。</w:t>
            </w:r>
            <w:bookmarkEnd w:id="274"/>
          </w:p>
          <w:p w14:paraId="34E18A83">
            <w:pPr>
              <w:widowControl w:val="0"/>
              <w:wordWrap w:val="0"/>
              <w:spacing w:line="360" w:lineRule="auto"/>
              <w:jc w:val="both"/>
              <w:rPr>
                <w:rFonts w:hint="eastAsia" w:ascii="仿宋" w:hAnsi="仿宋" w:eastAsia="仿宋" w:cs="仿宋"/>
                <w:kern w:val="2"/>
                <w:sz w:val="24"/>
                <w:szCs w:val="24"/>
                <w:u w:val="single"/>
                <w:lang w:val="en-US" w:eastAsia="zh-CN" w:bidi="ar-SA"/>
              </w:rPr>
            </w:pPr>
            <w:r>
              <w:rPr>
                <w:rFonts w:hint="eastAsia" w:ascii="仿宋" w:hAnsi="仿宋" w:eastAsia="仿宋" w:cs="仿宋"/>
                <w:kern w:val="2"/>
                <w:sz w:val="24"/>
                <w:szCs w:val="24"/>
                <w:highlight w:val="white"/>
                <w:lang w:val="en-US" w:eastAsia="zh-CN" w:bidi="ar-SA"/>
              </w:rPr>
              <w:t>定标委员会组成:</w:t>
            </w:r>
            <w:bookmarkStart w:id="275" w:name="EB3d8d95d941864506b3b85c9fc9bdd271"/>
            <w:r>
              <w:rPr>
                <w:rFonts w:hint="eastAsia" w:ascii="仿宋" w:hAnsi="仿宋" w:eastAsia="仿宋" w:cs="仿宋"/>
                <w:color w:val="0000FF"/>
                <w:kern w:val="2"/>
                <w:sz w:val="24"/>
                <w:szCs w:val="24"/>
                <w:highlight w:val="white"/>
                <w:lang w:val="en-US" w:eastAsia="zh-CN" w:bidi="ar-SA"/>
              </w:rPr>
              <w:t>/。</w:t>
            </w:r>
            <w:bookmarkEnd w:id="275"/>
          </w:p>
          <w:p w14:paraId="5259FCE4">
            <w:pPr>
              <w:widowControl w:val="0"/>
              <w:wordWrap w:val="0"/>
              <w:spacing w:line="360" w:lineRule="auto"/>
              <w:jc w:val="both"/>
              <w:rPr>
                <w:rFonts w:hint="eastAsia" w:ascii="仿宋" w:hAnsi="仿宋" w:eastAsia="仿宋" w:cs="仿宋"/>
                <w:kern w:val="2"/>
                <w:sz w:val="24"/>
                <w:szCs w:val="24"/>
                <w:u w:val="single"/>
                <w:lang w:val="en-US" w:eastAsia="zh-CN" w:bidi="ar-SA"/>
              </w:rPr>
            </w:pPr>
            <w:r>
              <w:rPr>
                <w:rFonts w:hint="eastAsia" w:ascii="仿宋" w:hAnsi="仿宋" w:eastAsia="仿宋" w:cs="仿宋"/>
                <w:kern w:val="2"/>
                <w:sz w:val="24"/>
                <w:szCs w:val="24"/>
                <w:highlight w:val="white"/>
                <w:lang w:val="en-US" w:eastAsia="zh-CN" w:bidi="ar-SA"/>
              </w:rPr>
              <w:t>数量:</w:t>
            </w:r>
            <w:bookmarkStart w:id="276" w:name="EBcf17deccf4614e9ebd65ee17a149489a"/>
            <w:r>
              <w:rPr>
                <w:rFonts w:hint="eastAsia" w:ascii="仿宋" w:hAnsi="仿宋" w:eastAsia="仿宋" w:cs="仿宋"/>
                <w:color w:val="0000FF"/>
                <w:kern w:val="2"/>
                <w:sz w:val="24"/>
                <w:szCs w:val="24"/>
                <w:highlight w:val="white"/>
                <w:lang w:val="en-US" w:eastAsia="zh-CN" w:bidi="ar-SA"/>
              </w:rPr>
              <w:t>/。</w:t>
            </w:r>
            <w:bookmarkEnd w:id="276"/>
          </w:p>
          <w:p w14:paraId="222075CE">
            <w:pPr>
              <w:widowControl w:val="0"/>
              <w:wordWrap w:val="0"/>
              <w:spacing w:line="360" w:lineRule="auto"/>
              <w:jc w:val="both"/>
              <w:rPr>
                <w:rFonts w:hint="eastAsia" w:ascii="仿宋" w:hAnsi="仿宋" w:eastAsia="仿宋" w:cs="仿宋"/>
                <w:kern w:val="2"/>
                <w:sz w:val="24"/>
                <w:szCs w:val="24"/>
                <w:u w:val="single"/>
                <w:lang w:val="en-US" w:eastAsia="zh-CN" w:bidi="ar-SA"/>
              </w:rPr>
            </w:pPr>
            <w:r>
              <w:rPr>
                <w:rFonts w:hint="eastAsia" w:ascii="仿宋" w:hAnsi="仿宋" w:eastAsia="仿宋" w:cs="仿宋"/>
                <w:kern w:val="2"/>
                <w:sz w:val="24"/>
                <w:szCs w:val="24"/>
                <w:highlight w:val="white"/>
                <w:lang w:val="en-US" w:eastAsia="zh-CN" w:bidi="ar-SA"/>
              </w:rPr>
              <w:t>定标委员会成员应当回避的具体情形：</w:t>
            </w:r>
          </w:p>
          <w:p w14:paraId="4D93DF9D">
            <w:pPr>
              <w:widowControl w:val="0"/>
              <w:wordWrap w:val="0"/>
              <w:spacing w:line="360" w:lineRule="auto"/>
              <w:jc w:val="both"/>
              <w:rPr>
                <w:rFonts w:hint="eastAsia" w:ascii="仿宋" w:hAnsi="仿宋" w:eastAsia="仿宋" w:cs="仿宋"/>
                <w:kern w:val="2"/>
                <w:sz w:val="24"/>
                <w:szCs w:val="24"/>
                <w:highlight w:val="green"/>
                <w:lang w:val="en-US" w:eastAsia="zh-CN" w:bidi="ar-SA"/>
              </w:rPr>
            </w:pPr>
            <w:bookmarkStart w:id="277" w:name="EBc44b3a00ca604446879aad926a6030c6"/>
            <w:r>
              <w:rPr>
                <w:rFonts w:hint="eastAsia" w:ascii="仿宋" w:hAnsi="仿宋" w:eastAsia="仿宋" w:cs="仿宋"/>
                <w:color w:val="0000FF"/>
                <w:kern w:val="2"/>
                <w:sz w:val="24"/>
                <w:szCs w:val="24"/>
                <w:highlight w:val="white"/>
                <w:lang w:val="en-US" w:eastAsia="zh-CN" w:bidi="ar-SA"/>
              </w:rPr>
              <w:t>/。</w:t>
            </w:r>
            <w:bookmarkEnd w:id="277"/>
          </w:p>
          <w:p w14:paraId="05C1D054">
            <w:pPr>
              <w:widowControl w:val="0"/>
              <w:wordWrap w:val="0"/>
              <w:spacing w:line="360" w:lineRule="auto"/>
              <w:ind w:firstLine="480" w:firstLineChars="200"/>
              <w:jc w:val="both"/>
              <w:rPr>
                <w:rFonts w:ascii="仿宋" w:hAnsi="仿宋" w:eastAsia="仿宋" w:cs="仿宋"/>
                <w:b/>
                <w:kern w:val="2"/>
                <w:sz w:val="24"/>
                <w:szCs w:val="24"/>
                <w:lang w:val="en-US" w:eastAsia="zh-CN" w:bidi="ar-SA"/>
              </w:rPr>
            </w:pPr>
            <w:r>
              <w:rPr>
                <w:rFonts w:hint="eastAsia" w:ascii="仿宋" w:hAnsi="仿宋" w:eastAsia="仿宋" w:cs="仿宋"/>
                <w:bCs/>
                <w:kern w:val="2"/>
                <w:sz w:val="24"/>
                <w:szCs w:val="24"/>
                <w:highlight w:val="white"/>
                <w:lang w:val="en-US" w:eastAsia="zh-CN" w:bidi="ar-SA"/>
              </w:rPr>
              <w:t>注：全市依法必须招标的国家投资工程建设项目，除技术复杂、存在特殊要求外，招标控制价在5000万元以下的施工项目（标段）面向建筑业中小企业发包且原则上3000万元以下的优先发包给小微建筑企业，宜通过招标人议事决策机制直接定标。项目规模较大、技术较为复杂的项目，招标人可以组建定标委员会负责定标事宜。</w:t>
            </w:r>
          </w:p>
        </w:tc>
      </w:tr>
    </w:tbl>
    <w:p w14:paraId="5D464194">
      <w:pPr>
        <w:spacing w:line="360" w:lineRule="auto"/>
        <w:rPr>
          <w:rFonts w:ascii="仿宋" w:hAnsi="仿宋" w:eastAsia="仿宋" w:cs="仿宋"/>
          <w:bCs/>
          <w:sz w:val="24"/>
          <w:szCs w:val="24"/>
        </w:rPr>
      </w:pPr>
      <w:r>
        <w:rPr>
          <w:rFonts w:hint="eastAsia" w:ascii="仿宋" w:hAnsi="仿宋" w:eastAsia="仿宋" w:cs="仿宋"/>
          <w:bCs/>
          <w:sz w:val="24"/>
          <w:szCs w:val="24"/>
          <w:highlight w:val="white"/>
        </w:rPr>
        <w:t>注：招标人应结合项目实际编制定标方案，具体要求详见《四川省发展和改革委员会等部门关于扩面推广工程建设项目招标投标中标候选人评定分离机制的通知》。</w:t>
      </w:r>
    </w:p>
    <w:p w14:paraId="47F062F9">
      <w:pPr>
        <w:rPr>
          <w:highlight w:val="cyan"/>
        </w:rPr>
      </w:pPr>
      <w:bookmarkStart w:id="278" w:name="EBe14475c6ed0c41edb5b9374ddaa7d545"/>
      <w:r>
        <w:rPr>
          <w:rFonts w:hint="eastAsia"/>
          <w:color w:val="000080"/>
          <w:sz w:val="20"/>
          <w:highlight w:val="white"/>
        </w:rPr>
        <w:t xml:space="preserve"> </w:t>
      </w:r>
      <w:bookmarkEnd w:id="278"/>
    </w:p>
    <w:sectPr>
      <w:headerReference r:id="rId6" w:type="default"/>
      <w:footerReference r:id="rId7" w:type="default"/>
      <w:pgSz w:w="11906" w:h="16838"/>
      <w:pgMar w:top="1440" w:right="1800" w:bottom="1440" w:left="1800"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柳" w:date="2026-10-17T20:59:17Z" w:initials="">
    <w:p w14:paraId="47D7179F">
      <w:pPr>
        <w:pStyle w:val="9"/>
      </w:pPr>
      <w:r>
        <w:annotationRef/>
      </w:r>
    </w:p>
  </w:comment>
  <w:comment w:id="1" w:author="柳" w:date="2026-10-17T20:58:53Z" w:initials="">
    <w:p w14:paraId="7BC6C853">
      <w:pPr>
        <w:pStyle w:val="9"/>
      </w:pPr>
      <w:r>
        <w:annotationRef/>
      </w:r>
    </w:p>
  </w:comment>
  <w:comment w:id="2" w:author="柳" w:date="2026-10-17T20:59:08Z" w:initials="">
    <w:p w14:paraId="6AA81ECE">
      <w:pPr>
        <w:pStyle w:val="9"/>
      </w:pPr>
      <w: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7D7179F" w15:done="0"/>
  <w15:commentEx w15:paraId="7BC6C853" w15:done="1"/>
  <w15:commentEx w15:paraId="6AA81ECE" w15:done="1"/>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CC"/>
    <w:family w:val="swiss"/>
    <w:pitch w:val="default"/>
    <w:sig w:usb0="E0002EFF" w:usb1="C000785B" w:usb2="00000009" w:usb3="00000000" w:csb0="400001FF" w:csb1="FFFF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Times">
    <w:altName w:val="Times New Roman"/>
    <w:panose1 w:val="02020603050405020304"/>
    <w:charset w:val="00"/>
    <w:family w:val="roman"/>
    <w:pitch w:val="default"/>
    <w:sig w:usb0="E0002EFF" w:usb1="C000785B" w:usb2="00000009" w:usb3="00000000" w:csb0="000001FF" w:csb1="00000000"/>
  </w:font>
  <w:font w:name="仿宋_GB2312">
    <w:altName w:val="仿宋"/>
    <w:panose1 w:val="00000000000000000000"/>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PMingLiU">
    <w:altName w:val="PMingLiU-ExtB"/>
    <w:panose1 w:val="02020500000000000000"/>
    <w:charset w:val="88"/>
    <w:family w:val="roman"/>
    <w:pitch w:val="default"/>
    <w:sig w:usb0="00000000" w:usb1="00000000" w:usb2="00000016" w:usb3="00000000" w:csb0="00100001" w:csb1="00000000"/>
  </w:font>
  <w:font w:name="KSOFE44F9426">
    <w:panose1 w:val="02010609060101010101"/>
    <w:charset w:val="86"/>
    <w:family w:val="auto"/>
    <w:pitch w:val="default"/>
    <w:sig w:usb0="00000001"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7A079">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12A7DA">
                          <w:pPr>
                            <w:pStyle w:val="24"/>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lang/>
                            </w:rPr>
                            <w:t>1</w:t>
                          </w:r>
                          <w:r>
                            <w:rPr>
                              <w:rFonts w:hint="eastAsi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JkM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4MUmQyQEAAJkDAAAOAAAAAAAAAAEAIAAAAB4BAABkcnMvZTJvRG9j&#10;LnhtbFBLBQYAAAAABgAGAFkBAABZBQAAAAA=&#10;">
              <v:fill on="f" focussize="0,0"/>
              <v:stroke on="f"/>
              <v:imagedata o:title=""/>
              <o:lock v:ext="edit" aspectratio="f"/>
              <v:textbox inset="0mm,0mm,0mm,0mm" style="mso-fit-shape-to-text:t;">
                <w:txbxContent>
                  <w:p w14:paraId="4112A7DA">
                    <w:pPr>
                      <w:pStyle w:val="24"/>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lang/>
                      </w:rP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A22C6">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1150" cy="302895"/>
              <wp:effectExtent l="0" t="0" r="0" b="0"/>
              <wp:wrapNone/>
              <wp:docPr id="4" name="文本框 10"/>
              <wp:cNvGraphicFramePr/>
              <a:graphic xmlns:a="http://schemas.openxmlformats.org/drawingml/2006/main">
                <a:graphicData uri="http://schemas.microsoft.com/office/word/2010/wordprocessingShape">
                  <wps:wsp>
                    <wps:cNvSpPr txBox="1"/>
                    <wps:spPr>
                      <a:xfrm>
                        <a:off x="0" y="0"/>
                        <a:ext cx="311150" cy="302895"/>
                      </a:xfrm>
                      <a:prstGeom prst="rect">
                        <a:avLst/>
                      </a:prstGeom>
                      <a:noFill/>
                      <a:ln>
                        <a:noFill/>
                      </a:ln>
                    </wps:spPr>
                    <wps:txbx>
                      <w:txbxContent>
                        <w:p w14:paraId="16BEEAEC">
                          <w:pPr>
                            <w:pStyle w:val="24"/>
                            <w:rPr>
                              <w:rStyle w:val="37"/>
                            </w:rPr>
                          </w:pPr>
                          <w:r>
                            <w:fldChar w:fldCharType="begin"/>
                          </w:r>
                          <w:r>
                            <w:rPr>
                              <w:rStyle w:val="37"/>
                              <w:highlight w:val="white"/>
                            </w:rPr>
                            <w:instrText xml:space="preserve">PAGE  </w:instrText>
                          </w:r>
                          <w:r>
                            <w:fldChar w:fldCharType="separate"/>
                          </w:r>
                          <w:r>
                            <w:rPr>
                              <w:rStyle w:val="37"/>
                              <w:highlight w:val="white"/>
                            </w:rPr>
                            <w:t>323</w:t>
                          </w:r>
                          <w:r>
                            <w:fldChar w:fldCharType="end"/>
                          </w:r>
                        </w:p>
                      </w:txbxContent>
                    </wps:txbx>
                    <wps:bodyPr wrap="square" lIns="0" tIns="0" rIns="0" bIns="0" upright="1"/>
                  </wps:wsp>
                </a:graphicData>
              </a:graphic>
            </wp:anchor>
          </w:drawing>
        </mc:Choice>
        <mc:Fallback>
          <w:pict>
            <v:shape id="文本框 10" o:spid="_x0000_s1026" o:spt="202" type="#_x0000_t202" style="position:absolute;left:0pt;margin-top:0pt;height:23.85pt;width:24.5pt;mso-position-horizontal:center;mso-position-horizontal-relative:margin;z-index:251660288;mso-width-relative:page;mso-height-relative:page;" filled="f" stroked="f" coordsize="21600,21600" o:gfxdata="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VceXU0wAAAAMBAAAPAAAAAAAAAAEAIAAAACIAAABkcnMvZG93bnJldi54bWxQ&#10;SwECFAAUAAAACACHTuJA8u/RosMBAACAAwAADgAAAAAAAAABACAAAAAiAQAAZHJzL2Uyb0RvYy54&#10;bWxQSwUGAAAAAAYABgBZAQAAVwUAAAAA&#10;">
              <v:fill on="f" focussize="0,0"/>
              <v:stroke on="f"/>
              <v:imagedata o:title=""/>
              <o:lock v:ext="edit" aspectratio="f"/>
              <v:textbox inset="0mm,0mm,0mm,0mm">
                <w:txbxContent>
                  <w:p w14:paraId="16BEEAEC">
                    <w:pPr>
                      <w:pStyle w:val="24"/>
                      <w:rPr>
                        <w:rStyle w:val="37"/>
                      </w:rPr>
                    </w:pPr>
                    <w:r>
                      <w:fldChar w:fldCharType="begin"/>
                    </w:r>
                    <w:r>
                      <w:rPr>
                        <w:rStyle w:val="37"/>
                        <w:highlight w:val="white"/>
                      </w:rPr>
                      <w:instrText xml:space="preserve">PAGE  </w:instrText>
                    </w:r>
                    <w:r>
                      <w:fldChar w:fldCharType="separate"/>
                    </w:r>
                    <w:r>
                      <w:rPr>
                        <w:rStyle w:val="37"/>
                        <w:highlight w:val="white"/>
                      </w:rPr>
                      <w:t>323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B65C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5F631"/>
    <w:multiLevelType w:val="singleLevel"/>
    <w:tmpl w:val="B595F631"/>
    <w:lvl w:ilvl="0" w:tentative="0">
      <w:start w:val="5"/>
      <w:numFmt w:val="decimal"/>
      <w:suff w:val="space"/>
      <w:lvlText w:val="%1."/>
      <w:lvlJc w:val="left"/>
    </w:lvl>
  </w:abstractNum>
  <w:abstractNum w:abstractNumId="1">
    <w:nsid w:val="E3D775E0"/>
    <w:multiLevelType w:val="singleLevel"/>
    <w:tmpl w:val="E3D775E0"/>
    <w:lvl w:ilvl="0" w:tentative="0">
      <w:start w:val="4"/>
      <w:numFmt w:val="chineseCounting"/>
      <w:suff w:val="space"/>
      <w:lvlText w:val="第%1章"/>
      <w:lvlJc w:val="left"/>
      <w:rPr>
        <w:rFonts w:hint="eastAsia"/>
      </w:rPr>
    </w:lvl>
  </w:abstractNum>
  <w:abstractNum w:abstractNumId="2">
    <w:nsid w:val="12CDF984"/>
    <w:multiLevelType w:val="singleLevel"/>
    <w:tmpl w:val="12CDF984"/>
    <w:lvl w:ilvl="0" w:tentative="0">
      <w:start w:val="1"/>
      <w:numFmt w:val="decimal"/>
      <w:suff w:val="nothing"/>
      <w:lvlText w:val="%1、"/>
      <w:lvlJc w:val="left"/>
    </w:lvl>
  </w:abstractNum>
  <w:abstractNum w:abstractNumId="3">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4">
    <w:nsid w:val="2B0D31AB"/>
    <w:multiLevelType w:val="singleLevel"/>
    <w:tmpl w:val="2B0D31AB"/>
    <w:lvl w:ilvl="0" w:tentative="0">
      <w:start w:val="1"/>
      <w:numFmt w:val="decimal"/>
      <w:suff w:val="nothing"/>
      <w:lvlText w:val="%1、"/>
      <w:lvlJc w:val="left"/>
    </w:lvl>
  </w:abstractNum>
  <w:abstractNum w:abstractNumId="5">
    <w:nsid w:val="3AA800C6"/>
    <w:multiLevelType w:val="multilevel"/>
    <w:tmpl w:val="3AA800C6"/>
    <w:lvl w:ilvl="0" w:tentative="0">
      <w:start w:val="1"/>
      <w:numFmt w:val="decimal"/>
      <w:pStyle w:val="65"/>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6">
    <w:nsid w:val="62687BB6"/>
    <w:multiLevelType w:val="multilevel"/>
    <w:tmpl w:val="62687BB6"/>
    <w:lvl w:ilvl="0" w:tentative="0">
      <w:start w:val="1"/>
      <w:numFmt w:val="decimal"/>
      <w:pStyle w:val="73"/>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7">
    <w:nsid w:val="6E87019F"/>
    <w:multiLevelType w:val="multilevel"/>
    <w:tmpl w:val="6E87019F"/>
    <w:lvl w:ilvl="0" w:tentative="0">
      <w:start w:val="1"/>
      <w:numFmt w:val="chineseCountingThousand"/>
      <w:pStyle w:val="67"/>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
    <w:nsid w:val="6E8701A0"/>
    <w:multiLevelType w:val="multilevel"/>
    <w:tmpl w:val="6E8701A0"/>
    <w:lvl w:ilvl="0" w:tentative="0">
      <w:start w:val="4"/>
      <w:numFmt w:val="chineseCounting"/>
      <w:suff w:val="space"/>
      <w:lvlText w:val="第%1章"/>
      <w:lvlJc w:val="left"/>
      <w:rPr>
        <w:rFonts w:hint="eastAsia"/>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E8701A1"/>
    <w:multiLevelType w:val="singleLevel"/>
    <w:tmpl w:val="6E8701A1"/>
    <w:lvl w:ilvl="0" w:tentative="0">
      <w:start w:val="3"/>
      <w:numFmt w:val="decimal"/>
      <w:lvlText w:val="%1."/>
      <w:lvlJc w:val="left"/>
      <w:pPr>
        <w:tabs>
          <w:tab w:val="left" w:pos="312"/>
        </w:tabs>
      </w:pPr>
    </w:lvl>
  </w:abstractNum>
  <w:abstractNum w:abstractNumId="10">
    <w:nsid w:val="6E8701A2"/>
    <w:multiLevelType w:val="multilevel"/>
    <w:tmpl w:val="6E8701A2"/>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6E8701A3"/>
    <w:multiLevelType w:val="multilevel"/>
    <w:tmpl w:val="6E8701A3"/>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6E8701A4"/>
    <w:multiLevelType w:val="multilevel"/>
    <w:tmpl w:val="6E8701A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6E8701A5"/>
    <w:multiLevelType w:val="multilevel"/>
    <w:tmpl w:val="6E8701A5"/>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3"/>
    <w:lvlOverride w:ilvl="0">
      <w:lvl w:ilvl="0" w:tentative="1">
        <w:start w:val="1"/>
        <w:numFmt w:val="decimal"/>
        <w:lvlText w:val="第%1条"/>
        <w:lvlJc w:val="left"/>
        <w:pPr>
          <w:ind w:left="0" w:firstLine="0"/>
        </w:pPr>
      </w:lvl>
    </w:lvlOverride>
    <w:lvlOverride w:ilvl="1">
      <w:lvl w:ilvl="1" w:tentative="1">
        <w:start w:val="1"/>
        <w:numFmt w:val="decimal"/>
        <w:pStyle w:val="69"/>
        <w:lvlText w:val="%1.%2"/>
        <w:lvlJc w:val="left"/>
        <w:pPr>
          <w:ind w:left="1843" w:firstLine="0"/>
        </w:pPr>
      </w:lvl>
    </w:lvlOverride>
    <w:lvlOverride w:ilvl="2">
      <w:lvl w:ilvl="2" w:tentative="1">
        <w:start w:val="1"/>
        <w:numFmt w:val="decimal"/>
        <w:pStyle w:val="78"/>
        <w:lvlText w:val="%1.%2.%3"/>
        <w:lvlJc w:val="left"/>
        <w:pPr>
          <w:ind w:left="2126" w:firstLine="0"/>
        </w:pPr>
      </w:lvl>
    </w:lvlOverride>
    <w:lvlOverride w:ilvl="3">
      <w:lvl w:ilvl="3" w:tentative="1">
        <w:start w:val="1"/>
        <w:numFmt w:val="decimal"/>
        <w:pStyle w:val="66"/>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3">
    <w:abstractNumId w:val="7"/>
  </w:num>
  <w:num w:numId="4">
    <w:abstractNumId w:val="6"/>
  </w:num>
  <w:num w:numId="5">
    <w:abstractNumId w:val="3"/>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79"/>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6">
    <w:abstractNumId w:val="0"/>
  </w:num>
  <w:num w:numId="7">
    <w:abstractNumId w:val="2"/>
  </w:num>
  <w:num w:numId="8">
    <w:abstractNumId w:val="4"/>
  </w:num>
  <w:num w:numId="9">
    <w:abstractNumId w:val="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柳">
    <w15:presenceInfo w15:providerId="WPS Office" w15:userId="2283566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hN2U3NmEzNzA0MmU4MDU0YjA4ODQ0M2UzZDU2NDEifQ=="/>
  </w:docVars>
  <w:rsids>
    <w:rsidRoot w:val="001B047B"/>
    <w:rsid w:val="00003F00"/>
    <w:rsid w:val="00042D8E"/>
    <w:rsid w:val="000468E3"/>
    <w:rsid w:val="0006141A"/>
    <w:rsid w:val="00063022"/>
    <w:rsid w:val="000B49F5"/>
    <w:rsid w:val="000E2D78"/>
    <w:rsid w:val="00117BA3"/>
    <w:rsid w:val="0012237C"/>
    <w:rsid w:val="00162FDC"/>
    <w:rsid w:val="00171A69"/>
    <w:rsid w:val="00171B14"/>
    <w:rsid w:val="00182FDD"/>
    <w:rsid w:val="0018398C"/>
    <w:rsid w:val="001A7AE0"/>
    <w:rsid w:val="001B047B"/>
    <w:rsid w:val="001B2FDB"/>
    <w:rsid w:val="001C1F0E"/>
    <w:rsid w:val="001C2F5E"/>
    <w:rsid w:val="001D56D7"/>
    <w:rsid w:val="001E2C95"/>
    <w:rsid w:val="002142ED"/>
    <w:rsid w:val="00222166"/>
    <w:rsid w:val="002A7290"/>
    <w:rsid w:val="002B32EA"/>
    <w:rsid w:val="002B47A4"/>
    <w:rsid w:val="002C01F5"/>
    <w:rsid w:val="002E3E2F"/>
    <w:rsid w:val="002E6315"/>
    <w:rsid w:val="002E72E9"/>
    <w:rsid w:val="003263C0"/>
    <w:rsid w:val="00336014"/>
    <w:rsid w:val="00355395"/>
    <w:rsid w:val="00394F85"/>
    <w:rsid w:val="003B527E"/>
    <w:rsid w:val="003F394B"/>
    <w:rsid w:val="003F7474"/>
    <w:rsid w:val="00463792"/>
    <w:rsid w:val="00472112"/>
    <w:rsid w:val="004E2145"/>
    <w:rsid w:val="00521183"/>
    <w:rsid w:val="005341D8"/>
    <w:rsid w:val="005355B8"/>
    <w:rsid w:val="00571278"/>
    <w:rsid w:val="005872FF"/>
    <w:rsid w:val="00594E7D"/>
    <w:rsid w:val="005D0C80"/>
    <w:rsid w:val="005D35EB"/>
    <w:rsid w:val="005F55E1"/>
    <w:rsid w:val="00614417"/>
    <w:rsid w:val="00661D11"/>
    <w:rsid w:val="006929CB"/>
    <w:rsid w:val="006B01CE"/>
    <w:rsid w:val="006C3486"/>
    <w:rsid w:val="007073D8"/>
    <w:rsid w:val="00752F73"/>
    <w:rsid w:val="007758A5"/>
    <w:rsid w:val="00791EB2"/>
    <w:rsid w:val="00795EB4"/>
    <w:rsid w:val="007C2BD4"/>
    <w:rsid w:val="007D54C5"/>
    <w:rsid w:val="007E6074"/>
    <w:rsid w:val="007F124A"/>
    <w:rsid w:val="00850B5D"/>
    <w:rsid w:val="0087113D"/>
    <w:rsid w:val="00874DD1"/>
    <w:rsid w:val="008A2980"/>
    <w:rsid w:val="008A5A43"/>
    <w:rsid w:val="008A60F9"/>
    <w:rsid w:val="008C65B7"/>
    <w:rsid w:val="008F6993"/>
    <w:rsid w:val="009309E6"/>
    <w:rsid w:val="00955E7D"/>
    <w:rsid w:val="009C3AE7"/>
    <w:rsid w:val="009C7938"/>
    <w:rsid w:val="009F5D97"/>
    <w:rsid w:val="009F623F"/>
    <w:rsid w:val="00A10C54"/>
    <w:rsid w:val="00A178B7"/>
    <w:rsid w:val="00A46274"/>
    <w:rsid w:val="00A63430"/>
    <w:rsid w:val="00A77B3E"/>
    <w:rsid w:val="00A86376"/>
    <w:rsid w:val="00AB5231"/>
    <w:rsid w:val="00AD4EAC"/>
    <w:rsid w:val="00AE2221"/>
    <w:rsid w:val="00AF19BA"/>
    <w:rsid w:val="00B21112"/>
    <w:rsid w:val="00B35705"/>
    <w:rsid w:val="00B64733"/>
    <w:rsid w:val="00B856EA"/>
    <w:rsid w:val="00B950CB"/>
    <w:rsid w:val="00BB1E57"/>
    <w:rsid w:val="00BC11AE"/>
    <w:rsid w:val="00BC53A9"/>
    <w:rsid w:val="00BD0947"/>
    <w:rsid w:val="00BD52C2"/>
    <w:rsid w:val="00BE3C51"/>
    <w:rsid w:val="00BE7BD9"/>
    <w:rsid w:val="00C22BA1"/>
    <w:rsid w:val="00C27A05"/>
    <w:rsid w:val="00C530C8"/>
    <w:rsid w:val="00C54052"/>
    <w:rsid w:val="00C54AA0"/>
    <w:rsid w:val="00C55BAA"/>
    <w:rsid w:val="00C70931"/>
    <w:rsid w:val="00C73B99"/>
    <w:rsid w:val="00C76DBC"/>
    <w:rsid w:val="00C8118C"/>
    <w:rsid w:val="00C92788"/>
    <w:rsid w:val="00CA2569"/>
    <w:rsid w:val="00D16490"/>
    <w:rsid w:val="00D30857"/>
    <w:rsid w:val="00D32930"/>
    <w:rsid w:val="00D37E72"/>
    <w:rsid w:val="00D570E9"/>
    <w:rsid w:val="00D847C0"/>
    <w:rsid w:val="00D8681D"/>
    <w:rsid w:val="00D90026"/>
    <w:rsid w:val="00DA1C2E"/>
    <w:rsid w:val="00DC4C7D"/>
    <w:rsid w:val="00DE4C1F"/>
    <w:rsid w:val="00DE7593"/>
    <w:rsid w:val="00DF67AA"/>
    <w:rsid w:val="00E11457"/>
    <w:rsid w:val="00E211B2"/>
    <w:rsid w:val="00E43C31"/>
    <w:rsid w:val="00E73895"/>
    <w:rsid w:val="00E96A94"/>
    <w:rsid w:val="00EA1706"/>
    <w:rsid w:val="00EC0403"/>
    <w:rsid w:val="00EE5E34"/>
    <w:rsid w:val="00EF670B"/>
    <w:rsid w:val="00F24D1A"/>
    <w:rsid w:val="00F26FA1"/>
    <w:rsid w:val="00F30BD1"/>
    <w:rsid w:val="00F90A88"/>
    <w:rsid w:val="00F92E4F"/>
    <w:rsid w:val="00F93C60"/>
    <w:rsid w:val="00FA009B"/>
    <w:rsid w:val="00FE6553"/>
    <w:rsid w:val="01820EA5"/>
    <w:rsid w:val="018F306E"/>
    <w:rsid w:val="034A16B3"/>
    <w:rsid w:val="03DA29F4"/>
    <w:rsid w:val="03F7617E"/>
    <w:rsid w:val="051A12D9"/>
    <w:rsid w:val="0548177D"/>
    <w:rsid w:val="056033C6"/>
    <w:rsid w:val="056C3429"/>
    <w:rsid w:val="056C4768"/>
    <w:rsid w:val="05752345"/>
    <w:rsid w:val="057E3C56"/>
    <w:rsid w:val="05D55B22"/>
    <w:rsid w:val="060F5254"/>
    <w:rsid w:val="064C56F1"/>
    <w:rsid w:val="06673D8E"/>
    <w:rsid w:val="0708351A"/>
    <w:rsid w:val="079B592F"/>
    <w:rsid w:val="07A93FEC"/>
    <w:rsid w:val="07F038D4"/>
    <w:rsid w:val="08B864ED"/>
    <w:rsid w:val="09370ACD"/>
    <w:rsid w:val="09665A88"/>
    <w:rsid w:val="099B747A"/>
    <w:rsid w:val="09AC1E37"/>
    <w:rsid w:val="0A331C40"/>
    <w:rsid w:val="0A806622"/>
    <w:rsid w:val="0AD9364E"/>
    <w:rsid w:val="0B4B2DCA"/>
    <w:rsid w:val="0B6E272C"/>
    <w:rsid w:val="0C1A6F4C"/>
    <w:rsid w:val="0D177421"/>
    <w:rsid w:val="0E7F7E1E"/>
    <w:rsid w:val="0EC17856"/>
    <w:rsid w:val="100A45F3"/>
    <w:rsid w:val="101D1624"/>
    <w:rsid w:val="108247E3"/>
    <w:rsid w:val="111D284B"/>
    <w:rsid w:val="11DD6828"/>
    <w:rsid w:val="11E10A33"/>
    <w:rsid w:val="127A40B8"/>
    <w:rsid w:val="12C879E9"/>
    <w:rsid w:val="12E0534B"/>
    <w:rsid w:val="131D7604"/>
    <w:rsid w:val="13695352"/>
    <w:rsid w:val="13E24D06"/>
    <w:rsid w:val="148F0A6E"/>
    <w:rsid w:val="160341BB"/>
    <w:rsid w:val="162B5097"/>
    <w:rsid w:val="166C7871"/>
    <w:rsid w:val="16AA412F"/>
    <w:rsid w:val="177C1672"/>
    <w:rsid w:val="18252764"/>
    <w:rsid w:val="18410DB7"/>
    <w:rsid w:val="185B4EAA"/>
    <w:rsid w:val="19A1393A"/>
    <w:rsid w:val="19B710F6"/>
    <w:rsid w:val="1C4E3DC7"/>
    <w:rsid w:val="1C5C1C70"/>
    <w:rsid w:val="1D4119C8"/>
    <w:rsid w:val="1E5D2262"/>
    <w:rsid w:val="1E830638"/>
    <w:rsid w:val="1EAD74F0"/>
    <w:rsid w:val="1F1B6975"/>
    <w:rsid w:val="1F387CAD"/>
    <w:rsid w:val="1F8829FE"/>
    <w:rsid w:val="213918BD"/>
    <w:rsid w:val="21FF3760"/>
    <w:rsid w:val="22485AE0"/>
    <w:rsid w:val="23303358"/>
    <w:rsid w:val="2332769C"/>
    <w:rsid w:val="236F24CB"/>
    <w:rsid w:val="245D4E3F"/>
    <w:rsid w:val="24723E71"/>
    <w:rsid w:val="24F57B87"/>
    <w:rsid w:val="2515298E"/>
    <w:rsid w:val="25BF45EB"/>
    <w:rsid w:val="26166D56"/>
    <w:rsid w:val="261840DC"/>
    <w:rsid w:val="26672779"/>
    <w:rsid w:val="26F9037A"/>
    <w:rsid w:val="272E3950"/>
    <w:rsid w:val="27B03B80"/>
    <w:rsid w:val="27D760B2"/>
    <w:rsid w:val="288803FC"/>
    <w:rsid w:val="288C400B"/>
    <w:rsid w:val="2914634A"/>
    <w:rsid w:val="2A657E29"/>
    <w:rsid w:val="2A824A27"/>
    <w:rsid w:val="2A927C30"/>
    <w:rsid w:val="2AF54AD1"/>
    <w:rsid w:val="2B9B23AF"/>
    <w:rsid w:val="2C30757E"/>
    <w:rsid w:val="2C725C05"/>
    <w:rsid w:val="2CA10E9F"/>
    <w:rsid w:val="2CD61452"/>
    <w:rsid w:val="2D472CA6"/>
    <w:rsid w:val="2F2B3CDF"/>
    <w:rsid w:val="30267339"/>
    <w:rsid w:val="307E37EC"/>
    <w:rsid w:val="309749EC"/>
    <w:rsid w:val="30E42256"/>
    <w:rsid w:val="30F13DC6"/>
    <w:rsid w:val="31EB560B"/>
    <w:rsid w:val="331D471A"/>
    <w:rsid w:val="335A0E02"/>
    <w:rsid w:val="336D774F"/>
    <w:rsid w:val="33AD3A63"/>
    <w:rsid w:val="357F475A"/>
    <w:rsid w:val="369F1D72"/>
    <w:rsid w:val="3703068B"/>
    <w:rsid w:val="37180E04"/>
    <w:rsid w:val="378B48FA"/>
    <w:rsid w:val="37CA5986"/>
    <w:rsid w:val="38B4346E"/>
    <w:rsid w:val="38C22352"/>
    <w:rsid w:val="38EA4632"/>
    <w:rsid w:val="392C0A3B"/>
    <w:rsid w:val="39C104AB"/>
    <w:rsid w:val="3A297FA2"/>
    <w:rsid w:val="3A412E4E"/>
    <w:rsid w:val="3A686985"/>
    <w:rsid w:val="3A7368AF"/>
    <w:rsid w:val="3AFA7E23"/>
    <w:rsid w:val="3B173C30"/>
    <w:rsid w:val="3B4E0C83"/>
    <w:rsid w:val="3D4C296C"/>
    <w:rsid w:val="3D6A62BF"/>
    <w:rsid w:val="3DC85CCE"/>
    <w:rsid w:val="3E172401"/>
    <w:rsid w:val="3EC813B8"/>
    <w:rsid w:val="3EDD2A3F"/>
    <w:rsid w:val="3EE65E99"/>
    <w:rsid w:val="3F331F5D"/>
    <w:rsid w:val="3F6E0E65"/>
    <w:rsid w:val="3F872C9F"/>
    <w:rsid w:val="3F943CCC"/>
    <w:rsid w:val="3FD97AF9"/>
    <w:rsid w:val="3FFF24CD"/>
    <w:rsid w:val="40592BAB"/>
    <w:rsid w:val="40AE5771"/>
    <w:rsid w:val="413A424B"/>
    <w:rsid w:val="4164671B"/>
    <w:rsid w:val="419470E6"/>
    <w:rsid w:val="41A7248A"/>
    <w:rsid w:val="41BB10C7"/>
    <w:rsid w:val="41C81001"/>
    <w:rsid w:val="41F12C96"/>
    <w:rsid w:val="421E2360"/>
    <w:rsid w:val="42282191"/>
    <w:rsid w:val="422B29F3"/>
    <w:rsid w:val="42766D75"/>
    <w:rsid w:val="42BF7E2C"/>
    <w:rsid w:val="43AF3B34"/>
    <w:rsid w:val="43D178FC"/>
    <w:rsid w:val="43F2254E"/>
    <w:rsid w:val="446B6403"/>
    <w:rsid w:val="44872FC9"/>
    <w:rsid w:val="44B453B7"/>
    <w:rsid w:val="44C40E2E"/>
    <w:rsid w:val="44C9441B"/>
    <w:rsid w:val="450F2173"/>
    <w:rsid w:val="45634846"/>
    <w:rsid w:val="45900CAA"/>
    <w:rsid w:val="45957DEF"/>
    <w:rsid w:val="45CA6392"/>
    <w:rsid w:val="46564081"/>
    <w:rsid w:val="4677264E"/>
    <w:rsid w:val="47973F1D"/>
    <w:rsid w:val="47D57A8E"/>
    <w:rsid w:val="48A979B2"/>
    <w:rsid w:val="4A2F7AED"/>
    <w:rsid w:val="4A8B6BD3"/>
    <w:rsid w:val="4B1776EB"/>
    <w:rsid w:val="4BE96317"/>
    <w:rsid w:val="4C1E120D"/>
    <w:rsid w:val="4C587E30"/>
    <w:rsid w:val="4CEB3D6D"/>
    <w:rsid w:val="4D6115A8"/>
    <w:rsid w:val="4F483AE2"/>
    <w:rsid w:val="4F7466AA"/>
    <w:rsid w:val="4F7B197C"/>
    <w:rsid w:val="511D0F3D"/>
    <w:rsid w:val="5299416C"/>
    <w:rsid w:val="529A6D16"/>
    <w:rsid w:val="53004FF1"/>
    <w:rsid w:val="53974F04"/>
    <w:rsid w:val="53A33CE4"/>
    <w:rsid w:val="53A93BF4"/>
    <w:rsid w:val="53CF3527"/>
    <w:rsid w:val="53DC3D1F"/>
    <w:rsid w:val="53F71826"/>
    <w:rsid w:val="54065AF6"/>
    <w:rsid w:val="54713E32"/>
    <w:rsid w:val="55106439"/>
    <w:rsid w:val="552B2A5B"/>
    <w:rsid w:val="55706123"/>
    <w:rsid w:val="5640052B"/>
    <w:rsid w:val="569B3C15"/>
    <w:rsid w:val="577B69BD"/>
    <w:rsid w:val="57D52CF8"/>
    <w:rsid w:val="588A3951"/>
    <w:rsid w:val="589661EB"/>
    <w:rsid w:val="59E71F02"/>
    <w:rsid w:val="59EA168A"/>
    <w:rsid w:val="59F45890"/>
    <w:rsid w:val="5ACD132B"/>
    <w:rsid w:val="5B07180D"/>
    <w:rsid w:val="5B161FE2"/>
    <w:rsid w:val="5BE648CD"/>
    <w:rsid w:val="5C5B0156"/>
    <w:rsid w:val="5EB92A78"/>
    <w:rsid w:val="5EFB71CC"/>
    <w:rsid w:val="5FD037A9"/>
    <w:rsid w:val="5FEC6863"/>
    <w:rsid w:val="6010147E"/>
    <w:rsid w:val="60107EBF"/>
    <w:rsid w:val="607A368C"/>
    <w:rsid w:val="612260DC"/>
    <w:rsid w:val="620B40C2"/>
    <w:rsid w:val="625B6110"/>
    <w:rsid w:val="637B445F"/>
    <w:rsid w:val="63D15F74"/>
    <w:rsid w:val="643F221E"/>
    <w:rsid w:val="644429E8"/>
    <w:rsid w:val="658D6624"/>
    <w:rsid w:val="65B91F0F"/>
    <w:rsid w:val="65C56898"/>
    <w:rsid w:val="65FC68D8"/>
    <w:rsid w:val="661529A7"/>
    <w:rsid w:val="664B63D7"/>
    <w:rsid w:val="669A5B03"/>
    <w:rsid w:val="66B026AA"/>
    <w:rsid w:val="67E048A3"/>
    <w:rsid w:val="6883752D"/>
    <w:rsid w:val="689060BA"/>
    <w:rsid w:val="68F87A44"/>
    <w:rsid w:val="68FD0B9D"/>
    <w:rsid w:val="69063DB2"/>
    <w:rsid w:val="6A761962"/>
    <w:rsid w:val="6B163ECE"/>
    <w:rsid w:val="6C09740E"/>
    <w:rsid w:val="6C150D37"/>
    <w:rsid w:val="6C963990"/>
    <w:rsid w:val="6CED3AAD"/>
    <w:rsid w:val="6CF1586D"/>
    <w:rsid w:val="6D056132"/>
    <w:rsid w:val="6F6A2EF1"/>
    <w:rsid w:val="6FC54822"/>
    <w:rsid w:val="6FE21CC2"/>
    <w:rsid w:val="6FFB30A3"/>
    <w:rsid w:val="70E97B7F"/>
    <w:rsid w:val="71381390"/>
    <w:rsid w:val="71B668A4"/>
    <w:rsid w:val="722827FD"/>
    <w:rsid w:val="729943A4"/>
    <w:rsid w:val="738D0859"/>
    <w:rsid w:val="74542147"/>
    <w:rsid w:val="74FC2787"/>
    <w:rsid w:val="751016D8"/>
    <w:rsid w:val="756D05A3"/>
    <w:rsid w:val="77985FA5"/>
    <w:rsid w:val="77A61E08"/>
    <w:rsid w:val="7808174F"/>
    <w:rsid w:val="78303227"/>
    <w:rsid w:val="78324A1E"/>
    <w:rsid w:val="785C36B6"/>
    <w:rsid w:val="78834346"/>
    <w:rsid w:val="7913627C"/>
    <w:rsid w:val="794C71C1"/>
    <w:rsid w:val="79A120BA"/>
    <w:rsid w:val="79D10DF5"/>
    <w:rsid w:val="79DD3876"/>
    <w:rsid w:val="7ACD7327"/>
    <w:rsid w:val="7AF53A70"/>
    <w:rsid w:val="7B2F47CC"/>
    <w:rsid w:val="7BA821BD"/>
    <w:rsid w:val="7C09246D"/>
    <w:rsid w:val="7C0B5D89"/>
    <w:rsid w:val="7C503C1A"/>
    <w:rsid w:val="7C8D153F"/>
    <w:rsid w:val="7CE05756"/>
    <w:rsid w:val="7CF50F24"/>
    <w:rsid w:val="7D6F568D"/>
    <w:rsid w:val="7E7F7E19"/>
    <w:rsid w:val="7EF14F91"/>
    <w:rsid w:val="7F91757B"/>
    <w:rsid w:val="7FD40394"/>
    <w:rsid w:val="7FF676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kern w:val="2"/>
      <w:sz w:val="21"/>
      <w:szCs w:val="22"/>
      <w:lang w:val="en-US" w:eastAsia="zh-CN" w:bidi="ar-SA"/>
    </w:rPr>
  </w:style>
  <w:style w:type="paragraph" w:styleId="2">
    <w:name w:val="heading 1"/>
    <w:basedOn w:val="1"/>
    <w:next w:val="1"/>
    <w:link w:val="50"/>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5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52"/>
    <w:qFormat/>
    <w:uiPriority w:val="0"/>
    <w:pPr>
      <w:keepNext/>
      <w:keepLines/>
      <w:spacing w:before="260" w:after="260" w:line="415" w:lineRule="auto"/>
      <w:ind w:firstLine="137" w:firstLineChars="49"/>
      <w:outlineLvl w:val="2"/>
    </w:pPr>
    <w:rPr>
      <w:rFonts w:ascii="黑体" w:hAnsi="宋体" w:eastAsia="黑体"/>
      <w:bCs/>
      <w:sz w:val="28"/>
      <w:szCs w:val="28"/>
    </w:rPr>
  </w:style>
  <w:style w:type="paragraph" w:styleId="5">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kern w:val="2"/>
      <w:sz w:val="28"/>
      <w:szCs w:val="28"/>
    </w:rPr>
  </w:style>
  <w:style w:type="character" w:default="1" w:styleId="35">
    <w:name w:val="Default Paragraph Font"/>
    <w:unhideWhenUsed/>
    <w:uiPriority w:val="1"/>
  </w:style>
  <w:style w:type="table" w:default="1" w:styleId="33">
    <w:name w:val="Normal Table"/>
    <w:semiHidden/>
    <w:uiPriority w:val="0"/>
    <w:tblPr>
      <w:tblStyle w:val="33"/>
      <w:tblCellMar>
        <w:top w:w="0" w:type="dxa"/>
        <w:left w:w="108" w:type="dxa"/>
        <w:bottom w:w="0" w:type="dxa"/>
        <w:right w:w="108" w:type="dxa"/>
      </w:tblCellMar>
    </w:tblPr>
  </w:style>
  <w:style w:type="paragraph" w:styleId="7">
    <w:name w:val="Normal Indent"/>
    <w:basedOn w:val="1"/>
    <w:uiPriority w:val="0"/>
    <w:pPr>
      <w:ind w:firstLine="420" w:firstLineChars="200"/>
    </w:pPr>
  </w:style>
  <w:style w:type="paragraph" w:styleId="8">
    <w:name w:val="Document Map"/>
    <w:basedOn w:val="1"/>
    <w:link w:val="54"/>
    <w:uiPriority w:val="0"/>
    <w:pPr>
      <w:shd w:val="clear" w:color="auto" w:fill="000080"/>
    </w:pPr>
  </w:style>
  <w:style w:type="paragraph" w:styleId="9">
    <w:name w:val="annotation text"/>
    <w:basedOn w:val="1"/>
    <w:link w:val="55"/>
    <w:uiPriority w:val="0"/>
    <w:pPr>
      <w:jc w:val="left"/>
    </w:pPr>
  </w:style>
  <w:style w:type="paragraph" w:styleId="10">
    <w:name w:val="Body Text 3"/>
    <w:basedOn w:val="1"/>
    <w:uiPriority w:val="0"/>
    <w:rPr>
      <w:rFonts w:ascii="宋体"/>
      <w:sz w:val="24"/>
      <w:szCs w:val="20"/>
    </w:rPr>
  </w:style>
  <w:style w:type="paragraph" w:styleId="11">
    <w:name w:val="Body Text"/>
    <w:basedOn w:val="1"/>
    <w:link w:val="56"/>
    <w:uiPriority w:val="0"/>
    <w:pPr>
      <w:spacing w:after="120"/>
    </w:pPr>
  </w:style>
  <w:style w:type="paragraph" w:styleId="12">
    <w:name w:val="Body Text Indent"/>
    <w:basedOn w:val="13"/>
    <w:next w:val="20"/>
    <w:qFormat/>
    <w:uiPriority w:val="0"/>
    <w:pPr>
      <w:spacing w:after="120"/>
      <w:ind w:left="420" w:leftChars="200"/>
    </w:pPr>
  </w:style>
  <w:style w:type="paragraph" w:customStyle="1" w:styleId="13">
    <w:name w:val="正文_2_0_0"/>
    <w:next w:val="14"/>
    <w:qFormat/>
    <w:uiPriority w:val="0"/>
    <w:pPr>
      <w:widowControl w:val="0"/>
      <w:jc w:val="both"/>
    </w:pPr>
    <w:rPr>
      <w:rFonts w:ascii="Calibri" w:hAnsi="Calibri" w:eastAsia="宋体" w:cs="Times New Roman"/>
      <w:kern w:val="2"/>
      <w:sz w:val="21"/>
      <w:szCs w:val="22"/>
    </w:rPr>
  </w:style>
  <w:style w:type="paragraph" w:customStyle="1" w:styleId="14">
    <w:name w:val="正文文本_1_0"/>
    <w:basedOn w:val="15"/>
    <w:next w:val="16"/>
    <w:qFormat/>
    <w:uiPriority w:val="0"/>
    <w:pPr>
      <w:spacing w:after="120"/>
    </w:pPr>
    <w:rPr>
      <w:rFonts w:ascii="Times New Roman" w:hAnsi="Times New Roman"/>
      <w:szCs w:val="24"/>
    </w:rPr>
  </w:style>
  <w:style w:type="paragraph" w:customStyle="1" w:styleId="15">
    <w:name w:val="正文_1_1"/>
    <w:next w:val="14"/>
    <w:qFormat/>
    <w:uiPriority w:val="0"/>
    <w:pPr>
      <w:widowControl w:val="0"/>
      <w:jc w:val="both"/>
    </w:pPr>
    <w:rPr>
      <w:rFonts w:ascii="Calibri" w:hAnsi="Calibri" w:eastAsia="宋体" w:cs="Times New Roman"/>
      <w:kern w:val="2"/>
      <w:sz w:val="21"/>
      <w:szCs w:val="22"/>
    </w:rPr>
  </w:style>
  <w:style w:type="paragraph" w:customStyle="1" w:styleId="16">
    <w:name w:val="索引 8_0"/>
    <w:basedOn w:val="17"/>
    <w:next w:val="17"/>
    <w:unhideWhenUsed/>
    <w:qFormat/>
    <w:uiPriority w:val="99"/>
    <w:pPr>
      <w:spacing w:before="100" w:beforeAutospacing="1" w:after="100" w:afterAutospacing="1"/>
      <w:ind w:left="1400" w:leftChars="1400"/>
    </w:pPr>
  </w:style>
  <w:style w:type="paragraph" w:customStyle="1" w:styleId="17">
    <w:name w:val="正文_3"/>
    <w:next w:val="18"/>
    <w:qFormat/>
    <w:uiPriority w:val="0"/>
    <w:pPr>
      <w:widowControl w:val="0"/>
      <w:jc w:val="both"/>
    </w:pPr>
    <w:rPr>
      <w:rFonts w:ascii="Calibri" w:hAnsi="Calibri" w:eastAsia="宋体" w:cs="Times New Roman"/>
      <w:kern w:val="2"/>
      <w:sz w:val="21"/>
      <w:szCs w:val="22"/>
    </w:rPr>
  </w:style>
  <w:style w:type="paragraph" w:customStyle="1" w:styleId="18">
    <w:name w:val="正文首行缩进_1"/>
    <w:basedOn w:val="19"/>
    <w:qFormat/>
    <w:uiPriority w:val="0"/>
    <w:pPr>
      <w:spacing w:line="312" w:lineRule="auto"/>
      <w:ind w:firstLine="420"/>
    </w:pPr>
  </w:style>
  <w:style w:type="paragraph" w:customStyle="1" w:styleId="19">
    <w:name w:val="正文文本_2"/>
    <w:basedOn w:val="17"/>
    <w:qFormat/>
    <w:uiPriority w:val="0"/>
    <w:pPr>
      <w:spacing w:after="120"/>
    </w:pPr>
    <w:rPr>
      <w:rFonts w:ascii="Times New Roman" w:hAnsi="Times New Roman"/>
      <w:szCs w:val="24"/>
    </w:rPr>
  </w:style>
  <w:style w:type="paragraph" w:customStyle="1" w:styleId="20">
    <w:name w:val="正文文字 6"/>
    <w:basedOn w:val="21"/>
    <w:next w:val="22"/>
    <w:qFormat/>
    <w:uiPriority w:val="0"/>
    <w:pPr>
      <w:spacing w:before="100" w:beforeAutospacing="1" w:after="100" w:afterAutospacing="1"/>
      <w:ind w:left="240"/>
    </w:pPr>
    <w:rPr>
      <w:rFonts w:ascii="宋体" w:hAnsi="Times New Roman"/>
      <w:b/>
      <w:bCs/>
      <w:sz w:val="32"/>
      <w:szCs w:val="32"/>
    </w:rPr>
  </w:style>
  <w:style w:type="paragraph" w:customStyle="1" w:styleId="21">
    <w:name w:val="正文_2_1"/>
    <w:qFormat/>
    <w:uiPriority w:val="0"/>
    <w:pPr>
      <w:widowControl w:val="0"/>
      <w:jc w:val="both"/>
    </w:pPr>
    <w:rPr>
      <w:rFonts w:ascii="Calibri" w:hAnsi="Calibri" w:eastAsia="宋体" w:cs="Times New Roman"/>
      <w:kern w:val="2"/>
      <w:sz w:val="21"/>
      <w:szCs w:val="22"/>
    </w:rPr>
  </w:style>
  <w:style w:type="paragraph" w:customStyle="1" w:styleId="22">
    <w:name w:val="正文_3_0"/>
    <w:qFormat/>
    <w:uiPriority w:val="0"/>
    <w:pPr>
      <w:widowControl w:val="0"/>
      <w:jc w:val="both"/>
    </w:pPr>
    <w:rPr>
      <w:rFonts w:ascii="Calibri" w:hAnsi="Calibri" w:eastAsia="宋体" w:cs="Times New Roman"/>
      <w:kern w:val="2"/>
      <w:sz w:val="21"/>
      <w:szCs w:val="22"/>
    </w:rPr>
  </w:style>
  <w:style w:type="paragraph" w:styleId="23">
    <w:name w:val="toc 3"/>
    <w:basedOn w:val="1"/>
    <w:next w:val="1"/>
    <w:uiPriority w:val="0"/>
    <w:pPr>
      <w:ind w:left="420"/>
      <w:jc w:val="left"/>
    </w:pPr>
    <w:rPr>
      <w:iCs/>
      <w:sz w:val="20"/>
      <w:szCs w:val="20"/>
    </w:rPr>
  </w:style>
  <w:style w:type="paragraph" w:styleId="24">
    <w:name w:val="footer"/>
    <w:basedOn w:val="1"/>
    <w:link w:val="57"/>
    <w:uiPriority w:val="0"/>
    <w:pPr>
      <w:tabs>
        <w:tab w:val="center" w:pos="4153"/>
        <w:tab w:val="right" w:pos="8306"/>
      </w:tabs>
      <w:snapToGrid w:val="0"/>
      <w:jc w:val="left"/>
    </w:pPr>
    <w:rPr>
      <w:sz w:val="18"/>
      <w:szCs w:val="18"/>
    </w:rPr>
  </w:style>
  <w:style w:type="paragraph" w:styleId="25">
    <w:name w:val="header"/>
    <w:basedOn w:val="1"/>
    <w:link w:val="58"/>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uiPriority w:val="0"/>
    <w:pPr>
      <w:spacing w:before="120" w:after="120"/>
      <w:jc w:val="left"/>
    </w:pPr>
    <w:rPr>
      <w:b/>
      <w:bCs/>
      <w:caps/>
      <w:sz w:val="20"/>
      <w:szCs w:val="20"/>
    </w:rPr>
  </w:style>
  <w:style w:type="paragraph" w:styleId="27">
    <w:name w:val="toc 2"/>
    <w:basedOn w:val="1"/>
    <w:next w:val="1"/>
    <w:uiPriority w:val="0"/>
    <w:pPr>
      <w:ind w:left="210"/>
      <w:jc w:val="left"/>
    </w:pPr>
    <w:rPr>
      <w:smallCaps/>
      <w:sz w:val="20"/>
      <w:szCs w:val="20"/>
    </w:rPr>
  </w:style>
  <w:style w:type="paragraph" w:styleId="28">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9">
    <w:name w:val="Title"/>
    <w:basedOn w:val="2"/>
    <w:qFormat/>
    <w:uiPriority w:val="0"/>
    <w:pPr>
      <w:keepLines w:val="0"/>
      <w:widowControl w:val="0"/>
      <w:tabs>
        <w:tab w:val="left" w:pos="48"/>
      </w:tabs>
      <w:overflowPunct w:val="0"/>
      <w:adjustRightInd w:val="0"/>
      <w:spacing w:before="240" w:after="60" w:line="300" w:lineRule="auto"/>
      <w:jc w:val="center"/>
    </w:pPr>
    <w:rPr>
      <w:rFonts w:ascii="Arial Narrow" w:hAnsi="Arial Narrow" w:eastAsia="黑体"/>
      <w:b w:val="0"/>
      <w:kern w:val="0"/>
      <w:sz w:val="30"/>
      <w:szCs w:val="32"/>
    </w:rPr>
  </w:style>
  <w:style w:type="paragraph" w:styleId="30">
    <w:name w:val="annotation subject"/>
    <w:basedOn w:val="9"/>
    <w:next w:val="9"/>
    <w:link w:val="59"/>
    <w:uiPriority w:val="0"/>
    <w:pPr>
      <w:jc w:val="both"/>
    </w:pPr>
    <w:rPr>
      <w:b/>
      <w:bCs/>
    </w:rPr>
  </w:style>
  <w:style w:type="paragraph" w:styleId="31">
    <w:name w:val="Body Text First Indent"/>
    <w:basedOn w:val="1"/>
    <w:link w:val="60"/>
    <w:uiPriority w:val="0"/>
    <w:pPr>
      <w:spacing w:line="312" w:lineRule="auto"/>
      <w:ind w:firstLine="420"/>
    </w:pPr>
  </w:style>
  <w:style w:type="paragraph" w:styleId="32">
    <w:name w:val="Body Text First Indent 2"/>
    <w:basedOn w:val="12"/>
    <w:qFormat/>
    <w:uiPriority w:val="0"/>
    <w:pPr>
      <w:spacing w:line="360" w:lineRule="auto"/>
      <w:ind w:firstLine="200" w:firstLineChars="200"/>
    </w:pPr>
    <w:rPr>
      <w:rFonts w:eastAsia="仿宋"/>
      <w:kern w:val="0"/>
      <w:sz w:val="28"/>
    </w:rPr>
  </w:style>
  <w:style w:type="table" w:styleId="34">
    <w:name w:val="Table Grid"/>
    <w:basedOn w:val="33"/>
    <w:qFormat/>
    <w:uiPriority w:val="0"/>
    <w:pPr>
      <w:widowControl w:val="0"/>
      <w:jc w:val="both"/>
    </w:pPr>
    <w:tblPr>
      <w:tblStyle w:val="33"/>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uiPriority w:val="0"/>
  </w:style>
  <w:style w:type="character" w:styleId="38">
    <w:name w:val="FollowedHyperlink"/>
    <w:uiPriority w:val="0"/>
    <w:rPr>
      <w:color w:val="800080"/>
      <w:u w:val="none"/>
    </w:rPr>
  </w:style>
  <w:style w:type="character" w:styleId="39">
    <w:name w:val="Emphasis"/>
    <w:qFormat/>
    <w:uiPriority w:val="0"/>
    <w:rPr>
      <w:b/>
      <w:bCs/>
    </w:rPr>
  </w:style>
  <w:style w:type="character" w:styleId="40">
    <w:name w:val="HTML Definition"/>
    <w:uiPriority w:val="0"/>
  </w:style>
  <w:style w:type="character" w:styleId="41">
    <w:name w:val="HTML Typewriter"/>
    <w:uiPriority w:val="0"/>
    <w:rPr>
      <w:rFonts w:hint="default" w:ascii="monospace" w:hAnsi="monospace" w:eastAsia="monospace" w:cs="monospace"/>
      <w:sz w:val="20"/>
    </w:rPr>
  </w:style>
  <w:style w:type="character" w:styleId="42">
    <w:name w:val="HTML Acronym"/>
    <w:uiPriority w:val="0"/>
  </w:style>
  <w:style w:type="character" w:styleId="43">
    <w:name w:val="HTML Variable"/>
    <w:uiPriority w:val="0"/>
  </w:style>
  <w:style w:type="character" w:styleId="44">
    <w:name w:val="Hyperlink"/>
    <w:uiPriority w:val="0"/>
    <w:rPr>
      <w:color w:val="0000FF"/>
      <w:u w:val="none"/>
    </w:rPr>
  </w:style>
  <w:style w:type="character" w:styleId="45">
    <w:name w:val="HTML Code"/>
    <w:uiPriority w:val="0"/>
    <w:rPr>
      <w:rFonts w:hint="default" w:ascii="monospace" w:hAnsi="monospace" w:eastAsia="monospace" w:cs="monospace"/>
      <w:sz w:val="20"/>
    </w:rPr>
  </w:style>
  <w:style w:type="character" w:styleId="46">
    <w:name w:val="annotation reference"/>
    <w:uiPriority w:val="0"/>
    <w:rPr>
      <w:sz w:val="21"/>
      <w:szCs w:val="21"/>
    </w:rPr>
  </w:style>
  <w:style w:type="character" w:styleId="47">
    <w:name w:val="HTML Cite"/>
    <w:uiPriority w:val="0"/>
  </w:style>
  <w:style w:type="character" w:styleId="48">
    <w:name w:val="HTML Keyboard"/>
    <w:uiPriority w:val="0"/>
    <w:rPr>
      <w:rFonts w:ascii="monospace" w:hAnsi="monospace" w:eastAsia="monospace" w:cs="monospace"/>
      <w:sz w:val="20"/>
    </w:rPr>
  </w:style>
  <w:style w:type="character" w:styleId="49">
    <w:name w:val="HTML Sample"/>
    <w:uiPriority w:val="0"/>
    <w:rPr>
      <w:rFonts w:hint="default" w:ascii="monospace" w:hAnsi="monospace" w:eastAsia="monospace" w:cs="monospace"/>
    </w:rPr>
  </w:style>
  <w:style w:type="character" w:customStyle="1" w:styleId="50">
    <w:name w:val="标题 1 Char"/>
    <w:link w:val="2"/>
    <w:uiPriority w:val="0"/>
    <w:rPr>
      <w:rFonts w:eastAsia="宋体"/>
      <w:b/>
      <w:bCs/>
      <w:kern w:val="44"/>
      <w:sz w:val="44"/>
      <w:szCs w:val="44"/>
      <w:lang w:val="en-US" w:eastAsia="zh-CN" w:bidi="ar-SA"/>
    </w:rPr>
  </w:style>
  <w:style w:type="character" w:customStyle="1" w:styleId="51">
    <w:name w:val="标题 2 Char"/>
    <w:link w:val="3"/>
    <w:uiPriority w:val="0"/>
    <w:rPr>
      <w:rFonts w:ascii="Arial" w:hAnsi="Arial" w:eastAsia="黑体"/>
      <w:b/>
      <w:bCs/>
      <w:kern w:val="2"/>
      <w:sz w:val="32"/>
      <w:szCs w:val="32"/>
      <w:lang w:val="en-US" w:eastAsia="zh-CN" w:bidi="ar-SA"/>
    </w:rPr>
  </w:style>
  <w:style w:type="character" w:customStyle="1" w:styleId="52">
    <w:name w:val="标题 3 Char"/>
    <w:link w:val="4"/>
    <w:uiPriority w:val="0"/>
    <w:rPr>
      <w:rFonts w:ascii="黑体" w:hAnsi="宋体" w:eastAsia="黑体"/>
      <w:bCs/>
      <w:kern w:val="2"/>
      <w:sz w:val="28"/>
      <w:szCs w:val="28"/>
      <w:lang w:val="en-US" w:eastAsia="zh-CN" w:bidi="ar-SA"/>
    </w:rPr>
  </w:style>
  <w:style w:type="character" w:customStyle="1" w:styleId="53">
    <w:name w:val="标题 4 Char"/>
    <w:link w:val="5"/>
    <w:uiPriority w:val="0"/>
    <w:rPr>
      <w:rFonts w:ascii="Arial" w:hAnsi="Arial" w:eastAsia="黑体"/>
      <w:b/>
      <w:bCs/>
      <w:kern w:val="2"/>
      <w:sz w:val="28"/>
      <w:szCs w:val="28"/>
      <w:lang w:val="en-US" w:eastAsia="zh-CN" w:bidi="ar-SA"/>
    </w:rPr>
  </w:style>
  <w:style w:type="character" w:customStyle="1" w:styleId="54">
    <w:name w:val="文档结构图 Char"/>
    <w:link w:val="8"/>
    <w:uiPriority w:val="0"/>
    <w:rPr>
      <w:rFonts w:eastAsia="宋体"/>
      <w:kern w:val="2"/>
      <w:sz w:val="21"/>
      <w:szCs w:val="24"/>
      <w:lang w:val="en-US" w:eastAsia="zh-CN" w:bidi="ar-SA"/>
    </w:rPr>
  </w:style>
  <w:style w:type="character" w:customStyle="1" w:styleId="55">
    <w:name w:val="批注文字 Char"/>
    <w:link w:val="9"/>
    <w:uiPriority w:val="0"/>
    <w:rPr>
      <w:rFonts w:eastAsia="宋体"/>
      <w:kern w:val="2"/>
      <w:sz w:val="21"/>
      <w:szCs w:val="24"/>
      <w:lang w:val="en-US" w:eastAsia="zh-CN" w:bidi="ar-SA"/>
    </w:rPr>
  </w:style>
  <w:style w:type="character" w:customStyle="1" w:styleId="56">
    <w:name w:val="正文文本 Char"/>
    <w:link w:val="11"/>
    <w:uiPriority w:val="0"/>
    <w:rPr>
      <w:rFonts w:eastAsia="宋体"/>
      <w:kern w:val="2"/>
      <w:sz w:val="21"/>
      <w:szCs w:val="24"/>
      <w:lang w:val="en-US" w:eastAsia="zh-CN" w:bidi="ar-SA"/>
    </w:rPr>
  </w:style>
  <w:style w:type="character" w:customStyle="1" w:styleId="57">
    <w:name w:val="页脚 Char"/>
    <w:link w:val="24"/>
    <w:uiPriority w:val="0"/>
    <w:rPr>
      <w:rFonts w:eastAsia="宋体"/>
      <w:kern w:val="2"/>
      <w:sz w:val="18"/>
      <w:szCs w:val="18"/>
      <w:lang w:val="en-US" w:eastAsia="zh-CN" w:bidi="ar-SA"/>
    </w:rPr>
  </w:style>
  <w:style w:type="character" w:customStyle="1" w:styleId="58">
    <w:name w:val="页眉 Char"/>
    <w:link w:val="25"/>
    <w:uiPriority w:val="0"/>
    <w:rPr>
      <w:rFonts w:eastAsia="宋体"/>
      <w:kern w:val="2"/>
      <w:sz w:val="18"/>
      <w:szCs w:val="18"/>
      <w:lang w:val="en-US" w:eastAsia="zh-CN" w:bidi="ar-SA"/>
    </w:rPr>
  </w:style>
  <w:style w:type="character" w:customStyle="1" w:styleId="59">
    <w:name w:val="批注主题 Char"/>
    <w:link w:val="30"/>
    <w:uiPriority w:val="0"/>
    <w:rPr>
      <w:b/>
      <w:bCs/>
      <w:lang w:val="en-US" w:eastAsia="zh-CN" w:bidi="ar-SA"/>
    </w:rPr>
  </w:style>
  <w:style w:type="character" w:customStyle="1" w:styleId="60">
    <w:name w:val="正文首行缩进 Char"/>
    <w:link w:val="31"/>
    <w:uiPriority w:val="0"/>
    <w:rPr>
      <w:lang w:val="en-US" w:eastAsia="zh-CN" w:bidi="ar-SA"/>
    </w:rPr>
  </w:style>
  <w:style w:type="paragraph" w:customStyle="1" w:styleId="61">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sz w:val="36"/>
      <w:szCs w:val="44"/>
      <w:lang w:val="zh-CN"/>
    </w:rPr>
  </w:style>
  <w:style w:type="paragraph" w:customStyle="1" w:styleId="62">
    <w:name w:val="1.1.1.1"/>
    <w:basedOn w:val="1"/>
    <w:qFormat/>
    <w:uiPriority w:val="0"/>
    <w:pPr>
      <w:widowControl w:val="0"/>
      <w:tabs>
        <w:tab w:val="left" w:pos="1134"/>
      </w:tabs>
      <w:adjustRightInd w:val="0"/>
      <w:spacing w:before="60" w:after="60" w:line="360" w:lineRule="atLeast"/>
      <w:ind w:left="1134" w:hanging="1134"/>
      <w:textAlignment w:val="baseline"/>
    </w:pPr>
    <w:rPr>
      <w:rFonts w:ascii="Arial" w:hAnsi="Arial" w:eastAsia="宋体" w:cs="Times New Roman"/>
      <w:sz w:val="24"/>
    </w:rPr>
  </w:style>
  <w:style w:type="paragraph" w:customStyle="1" w:styleId="63">
    <w:name w:val="Heading #2|1"/>
    <w:basedOn w:val="1"/>
    <w:qFormat/>
    <w:uiPriority w:val="0"/>
    <w:pPr>
      <w:widowControl w:val="0"/>
      <w:shd w:val="clear" w:color="auto" w:fill="auto"/>
      <w:spacing w:after="110"/>
      <w:ind w:firstLine="260"/>
      <w:outlineLvl w:val="1"/>
    </w:pPr>
    <w:rPr>
      <w:rFonts w:ascii="宋体" w:hAnsi="宋体" w:eastAsia="宋体" w:cs="宋体"/>
      <w:sz w:val="13"/>
      <w:szCs w:val="13"/>
      <w:u w:val="none"/>
      <w:shd w:val="clear" w:color="auto" w:fill="auto"/>
      <w:lang w:val="zh-TW" w:eastAsia="zh-TW" w:bidi="zh-TW"/>
    </w:rPr>
  </w:style>
  <w:style w:type="paragraph" w:customStyle="1" w:styleId="64">
    <w:name w:val="专用标题2"/>
    <w:basedOn w:val="3"/>
    <w:next w:val="1"/>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 w:type="paragraph" w:customStyle="1" w:styleId="65">
    <w:name w:val="通用标题2"/>
    <w:basedOn w:val="3"/>
    <w:next w:val="1"/>
    <w:qFormat/>
    <w:uiPriority w:val="0"/>
    <w:pPr>
      <w:keepNext w:val="0"/>
      <w:keepLines w:val="0"/>
      <w:numPr>
        <w:ilvl w:val="0"/>
        <w:numId w:val="1"/>
      </w:numPr>
      <w:tabs>
        <w:tab w:val="left" w:pos="993"/>
      </w:tabs>
      <w:spacing w:line="360" w:lineRule="auto"/>
      <w:ind w:firstLineChars="0"/>
    </w:pPr>
    <w:rPr>
      <w:rFonts w:ascii="黑体" w:hAnsi="黑体"/>
    </w:rPr>
  </w:style>
  <w:style w:type="paragraph" w:customStyle="1" w:styleId="66">
    <w:name w:val="通用标题5"/>
    <w:qFormat/>
    <w:uiPriority w:val="0"/>
    <w:pPr>
      <w:widowControl w:val="0"/>
      <w:numPr>
        <w:ilvl w:val="3"/>
        <w:numId w:val="2"/>
      </w:numPr>
      <w:tabs>
        <w:tab w:val="left" w:pos="1134"/>
      </w:tabs>
      <w:autoSpaceDE w:val="0"/>
      <w:autoSpaceDN w:val="0"/>
      <w:adjustRightInd w:val="0"/>
      <w:snapToGrid w:val="0"/>
      <w:spacing w:after="120" w:afterLines="50" w:line="360" w:lineRule="auto"/>
      <w:jc w:val="both"/>
    </w:pPr>
    <w:rPr>
      <w:rFonts w:ascii="宋体" w:hAnsi="宋体"/>
      <w:kern w:val="2"/>
      <w:sz w:val="24"/>
      <w:szCs w:val="21"/>
      <w:lang w:val="en-US" w:eastAsia="zh-CN" w:bidi="ar-SA"/>
    </w:rPr>
  </w:style>
  <w:style w:type="paragraph" w:customStyle="1" w:styleId="67">
    <w:name w:val="协议书标题2"/>
    <w:basedOn w:val="3"/>
    <w:next w:val="1"/>
    <w:qFormat/>
    <w:uiPriority w:val="0"/>
    <w:pPr>
      <w:keepNext w:val="0"/>
      <w:keepLines w:val="0"/>
      <w:numPr>
        <w:ilvl w:val="0"/>
        <w:numId w:val="3"/>
      </w:numPr>
      <w:tabs>
        <w:tab w:val="left" w:pos="567"/>
      </w:tabs>
      <w:spacing w:line="360" w:lineRule="auto"/>
      <w:ind w:firstLine="0" w:firstLineChars="0"/>
      <w:jc w:val="left"/>
    </w:pPr>
    <w:rPr>
      <w:rFonts w:ascii="宋体" w:hAnsi="宋体" w:eastAsia="宋体"/>
      <w:sz w:val="24"/>
    </w:rPr>
  </w:style>
  <w:style w:type="paragraph" w:customStyle="1" w:styleId="68">
    <w:name w:val="Other|1"/>
    <w:basedOn w:val="1"/>
    <w:qFormat/>
    <w:uiPriority w:val="0"/>
    <w:pPr>
      <w:widowControl w:val="0"/>
      <w:shd w:val="clear" w:color="auto" w:fill="auto"/>
      <w:spacing w:line="406" w:lineRule="auto"/>
      <w:ind w:firstLine="240"/>
    </w:pPr>
    <w:rPr>
      <w:rFonts w:ascii="宋体" w:hAnsi="宋体" w:eastAsia="宋体" w:cs="宋体"/>
      <w:sz w:val="10"/>
      <w:szCs w:val="10"/>
      <w:u w:val="none"/>
      <w:shd w:val="clear" w:color="auto" w:fill="auto"/>
      <w:lang w:val="zh-TW" w:eastAsia="zh-TW" w:bidi="zh-TW"/>
    </w:rPr>
  </w:style>
  <w:style w:type="paragraph" w:customStyle="1" w:styleId="69">
    <w:name w:val="通用标题3"/>
    <w:next w:val="1"/>
    <w:qFormat/>
    <w:uiPriority w:val="0"/>
    <w:pPr>
      <w:widowControl w:val="0"/>
      <w:numPr>
        <w:ilvl w:val="1"/>
        <w:numId w:val="2"/>
      </w:numPr>
      <w:tabs>
        <w:tab w:val="left" w:pos="851"/>
      </w:tabs>
      <w:adjustRightInd w:val="0"/>
      <w:snapToGrid w:val="0"/>
      <w:spacing w:after="120" w:afterLines="50" w:line="360" w:lineRule="auto"/>
      <w:jc w:val="both"/>
      <w:outlineLvl w:val="2"/>
    </w:pPr>
    <w:rPr>
      <w:rFonts w:ascii="黑体" w:hAnsi="黑体" w:eastAsia="黑体"/>
      <w:b/>
      <w:kern w:val="2"/>
      <w:sz w:val="24"/>
      <w:szCs w:val="24"/>
      <w:lang w:val="en-US" w:eastAsia="zh-CN" w:bidi="ar-SA"/>
    </w:rPr>
  </w:style>
  <w:style w:type="paragraph" w:customStyle="1" w:styleId="70">
    <w:name w:val="1.1.1.1A"/>
    <w:basedOn w:val="62"/>
    <w:qFormat/>
    <w:uiPriority w:val="0"/>
    <w:pPr>
      <w:tabs>
        <w:tab w:val="left" w:pos="1843"/>
      </w:tabs>
      <w:spacing w:line="400" w:lineRule="atLeast"/>
      <w:ind w:left="1560" w:right="200" w:rightChars="200" w:hanging="426"/>
      <w:jc w:val="both"/>
    </w:pPr>
  </w:style>
  <w:style w:type="paragraph" w:customStyle="1" w:styleId="71">
    <w:name w:val="WPSOffice手动目录 1"/>
    <w:qFormat/>
    <w:uiPriority w:val="0"/>
    <w:rPr>
      <w:rFonts w:ascii="Calibri" w:hAnsi="Calibri" w:cs="Arial"/>
      <w:lang w:val="en-US" w:eastAsia="zh-CN" w:bidi="ar-SA"/>
    </w:rPr>
  </w:style>
  <w:style w:type="paragraph" w:customStyle="1" w:styleId="72">
    <w:name w:val="Body text|1"/>
    <w:basedOn w:val="1"/>
    <w:qFormat/>
    <w:uiPriority w:val="0"/>
    <w:pPr>
      <w:widowControl w:val="0"/>
      <w:shd w:val="clear" w:color="auto" w:fill="auto"/>
      <w:spacing w:line="406" w:lineRule="auto"/>
      <w:ind w:firstLine="240"/>
    </w:pPr>
    <w:rPr>
      <w:rFonts w:ascii="宋体" w:hAnsi="宋体" w:eastAsia="宋体" w:cs="宋体"/>
      <w:sz w:val="10"/>
      <w:szCs w:val="10"/>
      <w:u w:val="none"/>
      <w:shd w:val="clear" w:color="auto" w:fill="auto"/>
      <w:lang w:val="zh-TW" w:eastAsia="zh-TW" w:bidi="zh-TW"/>
    </w:rPr>
  </w:style>
  <w:style w:type="paragraph" w:customStyle="1" w:styleId="73">
    <w:name w:val="附件标题"/>
    <w:basedOn w:val="3"/>
    <w:next w:val="1"/>
    <w:qFormat/>
    <w:uiPriority w:val="0"/>
    <w:pPr>
      <w:numPr>
        <w:ilvl w:val="0"/>
        <w:numId w:val="4"/>
      </w:numPr>
      <w:tabs>
        <w:tab w:val="left" w:pos="1134"/>
      </w:tabs>
      <w:spacing w:line="360" w:lineRule="auto"/>
      <w:ind w:firstLine="0" w:firstLineChars="0"/>
      <w:jc w:val="center"/>
    </w:pPr>
    <w:rPr>
      <w:rFonts w:ascii="黑体" w:hAnsi="黑体"/>
      <w:sz w:val="30"/>
      <w:szCs w:val="30"/>
    </w:rPr>
  </w:style>
  <w:style w:type="paragraph" w:customStyle="1" w:styleId="74">
    <w:name w:val="Body text|3"/>
    <w:basedOn w:val="1"/>
    <w:qFormat/>
    <w:uiPriority w:val="0"/>
    <w:pPr>
      <w:widowControl w:val="0"/>
      <w:shd w:val="clear" w:color="auto" w:fill="auto"/>
      <w:spacing w:after="980"/>
    </w:pPr>
    <w:rPr>
      <w:sz w:val="15"/>
      <w:szCs w:val="15"/>
      <w:u w:val="none"/>
      <w:shd w:val="clear" w:color="auto" w:fill="auto"/>
    </w:rPr>
  </w:style>
  <w:style w:type="paragraph" w:customStyle="1" w:styleId="75">
    <w:name w:val="Main Title"/>
    <w:next w:val="1"/>
    <w:qFormat/>
    <w:uiPriority w:val="0"/>
    <w:pPr>
      <w:adjustRightInd w:val="0"/>
      <w:snapToGrid w:val="0"/>
      <w:spacing w:after="120" w:afterLines="50" w:line="360" w:lineRule="auto"/>
      <w:jc w:val="center"/>
    </w:pPr>
    <w:rPr>
      <w:rFonts w:ascii="黑体" w:hAnsi="黑体" w:eastAsia="黑体"/>
      <w:b/>
      <w:kern w:val="2"/>
      <w:sz w:val="36"/>
      <w:szCs w:val="22"/>
      <w:lang w:val="zh-CN" w:eastAsia="zh-CN" w:bidi="ar-SA"/>
    </w:rPr>
  </w:style>
  <w:style w:type="paragraph" w:customStyle="1" w:styleId="76">
    <w:name w:val="table"/>
    <w:qFormat/>
    <w:uiPriority w:val="0"/>
    <w:pPr>
      <w:framePr w:hSpace="180" w:wrap="around" w:vAnchor="text" w:hAnchor="margin" w:y="1418"/>
      <w:adjustRightInd w:val="0"/>
      <w:snapToGrid w:val="0"/>
    </w:pPr>
    <w:rPr>
      <w:rFonts w:ascii="宋体" w:hAnsi="Calibri"/>
      <w:kern w:val="2"/>
      <w:sz w:val="24"/>
      <w:szCs w:val="22"/>
      <w:lang w:val="en-US" w:eastAsia="zh-CN" w:bidi="ar-SA"/>
    </w:rPr>
  </w:style>
  <w:style w:type="paragraph" w:customStyle="1" w:styleId="77">
    <w:name w:val="Heading #1|1"/>
    <w:basedOn w:val="1"/>
    <w:qFormat/>
    <w:uiPriority w:val="0"/>
    <w:pPr>
      <w:widowControl w:val="0"/>
      <w:shd w:val="clear" w:color="auto" w:fill="auto"/>
      <w:spacing w:after="200"/>
      <w:ind w:firstLine="130"/>
      <w:jc w:val="center"/>
      <w:outlineLvl w:val="0"/>
    </w:pPr>
    <w:rPr>
      <w:rFonts w:ascii="宋体" w:hAnsi="宋体" w:eastAsia="宋体" w:cs="宋体"/>
      <w:sz w:val="22"/>
      <w:szCs w:val="22"/>
      <w:u w:val="none"/>
      <w:shd w:val="clear" w:color="auto" w:fill="auto"/>
      <w:lang w:val="zh-TW" w:eastAsia="zh-TW" w:bidi="zh-TW"/>
    </w:rPr>
  </w:style>
  <w:style w:type="paragraph" w:customStyle="1" w:styleId="78">
    <w:name w:val="通用标题4"/>
    <w:next w:val="1"/>
    <w:qFormat/>
    <w:uiPriority w:val="0"/>
    <w:pPr>
      <w:numPr>
        <w:ilvl w:val="2"/>
        <w:numId w:val="2"/>
      </w:numPr>
      <w:tabs>
        <w:tab w:val="left" w:pos="851"/>
      </w:tabs>
      <w:adjustRightInd w:val="0"/>
      <w:snapToGrid w:val="0"/>
      <w:spacing w:after="120" w:afterLines="50" w:line="360" w:lineRule="auto"/>
      <w:jc w:val="both"/>
      <w:outlineLvl w:val="3"/>
    </w:pPr>
    <w:rPr>
      <w:rFonts w:ascii="宋体" w:hAnsi="宋体"/>
      <w:kern w:val="2"/>
      <w:sz w:val="24"/>
      <w:szCs w:val="21"/>
      <w:lang w:val="en-US" w:eastAsia="zh-CN" w:bidi="ar-SA"/>
    </w:rPr>
  </w:style>
  <w:style w:type="paragraph" w:customStyle="1" w:styleId="79">
    <w:name w:val="通用标题6"/>
    <w:basedOn w:val="1"/>
    <w:qFormat/>
    <w:uiPriority w:val="0"/>
    <w:pPr>
      <w:numPr>
        <w:ilvl w:val="4"/>
        <w:numId w:val="5"/>
      </w:numPr>
      <w:tabs>
        <w:tab w:val="left" w:pos="993"/>
      </w:tabs>
      <w:wordWrap/>
      <w:topLinePunct w:val="0"/>
      <w:ind w:firstLine="0" w:firstLineChars="0"/>
    </w:pPr>
  </w:style>
  <w:style w:type="paragraph" w:customStyle="1" w:styleId="80">
    <w:name w:val="Normal_0"/>
    <w:qFormat/>
    <w:uiPriority w:val="0"/>
    <w:pPr>
      <w:widowControl w:val="0"/>
      <w:jc w:val="both"/>
    </w:pPr>
    <w:rPr>
      <w:rFonts w:ascii="Calibri" w:hAnsi="Calibri"/>
      <w:kern w:val="2"/>
      <w:sz w:val="21"/>
      <w:szCs w:val="22"/>
      <w:lang w:val="en-US" w:eastAsia="zh-CN" w:bidi="ar-SA"/>
    </w:rPr>
  </w:style>
  <w:style w:type="paragraph" w:customStyle="1" w:styleId="81">
    <w:name w:val="Body text|2"/>
    <w:basedOn w:val="1"/>
    <w:qFormat/>
    <w:uiPriority w:val="0"/>
    <w:pPr>
      <w:widowControl w:val="0"/>
      <w:shd w:val="clear" w:color="auto" w:fill="auto"/>
      <w:ind w:hanging="860"/>
    </w:pPr>
    <w:rPr>
      <w:rFonts w:ascii="宋体" w:hAnsi="宋体" w:eastAsia="宋体" w:cs="宋体"/>
      <w:b/>
      <w:bCs/>
      <w:sz w:val="8"/>
      <w:szCs w:val="8"/>
      <w:u w:val="none"/>
      <w:shd w:val="clear" w:color="auto" w:fill="auto"/>
    </w:rPr>
  </w:style>
  <w:style w:type="table" w:customStyle="1" w:styleId="82">
    <w:name w:val="网格型1"/>
    <w:qFormat/>
    <w:uiPriority w:val="0"/>
    <w:pPr>
      <w:widowControl w:val="0"/>
      <w:jc w:val="both"/>
    </w:pPr>
    <w:rPr>
      <w:lang w:val="en-US" w:eastAsia="zh-CN" w:bidi="ar-SA"/>
    </w:rPr>
    <w:tblPr>
      <w:tblStyle w:val="33"/>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customStyle="1" w:styleId="83">
    <w:name w:val="正文_1_0"/>
    <w:qFormat/>
    <w:uiPriority w:val="0"/>
    <w:pPr>
      <w:widowControl w:val="0"/>
      <w:jc w:val="both"/>
    </w:pPr>
    <w:rPr>
      <w:rFonts w:ascii="Calibri" w:hAnsi="Calibri" w:eastAsia="宋体" w:cs="Times New Roman"/>
      <w:kern w:val="2"/>
      <w:sz w:val="21"/>
      <w:szCs w:val="22"/>
    </w:rPr>
  </w:style>
  <w:style w:type="paragraph" w:customStyle="1" w:styleId="84">
    <w:name w:val="正文_1_0_1"/>
    <w:basedOn w:val="21"/>
    <w:next w:val="85"/>
    <w:qFormat/>
    <w:uiPriority w:val="0"/>
    <w:rPr>
      <w:szCs w:val="21"/>
    </w:rPr>
  </w:style>
  <w:style w:type="paragraph" w:customStyle="1" w:styleId="85">
    <w:name w:val="标题 3_0_0"/>
    <w:basedOn w:val="84"/>
    <w:next w:val="84"/>
    <w:qFormat/>
    <w:uiPriority w:val="0"/>
    <w:pPr>
      <w:keepNext/>
      <w:keepLines/>
      <w:spacing w:before="260" w:after="260" w:line="412" w:lineRule="auto"/>
      <w:ind w:firstLine="137" w:firstLineChars="49"/>
      <w:outlineLvl w:val="2"/>
    </w:pPr>
    <w:rPr>
      <w:rFonts w:ascii="黑体" w:hAnsi="宋体" w:eastAsia="黑体"/>
      <w:bCs/>
      <w:sz w:val="28"/>
      <w:szCs w:val="28"/>
    </w:rPr>
  </w:style>
  <w:style w:type="character" w:customStyle="1" w:styleId="86">
    <w:name w:val="10_0"/>
    <w:qFormat/>
    <w:uiPriority w:val="0"/>
    <w:rPr>
      <w:rFonts w:ascii="Times New Roman" w:hAnsi="Times New Roman" w:cs="Times New Roman"/>
    </w:rPr>
  </w:style>
  <w:style w:type="paragraph" w:customStyle="1" w:styleId="87">
    <w:name w:val="table_0"/>
    <w:qFormat/>
    <w:uiPriority w:val="0"/>
    <w:pPr>
      <w:framePr w:hSpace="180" w:wrap="around" w:vAnchor="text" w:hAnchor="margin" w:y="1418"/>
      <w:adjustRightInd w:val="0"/>
      <w:snapToGrid w:val="0"/>
    </w:pPr>
    <w:rPr>
      <w:rFonts w:ascii="宋体" w:hAnsi="Calibri" w:eastAsia="宋体" w:cs="Times New Roman"/>
      <w:kern w:val="2"/>
      <w:sz w:val="24"/>
      <w:szCs w:val="22"/>
    </w:rPr>
  </w:style>
  <w:style w:type="paragraph" w:customStyle="1" w:styleId="88">
    <w:name w:val="批注文字_0"/>
    <w:basedOn w:val="22"/>
    <w:qFormat/>
    <w:uiPriority w:val="0"/>
    <w:pPr>
      <w:jc w:val="left"/>
    </w:pPr>
    <w:rPr>
      <w:rFonts w:ascii="Times New Roman" w:hAnsi="Times New Roman"/>
    </w:rPr>
  </w:style>
  <w:style w:type="character" w:customStyle="1" w:styleId="89">
    <w:name w:val="15_0"/>
    <w:qFormat/>
    <w:uiPriority w:val="0"/>
    <w:rPr>
      <w:rFonts w:ascii="Times New Roman" w:hAnsi="Times New Roman" w:cs="Times New Roman"/>
    </w:rPr>
  </w:style>
  <w:style w:type="paragraph" w:customStyle="1" w:styleId="90">
    <w:name w:val="批注文字_1"/>
    <w:basedOn w:val="17"/>
    <w:qFormat/>
    <w:uiPriority w:val="0"/>
    <w:pPr>
      <w:jc w:val="left"/>
    </w:pPr>
    <w:rPr>
      <w:rFonts w:ascii="Times New Roman" w:hAnsi="Times New Roman"/>
      <w:szCs w:val="24"/>
    </w:rPr>
  </w:style>
  <w:style w:type="paragraph" w:customStyle="1" w:styleId="91">
    <w:name w:val="正文文本_0_0"/>
    <w:basedOn w:val="92"/>
    <w:next w:val="16"/>
    <w:qFormat/>
    <w:uiPriority w:val="0"/>
    <w:pPr>
      <w:spacing w:after="120"/>
    </w:pPr>
    <w:rPr>
      <w:rFonts w:ascii="Times New Roman" w:hAnsi="Times New Roman" w:cs="Times New Roman"/>
    </w:rPr>
  </w:style>
  <w:style w:type="paragraph" w:customStyle="1" w:styleId="92">
    <w:name w:val="正文_1_1_0"/>
    <w:basedOn w:val="21"/>
    <w:next w:val="93"/>
    <w:qFormat/>
    <w:uiPriority w:val="0"/>
    <w:rPr>
      <w:rFonts w:cs="Calibri"/>
      <w:szCs w:val="21"/>
    </w:rPr>
  </w:style>
  <w:style w:type="paragraph" w:customStyle="1" w:styleId="93">
    <w:name w:val="BodyText_0_0"/>
    <w:basedOn w:val="92"/>
    <w:qFormat/>
    <w:uiPriority w:val="0"/>
    <w:pPr>
      <w:spacing w:before="100" w:beforeAutospacing="1" w:after="100" w:afterAutospacing="1"/>
      <w:ind w:left="226"/>
      <w:textAlignment w:val="baseline"/>
    </w:pPr>
    <w:rPr>
      <w:rFonts w:ascii="宋体" w:hAnsi="宋体" w:cs="宋体"/>
    </w:rPr>
  </w:style>
  <w:style w:type="paragraph" w:customStyle="1" w:styleId="94">
    <w:name w:val="p0"/>
    <w:basedOn w:val="13"/>
    <w:qFormat/>
    <w:uiPriority w:val="0"/>
    <w:pPr>
      <w:widowControl/>
    </w:pPr>
    <w:rPr>
      <w:kern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234</Pages>
  <Words>3836</Words>
  <Characters>4109</Characters>
  <Lines>275</Lines>
  <Paragraphs>77</Paragraphs>
  <TotalTime>1684</TotalTime>
  <ScaleCrop>false</ScaleCrop>
  <LinksUpToDate>false</LinksUpToDate>
  <CharactersWithSpaces>4322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2026-06-11T11:51:00Z</dcterms:created>
  <dc:creator>微软系统</dc:creator>
  <cp:lastModifiedBy>柳</cp:lastModifiedBy>
  <cp:lastPrinted>2020-08-14T06:49:00Z</cp:lastPrinted>
  <dcterms:modified xsi:type="dcterms:W3CDTF">2026-10-19T07:13:50Z</dcterms:modified>
  <dc:title>附件二：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2F1A34883F7C4F8A9C7410BFB4C0A93F_13</vt:lpwstr>
  </property>
  <property fmtid="{D5CDD505-2E9C-101B-9397-08002B2CF9AE}" pid="3" name="KSOProductBuildVer">
    <vt:lpwstr>2052-12.1.0.29161</vt:lpwstr>
  </property>
  <property fmtid="{D5CDD505-2E9C-101B-9397-08002B2CF9AE}" pid="4" name="KSOTemplateDocerSaveRecord">
    <vt:lpwstr>eyJoZGlkIjoiMWFjN2NlODFjMmQ3ZmJmNjNmNDMyMjY5ZjAxMzkyMmIiLCJ1c2VySWQiOiIyNjI5ODM5MTEifQ==</vt:lpwstr>
  </property>
</Properties>
</file>