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0" w:after="240"/>
        <w:jc w:val="center"/>
        <w:outlineLvl w:val="0"/>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b/>
          <w:sz w:val="44"/>
          <w:szCs w:val="44"/>
        </w:rPr>
        <w:t>九洲科技工业园区有害生物防治服务采购项目竞价公告</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sz w:val="32"/>
          <w:szCs w:val="32"/>
        </w:rPr>
        <w:t>四川九洲后勤服务有限责任公司拟通过公开竞价方式，确定九洲科技工业园区有害生物防治服务单位，欢迎符合条件的竞价申请人参与本项目竞价，现将有关事项告知如下：</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jc w:val="left"/>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一、项目基本情况</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（一）采购人：</w:t>
      </w:r>
      <w:r>
        <w:rPr>
          <w:rFonts w:hint="eastAsia" w:ascii="仿宋_GB2312" w:hAnsi="仿宋_GB2312" w:eastAsia="仿宋_GB2312" w:cs="仿宋_GB2312"/>
          <w:b w:val="0"/>
          <w:sz w:val="32"/>
          <w:szCs w:val="32"/>
        </w:rPr>
        <w:t>四川九洲后勤服务有限责任公司。</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（二）项目名称：</w:t>
      </w:r>
      <w:r>
        <w:rPr>
          <w:rFonts w:hint="eastAsia" w:ascii="仿宋_GB2312" w:hAnsi="仿宋_GB2312" w:eastAsia="仿宋_GB2312" w:cs="仿宋_GB2312"/>
          <w:b w:val="0"/>
          <w:sz w:val="32"/>
          <w:szCs w:val="32"/>
        </w:rPr>
        <w:t>九洲科技工业园区有害生物防治服务采购项目。</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（三）项目地点：</w:t>
      </w:r>
      <w:r>
        <w:rPr>
          <w:rFonts w:hint="eastAsia" w:ascii="仿宋_GB2312" w:hAnsi="仿宋_GB2312" w:eastAsia="仿宋_GB2312" w:cs="仿宋_GB2312"/>
          <w:b w:val="0"/>
          <w:sz w:val="32"/>
          <w:szCs w:val="32"/>
        </w:rPr>
        <w:t>九洲科技工业园区内。</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（四）项目服务期限：</w:t>
      </w:r>
      <w:r>
        <w:rPr>
          <w:rFonts w:hint="eastAsia" w:ascii="仿宋_GB2312" w:hAnsi="仿宋_GB2312" w:eastAsia="仿宋_GB2312" w:cs="仿宋_GB2312"/>
          <w:b w:val="0"/>
          <w:sz w:val="32"/>
          <w:szCs w:val="32"/>
        </w:rPr>
        <w:t>2026年7月19日至2027年7月18日。</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（五）竞价范围：</w:t>
      </w:r>
      <w:r>
        <w:rPr>
          <w:rFonts w:hint="eastAsia" w:ascii="仿宋_GB2312" w:hAnsi="仿宋_GB2312" w:eastAsia="仿宋_GB2312" w:cs="仿宋_GB2312"/>
          <w:b w:val="0"/>
          <w:sz w:val="32"/>
          <w:szCs w:val="32"/>
        </w:rPr>
        <w:t>九洲科技工业园区，园区占地面积约84.7万平方米，建筑面积约33.6万平方米。服务范围包括办公区、生产区、交流中心、职工食堂、公寓、绿化带及公共区域的老鼠、白蚁、蟑螂、蚊蝇、跳蚤、臭虫防治，蛇的抓捕及驱离。</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（六）项目预算：</w:t>
      </w:r>
      <w:r>
        <w:rPr>
          <w:rFonts w:hint="eastAsia" w:ascii="仿宋_GB2312" w:hAnsi="仿宋_GB2312" w:eastAsia="仿宋_GB2312" w:cs="仿宋_GB2312"/>
          <w:b w:val="0"/>
          <w:sz w:val="32"/>
          <w:szCs w:val="32"/>
        </w:rPr>
        <w:t>不含税总价（人民币）：98,000.00元（大写：玖万捌仟圆整）。</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jc w:val="left"/>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二、竞价申请人资格要求</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default" w:ascii="仿宋_GB2312" w:hAnsi="仿宋_GB2312" w:eastAsia="仿宋_GB2312" w:cs="仿宋_GB2312"/>
          <w:b w:val="0"/>
          <w:sz w:val="32"/>
          <w:szCs w:val="32"/>
          <w:lang w:val="en-US" w:eastAsia="zh-CN"/>
        </w:rPr>
      </w:pP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lang w:val="en-US" w:eastAsia="zh-CN"/>
        </w:rPr>
        <w:t>一</w:t>
      </w:r>
      <w:r>
        <w:rPr>
          <w:rFonts w:hint="eastAsia" w:ascii="仿宋_GB2312" w:hAnsi="仿宋_GB2312" w:eastAsia="仿宋_GB2312" w:cs="仿宋_GB2312"/>
          <w:b w:val="0"/>
          <w:sz w:val="32"/>
          <w:szCs w:val="32"/>
          <w:lang w:eastAsia="zh-CN"/>
        </w:rPr>
        <w:t>）</w:t>
      </w:r>
      <w:r>
        <w:rPr>
          <w:rFonts w:hint="eastAsia" w:ascii="仿宋_GB2312" w:hAnsi="仿宋_GB2312" w:eastAsia="仿宋_GB2312" w:cs="仿宋_GB2312"/>
          <w:b w:val="0"/>
          <w:sz w:val="32"/>
          <w:szCs w:val="32"/>
          <w:lang w:val="en-US" w:eastAsia="zh-CN"/>
        </w:rPr>
        <w:t>资格审查一览表</w:t>
      </w:r>
    </w:p>
    <w:tbl>
      <w:tblPr>
        <w:tblStyle w:val="33"/>
        <w:tblW w:w="87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97"/>
        <w:gridCol w:w="2197"/>
        <w:gridCol w:w="2197"/>
        <w:gridCol w:w="21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shd w:val="clear" w:color="auto" w:fill="auto"/>
            <w:vAlign w:val="center"/>
          </w:tcPr>
          <w:p>
            <w:pPr>
              <w:spacing w:before="40" w:after="40" w:line="240" w:lineRule="auto"/>
              <w:jc w:val="center"/>
              <w:rPr>
                <w:color w:val="auto"/>
              </w:rPr>
            </w:pPr>
            <w:r>
              <w:rPr>
                <w:rFonts w:ascii="宋体" w:hAnsi="宋体" w:eastAsia="宋体"/>
                <w:b/>
                <w:color w:val="auto"/>
                <w:sz w:val="19"/>
              </w:rPr>
              <w:t>序号</w:t>
            </w:r>
          </w:p>
        </w:tc>
        <w:tc>
          <w:tcPr>
            <w:tcW w:w="2197" w:type="dxa"/>
            <w:shd w:val="clear" w:color="auto" w:fill="auto"/>
            <w:vAlign w:val="center"/>
          </w:tcPr>
          <w:p>
            <w:pPr>
              <w:spacing w:before="40" w:after="40" w:line="240" w:lineRule="auto"/>
              <w:jc w:val="center"/>
              <w:rPr>
                <w:color w:val="auto"/>
              </w:rPr>
            </w:pPr>
            <w:r>
              <w:rPr>
                <w:rFonts w:ascii="宋体" w:hAnsi="宋体" w:eastAsia="宋体"/>
                <w:b/>
                <w:color w:val="auto"/>
                <w:sz w:val="19"/>
              </w:rPr>
              <w:t>审查项目</w:t>
            </w:r>
          </w:p>
        </w:tc>
        <w:tc>
          <w:tcPr>
            <w:tcW w:w="2197" w:type="dxa"/>
            <w:shd w:val="clear" w:color="auto" w:fill="auto"/>
            <w:vAlign w:val="center"/>
          </w:tcPr>
          <w:p>
            <w:pPr>
              <w:spacing w:before="40" w:after="40" w:line="240" w:lineRule="auto"/>
              <w:jc w:val="center"/>
              <w:rPr>
                <w:color w:val="auto"/>
              </w:rPr>
            </w:pPr>
            <w:r>
              <w:rPr>
                <w:rFonts w:ascii="宋体" w:hAnsi="宋体" w:eastAsia="宋体"/>
                <w:b/>
                <w:color w:val="auto"/>
                <w:sz w:val="19"/>
              </w:rPr>
              <w:t>审查要求</w:t>
            </w:r>
          </w:p>
        </w:tc>
        <w:tc>
          <w:tcPr>
            <w:tcW w:w="2197" w:type="dxa"/>
            <w:shd w:val="clear" w:color="auto" w:fill="auto"/>
            <w:vAlign w:val="center"/>
          </w:tcPr>
          <w:p>
            <w:pPr>
              <w:spacing w:before="40" w:after="40" w:line="240" w:lineRule="auto"/>
              <w:jc w:val="center"/>
              <w:rPr>
                <w:color w:val="auto"/>
              </w:rPr>
            </w:pPr>
            <w:r>
              <w:rPr>
                <w:rFonts w:ascii="宋体" w:hAnsi="宋体" w:eastAsia="宋体"/>
                <w:b/>
                <w:color w:val="auto"/>
                <w:sz w:val="19"/>
              </w:rPr>
              <w:t>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1</w:t>
            </w:r>
          </w:p>
        </w:tc>
        <w:tc>
          <w:tcPr>
            <w:tcW w:w="2197" w:type="dxa"/>
            <w:vAlign w:val="center"/>
          </w:tcPr>
          <w:p>
            <w:pPr>
              <w:spacing w:before="40" w:after="40" w:line="240" w:lineRule="auto"/>
              <w:jc w:val="left"/>
            </w:pPr>
            <w:r>
              <w:rPr>
                <w:rFonts w:ascii="宋体" w:hAnsi="宋体" w:eastAsia="宋体"/>
                <w:b w:val="0"/>
                <w:sz w:val="19"/>
              </w:rPr>
              <w:t>竞价申请人名称</w:t>
            </w:r>
          </w:p>
        </w:tc>
        <w:tc>
          <w:tcPr>
            <w:tcW w:w="2197" w:type="dxa"/>
            <w:vAlign w:val="center"/>
          </w:tcPr>
          <w:p>
            <w:pPr>
              <w:spacing w:before="40" w:after="40" w:line="240" w:lineRule="auto"/>
              <w:jc w:val="left"/>
            </w:pPr>
            <w:r>
              <w:rPr>
                <w:rFonts w:ascii="宋体" w:hAnsi="宋体" w:eastAsia="宋体"/>
                <w:b w:val="0"/>
                <w:sz w:val="19"/>
              </w:rPr>
              <w:t>与营业执照名称一致。</w:t>
            </w:r>
          </w:p>
        </w:tc>
        <w:tc>
          <w:tcPr>
            <w:tcW w:w="2197" w:type="dxa"/>
            <w:vAlign w:val="center"/>
          </w:tcPr>
          <w:p>
            <w:pPr>
              <w:spacing w:before="40" w:after="40" w:line="240" w:lineRule="auto"/>
              <w:jc w:val="left"/>
            </w:pPr>
            <w:r>
              <w:rPr>
                <w:rFonts w:ascii="宋体" w:hAnsi="宋体" w:eastAsia="宋体"/>
                <w:b w:val="0"/>
                <w:sz w:val="19"/>
              </w:rPr>
              <w:t>营业执照副本（加盖公章）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2</w:t>
            </w:r>
          </w:p>
        </w:tc>
        <w:tc>
          <w:tcPr>
            <w:tcW w:w="2197" w:type="dxa"/>
            <w:vAlign w:val="center"/>
          </w:tcPr>
          <w:p>
            <w:pPr>
              <w:spacing w:before="40" w:after="40" w:line="240" w:lineRule="auto"/>
              <w:jc w:val="left"/>
            </w:pPr>
            <w:r>
              <w:rPr>
                <w:rFonts w:ascii="宋体" w:hAnsi="宋体" w:eastAsia="宋体"/>
                <w:b w:val="0"/>
                <w:sz w:val="19"/>
              </w:rPr>
              <w:t>营业执照</w:t>
            </w:r>
          </w:p>
        </w:tc>
        <w:tc>
          <w:tcPr>
            <w:tcW w:w="2197" w:type="dxa"/>
            <w:vAlign w:val="center"/>
          </w:tcPr>
          <w:p>
            <w:pPr>
              <w:spacing w:before="40" w:after="40" w:line="240" w:lineRule="auto"/>
              <w:jc w:val="left"/>
            </w:pPr>
            <w:r>
              <w:rPr>
                <w:rFonts w:ascii="宋体" w:hAnsi="宋体" w:eastAsia="宋体"/>
                <w:b w:val="0"/>
                <w:sz w:val="19"/>
              </w:rPr>
              <w:t>有效期内的营业执照，经营范围须包含"有害生物防治"或"病媒生物防治"或同类表述。</w:t>
            </w:r>
          </w:p>
        </w:tc>
        <w:tc>
          <w:tcPr>
            <w:tcW w:w="2197" w:type="dxa"/>
            <w:vAlign w:val="center"/>
          </w:tcPr>
          <w:p>
            <w:pPr>
              <w:spacing w:before="40" w:after="40" w:line="240" w:lineRule="auto"/>
              <w:jc w:val="left"/>
            </w:pPr>
            <w:r>
              <w:rPr>
                <w:rFonts w:ascii="宋体" w:hAnsi="宋体" w:eastAsia="宋体"/>
                <w:b w:val="0"/>
                <w:sz w:val="19"/>
              </w:rPr>
              <w:t>营业执照副本（加盖公章）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3</w:t>
            </w:r>
          </w:p>
        </w:tc>
        <w:tc>
          <w:tcPr>
            <w:tcW w:w="2197" w:type="dxa"/>
            <w:vAlign w:val="center"/>
          </w:tcPr>
          <w:p>
            <w:pPr>
              <w:spacing w:before="40" w:after="40" w:line="240" w:lineRule="auto"/>
              <w:jc w:val="left"/>
            </w:pPr>
            <w:r>
              <w:rPr>
                <w:rFonts w:ascii="宋体" w:hAnsi="宋体" w:eastAsia="宋体"/>
                <w:b w:val="0"/>
                <w:sz w:val="19"/>
              </w:rPr>
              <w:t>独立法人资格</w:t>
            </w:r>
          </w:p>
        </w:tc>
        <w:tc>
          <w:tcPr>
            <w:tcW w:w="2197" w:type="dxa"/>
            <w:vAlign w:val="center"/>
          </w:tcPr>
          <w:p>
            <w:pPr>
              <w:spacing w:before="40" w:after="40" w:line="240" w:lineRule="auto"/>
              <w:jc w:val="left"/>
            </w:pPr>
            <w:r>
              <w:rPr>
                <w:rFonts w:ascii="宋体" w:hAnsi="宋体" w:eastAsia="宋体"/>
                <w:b w:val="0"/>
                <w:sz w:val="19"/>
              </w:rPr>
              <w:t>具有独立承担民事责任的能力，不存在资格资质被暂停或吊销情形。</w:t>
            </w:r>
          </w:p>
        </w:tc>
        <w:tc>
          <w:tcPr>
            <w:tcW w:w="2197" w:type="dxa"/>
            <w:vAlign w:val="center"/>
          </w:tcPr>
          <w:p>
            <w:pPr>
              <w:spacing w:before="40" w:after="40" w:line="240" w:lineRule="auto"/>
              <w:jc w:val="left"/>
            </w:pPr>
            <w:r>
              <w:rPr>
                <w:rFonts w:ascii="宋体" w:hAnsi="宋体" w:eastAsia="宋体"/>
                <w:b w:val="0"/>
                <w:sz w:val="19"/>
              </w:rPr>
              <w:t>营业执照副本（加盖公章），可结合信用查询结果综合判断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4</w:t>
            </w:r>
          </w:p>
        </w:tc>
        <w:tc>
          <w:tcPr>
            <w:tcW w:w="2197" w:type="dxa"/>
            <w:vAlign w:val="center"/>
          </w:tcPr>
          <w:p>
            <w:pPr>
              <w:spacing w:before="40" w:after="40" w:line="240" w:lineRule="auto"/>
              <w:jc w:val="left"/>
            </w:pPr>
            <w:r>
              <w:rPr>
                <w:rFonts w:ascii="宋体" w:hAnsi="宋体" w:eastAsia="宋体"/>
                <w:b w:val="0"/>
                <w:sz w:val="19"/>
              </w:rPr>
              <w:t>有害生物防治服务资质证书</w:t>
            </w:r>
          </w:p>
        </w:tc>
        <w:tc>
          <w:tcPr>
            <w:tcW w:w="2197" w:type="dxa"/>
            <w:vAlign w:val="center"/>
          </w:tcPr>
          <w:p>
            <w:pPr>
              <w:spacing w:before="40" w:after="40" w:line="240" w:lineRule="auto"/>
              <w:jc w:val="left"/>
            </w:pPr>
            <w:r>
              <w:rPr>
                <w:rFonts w:ascii="宋体" w:hAnsi="宋体" w:eastAsia="宋体"/>
                <w:b w:val="0"/>
                <w:sz w:val="19"/>
              </w:rPr>
              <w:t>具有中国鼠害与卫生虫害防制协会颁发的B级及以上有害生物防治服务资质证书，或省级防制协会颁发的同等效力证书，证书在有效期内。</w:t>
            </w:r>
          </w:p>
        </w:tc>
        <w:tc>
          <w:tcPr>
            <w:tcW w:w="2197" w:type="dxa"/>
            <w:vAlign w:val="center"/>
          </w:tcPr>
          <w:p>
            <w:pPr>
              <w:spacing w:before="40" w:after="40" w:line="240" w:lineRule="auto"/>
              <w:jc w:val="left"/>
            </w:pPr>
            <w:r>
              <w:rPr>
                <w:rFonts w:ascii="宋体" w:hAnsi="宋体" w:eastAsia="宋体"/>
                <w:b w:val="0"/>
                <w:sz w:val="19"/>
              </w:rPr>
              <w:t>资质证书副本（加盖公章）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5</w:t>
            </w:r>
          </w:p>
        </w:tc>
        <w:tc>
          <w:tcPr>
            <w:tcW w:w="2197" w:type="dxa"/>
            <w:vAlign w:val="center"/>
          </w:tcPr>
          <w:p>
            <w:pPr>
              <w:spacing w:before="40" w:after="40" w:line="240" w:lineRule="auto"/>
              <w:jc w:val="left"/>
            </w:pPr>
            <w:r>
              <w:rPr>
                <w:rFonts w:ascii="宋体" w:hAnsi="宋体" w:eastAsia="宋体"/>
                <w:b w:val="0"/>
                <w:sz w:val="19"/>
              </w:rPr>
              <w:t>农药登记证</w:t>
            </w:r>
          </w:p>
        </w:tc>
        <w:tc>
          <w:tcPr>
            <w:tcW w:w="2197" w:type="dxa"/>
            <w:vAlign w:val="center"/>
          </w:tcPr>
          <w:p>
            <w:pPr>
              <w:spacing w:before="40" w:after="40" w:line="240" w:lineRule="auto"/>
              <w:jc w:val="left"/>
            </w:pPr>
            <w:r>
              <w:rPr>
                <w:rFonts w:ascii="宋体" w:hAnsi="宋体" w:eastAsia="宋体"/>
                <w:b w:val="0"/>
                <w:sz w:val="19"/>
              </w:rPr>
              <w:t>所使用的主要卫生杀虫剂（灭鼠剂、杀虫剂等）均已在农业农村部完成农药登记，登记证在有效期内。</w:t>
            </w:r>
          </w:p>
        </w:tc>
        <w:tc>
          <w:tcPr>
            <w:tcW w:w="2197" w:type="dxa"/>
            <w:vAlign w:val="center"/>
          </w:tcPr>
          <w:p>
            <w:pPr>
              <w:spacing w:before="40" w:after="40" w:line="240" w:lineRule="auto"/>
              <w:jc w:val="left"/>
            </w:pPr>
            <w:r>
              <w:rPr>
                <w:rFonts w:ascii="宋体" w:hAnsi="宋体" w:eastAsia="宋体"/>
                <w:b w:val="0"/>
                <w:sz w:val="19"/>
              </w:rPr>
              <w:t>主要药剂的农药登记证复印件（加盖公章），或加盖公章的药剂清单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6</w:t>
            </w:r>
          </w:p>
        </w:tc>
        <w:tc>
          <w:tcPr>
            <w:tcW w:w="2197" w:type="dxa"/>
            <w:vAlign w:val="center"/>
          </w:tcPr>
          <w:p>
            <w:pPr>
              <w:spacing w:before="40" w:after="40" w:line="240" w:lineRule="auto"/>
              <w:jc w:val="left"/>
            </w:pPr>
            <w:r>
              <w:rPr>
                <w:rFonts w:ascii="宋体" w:hAnsi="宋体" w:eastAsia="宋体"/>
                <w:b w:val="0"/>
                <w:sz w:val="19"/>
              </w:rPr>
              <w:t>消杀作业人员资质</w:t>
            </w:r>
          </w:p>
        </w:tc>
        <w:tc>
          <w:tcPr>
            <w:tcW w:w="2197" w:type="dxa"/>
            <w:vAlign w:val="center"/>
          </w:tcPr>
          <w:p>
            <w:pPr>
              <w:spacing w:before="40" w:after="40" w:line="240" w:lineRule="auto"/>
              <w:jc w:val="left"/>
              <w:rPr>
                <w:rFonts w:hint="eastAsia" w:eastAsia="宋体"/>
                <w:lang w:eastAsia="zh-CN"/>
              </w:rPr>
            </w:pPr>
            <w:r>
              <w:rPr>
                <w:rFonts w:ascii="宋体" w:hAnsi="宋体" w:eastAsia="宋体"/>
                <w:b w:val="0"/>
                <w:sz w:val="19"/>
              </w:rPr>
              <w:t>拟投入本项目的消杀作业人员持有上岗证或害虫防治员（消杀人员）职业资格证书，或具有同等专业能力的证明材料。</w:t>
            </w:r>
            <w:r>
              <w:rPr>
                <w:rFonts w:hint="eastAsia" w:ascii="宋体" w:hAnsi="宋体" w:eastAsia="宋体"/>
                <w:b w:val="0"/>
                <w:sz w:val="19"/>
                <w:lang w:eastAsia="zh-CN"/>
              </w:rPr>
              <w:t>（</w:t>
            </w:r>
            <w:r>
              <w:rPr>
                <w:rFonts w:hint="eastAsia" w:ascii="宋体" w:hAnsi="宋体" w:eastAsia="宋体"/>
                <w:b w:val="0"/>
                <w:sz w:val="19"/>
                <w:lang w:val="en-US" w:eastAsia="zh-CN"/>
              </w:rPr>
              <w:t>至少2名</w:t>
            </w:r>
            <w:r>
              <w:rPr>
                <w:rFonts w:hint="eastAsia" w:ascii="宋体" w:hAnsi="宋体" w:eastAsia="宋体"/>
                <w:b w:val="0"/>
                <w:sz w:val="19"/>
                <w:lang w:eastAsia="zh-CN"/>
              </w:rPr>
              <w:t>）</w:t>
            </w:r>
          </w:p>
        </w:tc>
        <w:tc>
          <w:tcPr>
            <w:tcW w:w="2197" w:type="dxa"/>
            <w:vAlign w:val="center"/>
          </w:tcPr>
          <w:p>
            <w:pPr>
              <w:spacing w:before="40" w:after="40" w:line="240" w:lineRule="auto"/>
              <w:jc w:val="left"/>
            </w:pPr>
            <w:r>
              <w:rPr>
                <w:rFonts w:ascii="宋体" w:hAnsi="宋体" w:eastAsia="宋体"/>
                <w:b w:val="0"/>
                <w:sz w:val="19"/>
              </w:rPr>
              <w:t>人员证书复印件（加盖公章）或加盖公章的人员名单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7</w:t>
            </w:r>
          </w:p>
        </w:tc>
        <w:tc>
          <w:tcPr>
            <w:tcW w:w="2197" w:type="dxa"/>
            <w:vAlign w:val="center"/>
          </w:tcPr>
          <w:p>
            <w:pPr>
              <w:spacing w:before="40" w:after="40" w:line="240" w:lineRule="auto"/>
              <w:jc w:val="left"/>
            </w:pPr>
            <w:r>
              <w:rPr>
                <w:rFonts w:ascii="宋体" w:hAnsi="宋体" w:eastAsia="宋体"/>
                <w:b w:val="0"/>
                <w:sz w:val="19"/>
              </w:rPr>
              <w:t>近三年同类项目业绩</w:t>
            </w:r>
          </w:p>
        </w:tc>
        <w:tc>
          <w:tcPr>
            <w:tcW w:w="2197" w:type="dxa"/>
            <w:vAlign w:val="center"/>
          </w:tcPr>
          <w:p>
            <w:pPr>
              <w:spacing w:before="40" w:after="40" w:line="240" w:lineRule="auto"/>
              <w:jc w:val="left"/>
              <w:rPr>
                <w:rFonts w:hint="eastAsia" w:eastAsia="宋体"/>
                <w:lang w:eastAsia="zh-CN"/>
              </w:rPr>
            </w:pPr>
            <w:r>
              <w:rPr>
                <w:rFonts w:ascii="宋体" w:hAnsi="宋体" w:eastAsia="宋体"/>
                <w:b w:val="0"/>
                <w:sz w:val="19"/>
              </w:rPr>
              <w:t>近三年内（2023年1月至今）至少完成</w:t>
            </w:r>
            <w:r>
              <w:rPr>
                <w:rFonts w:hint="eastAsia" w:ascii="宋体" w:hAnsi="宋体" w:eastAsia="宋体"/>
                <w:b w:val="0"/>
                <w:sz w:val="19"/>
                <w:lang w:val="en-US" w:eastAsia="zh-CN"/>
              </w:rPr>
              <w:t>2</w:t>
            </w:r>
            <w:r>
              <w:rPr>
                <w:rFonts w:ascii="宋体" w:hAnsi="宋体" w:eastAsia="宋体"/>
                <w:b w:val="0"/>
                <w:sz w:val="19"/>
              </w:rPr>
              <w:t>个同类物业/园区/厂区有害生物防治服务项目。</w:t>
            </w:r>
            <w:r>
              <w:rPr>
                <w:rFonts w:hint="eastAsia" w:ascii="宋体" w:hAnsi="宋体" w:eastAsia="宋体"/>
                <w:b w:val="0"/>
                <w:sz w:val="19"/>
                <w:lang w:eastAsia="zh-CN"/>
              </w:rPr>
              <w:t>（</w:t>
            </w:r>
            <w:r>
              <w:rPr>
                <w:rFonts w:hint="eastAsia" w:ascii="宋体" w:hAnsi="宋体" w:eastAsia="宋体"/>
                <w:b w:val="0"/>
                <w:sz w:val="19"/>
                <w:lang w:val="en-US" w:eastAsia="zh-CN"/>
              </w:rPr>
              <w:t>10万元以上项目2个</w:t>
            </w:r>
            <w:r>
              <w:rPr>
                <w:rFonts w:hint="eastAsia" w:ascii="宋体" w:hAnsi="宋体" w:eastAsia="宋体"/>
                <w:b w:val="0"/>
                <w:sz w:val="19"/>
                <w:lang w:eastAsia="zh-CN"/>
              </w:rPr>
              <w:t>）</w:t>
            </w:r>
          </w:p>
        </w:tc>
        <w:tc>
          <w:tcPr>
            <w:tcW w:w="2197" w:type="dxa"/>
            <w:vAlign w:val="center"/>
          </w:tcPr>
          <w:p>
            <w:pPr>
              <w:spacing w:before="40" w:after="40" w:line="240" w:lineRule="auto"/>
              <w:jc w:val="left"/>
            </w:pPr>
            <w:r>
              <w:rPr>
                <w:rFonts w:ascii="宋体" w:hAnsi="宋体" w:eastAsia="宋体"/>
                <w:b w:val="0"/>
                <w:sz w:val="19"/>
              </w:rPr>
              <w:t>合同复印件（加盖公章，合同须体现服务内容及时间）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8</w:t>
            </w:r>
          </w:p>
        </w:tc>
        <w:tc>
          <w:tcPr>
            <w:tcW w:w="2197" w:type="dxa"/>
            <w:vAlign w:val="center"/>
          </w:tcPr>
          <w:p>
            <w:pPr>
              <w:spacing w:before="40" w:after="40" w:line="240" w:lineRule="auto"/>
              <w:jc w:val="left"/>
            </w:pPr>
            <w:r>
              <w:rPr>
                <w:rFonts w:ascii="宋体" w:hAnsi="宋体" w:eastAsia="宋体"/>
                <w:b w:val="0"/>
                <w:sz w:val="19"/>
              </w:rPr>
              <w:t>信用查询截图</w:t>
            </w:r>
          </w:p>
        </w:tc>
        <w:tc>
          <w:tcPr>
            <w:tcW w:w="2197" w:type="dxa"/>
            <w:vAlign w:val="center"/>
          </w:tcPr>
          <w:p>
            <w:pPr>
              <w:spacing w:before="40" w:after="40" w:line="240" w:lineRule="auto"/>
              <w:jc w:val="left"/>
            </w:pPr>
            <w:r>
              <w:rPr>
                <w:rFonts w:ascii="宋体" w:hAnsi="宋体" w:eastAsia="宋体"/>
                <w:b w:val="0"/>
                <w:sz w:val="19"/>
              </w:rPr>
              <w:t>竞价当日在中国执行信息公开网、信用中国、中国政府采购网等渠道查询，显示未被列入失信被执行人、重大税收违法、政府采购严重违法失信等名单。</w:t>
            </w:r>
          </w:p>
        </w:tc>
        <w:tc>
          <w:tcPr>
            <w:tcW w:w="2197" w:type="dxa"/>
            <w:vAlign w:val="center"/>
          </w:tcPr>
          <w:p>
            <w:pPr>
              <w:spacing w:before="40" w:after="40" w:line="240" w:lineRule="auto"/>
              <w:jc w:val="left"/>
            </w:pPr>
            <w:r>
              <w:rPr>
                <w:rFonts w:ascii="宋体" w:hAnsi="宋体" w:eastAsia="宋体"/>
                <w:b w:val="0"/>
                <w:sz w:val="19"/>
              </w:rPr>
              <w:t>查询结果截图（加盖公章），查询时间不早于竞价前15日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97" w:type="dxa"/>
            <w:vAlign w:val="center"/>
          </w:tcPr>
          <w:p>
            <w:pPr>
              <w:spacing w:before="40" w:after="40" w:line="240" w:lineRule="auto"/>
              <w:jc w:val="center"/>
            </w:pPr>
            <w:r>
              <w:rPr>
                <w:rFonts w:ascii="宋体" w:hAnsi="宋体" w:eastAsia="宋体"/>
                <w:b w:val="0"/>
                <w:sz w:val="19"/>
              </w:rPr>
              <w:t>9</w:t>
            </w:r>
          </w:p>
        </w:tc>
        <w:tc>
          <w:tcPr>
            <w:tcW w:w="2197" w:type="dxa"/>
            <w:vAlign w:val="center"/>
          </w:tcPr>
          <w:p>
            <w:pPr>
              <w:spacing w:before="40" w:after="40" w:line="240" w:lineRule="auto"/>
              <w:jc w:val="left"/>
            </w:pPr>
            <w:r>
              <w:rPr>
                <w:rFonts w:ascii="宋体" w:hAnsi="宋体" w:eastAsia="宋体"/>
                <w:b w:val="0"/>
                <w:sz w:val="19"/>
              </w:rPr>
              <w:t>签字盖章</w:t>
            </w:r>
          </w:p>
        </w:tc>
        <w:tc>
          <w:tcPr>
            <w:tcW w:w="2197" w:type="dxa"/>
            <w:vAlign w:val="center"/>
          </w:tcPr>
          <w:p>
            <w:pPr>
              <w:spacing w:before="40" w:after="40" w:line="240" w:lineRule="auto"/>
              <w:jc w:val="left"/>
            </w:pPr>
            <w:r>
              <w:rPr>
                <w:rFonts w:ascii="宋体" w:hAnsi="宋体" w:eastAsia="宋体"/>
                <w:b w:val="0"/>
                <w:sz w:val="19"/>
              </w:rPr>
              <w:t>所提供资格审查文件（复印件或扫描件）均须加盖公司鲜章，复印件与原件一致。</w:t>
            </w:r>
          </w:p>
        </w:tc>
        <w:tc>
          <w:tcPr>
            <w:tcW w:w="2197" w:type="dxa"/>
            <w:vAlign w:val="center"/>
          </w:tcPr>
          <w:p>
            <w:pPr>
              <w:spacing w:before="40" w:after="40" w:line="240" w:lineRule="auto"/>
              <w:jc w:val="left"/>
            </w:pPr>
            <w:r>
              <w:rPr>
                <w:rFonts w:ascii="宋体" w:hAnsi="宋体" w:eastAsia="宋体"/>
                <w:b w:val="0"/>
                <w:sz w:val="19"/>
              </w:rPr>
              <w:t>以上所有材料均加盖公司鲜章确认</w:t>
            </w:r>
          </w:p>
        </w:tc>
      </w:tr>
    </w:tbl>
    <w:p>
      <w:pPr>
        <w:spacing w:before="120"/>
        <w:ind w:firstLine="400" w:firstLineChars="200"/>
      </w:pPr>
      <w:r>
        <w:rPr>
          <w:rFonts w:ascii="宋体" w:hAnsi="宋体" w:eastAsia="宋体"/>
          <w:b w:val="0"/>
          <w:color w:val="666666"/>
          <w:sz w:val="20"/>
        </w:rPr>
        <w:t>注：竞价申请人资质审查条件必须全部满足，否则不能参与本项目竞价。第5项农药登记证如因供应商商业保护无法提供完整登记证，可提供药剂清单并加盖公章替代，但须保证所用药剂均为合法登记产品。第8项信用查询结果有效期为竞价前15日内有效。</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w:t>
      </w:r>
      <w:r>
        <w:rPr>
          <w:rFonts w:hint="eastAsia" w:ascii="仿宋_GB2312" w:hAnsi="仿宋_GB2312" w:eastAsia="仿宋_GB2312" w:cs="仿宋_GB2312"/>
          <w:b/>
          <w:sz w:val="32"/>
          <w:szCs w:val="32"/>
          <w:lang w:val="en-US" w:eastAsia="zh-CN"/>
        </w:rPr>
        <w:t>二</w:t>
      </w:r>
      <w:r>
        <w:rPr>
          <w:rFonts w:hint="eastAsia" w:ascii="仿宋_GB2312" w:hAnsi="仿宋_GB2312" w:eastAsia="仿宋_GB2312" w:cs="仿宋_GB2312"/>
          <w:b/>
          <w:sz w:val="32"/>
          <w:szCs w:val="32"/>
        </w:rPr>
        <w:t>）</w:t>
      </w:r>
      <w:r>
        <w:rPr>
          <w:rFonts w:hint="eastAsia" w:ascii="仿宋_GB2312" w:hAnsi="仿宋_GB2312" w:eastAsia="仿宋_GB2312" w:cs="仿宋_GB2312"/>
          <w:b w:val="0"/>
          <w:sz w:val="32"/>
          <w:szCs w:val="32"/>
        </w:rPr>
        <w:t>单位负责人为同一人或者存在控股（含法定代表人控股）、管理关系的不同单位，不得同时参加本次竞价。</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lang w:eastAsia="zh-CN"/>
        </w:rPr>
      </w:pPr>
      <w:r>
        <w:rPr>
          <w:rFonts w:hint="eastAsia" w:ascii="仿宋_GB2312" w:hAnsi="仿宋_GB2312" w:eastAsia="仿宋_GB2312" w:cs="仿宋_GB2312"/>
          <w:b/>
          <w:sz w:val="32"/>
          <w:szCs w:val="32"/>
        </w:rPr>
        <w:t>（</w:t>
      </w:r>
      <w:r>
        <w:rPr>
          <w:rFonts w:hint="eastAsia" w:ascii="仿宋_GB2312" w:hAnsi="仿宋_GB2312" w:eastAsia="仿宋_GB2312" w:cs="仿宋_GB2312"/>
          <w:b/>
          <w:sz w:val="32"/>
          <w:szCs w:val="32"/>
          <w:lang w:val="en-US" w:eastAsia="zh-CN"/>
        </w:rPr>
        <w:t>三</w:t>
      </w:r>
      <w:r>
        <w:rPr>
          <w:rFonts w:hint="eastAsia" w:ascii="仿宋_GB2312" w:hAnsi="仿宋_GB2312" w:eastAsia="仿宋_GB2312" w:cs="仿宋_GB2312"/>
          <w:b/>
          <w:sz w:val="32"/>
          <w:szCs w:val="32"/>
        </w:rPr>
        <w:t>）</w:t>
      </w:r>
      <w:r>
        <w:rPr>
          <w:rFonts w:hint="eastAsia" w:ascii="仿宋_GB2312" w:hAnsi="仿宋_GB2312" w:eastAsia="仿宋_GB2312" w:cs="仿宋_GB2312"/>
          <w:b w:val="0"/>
          <w:sz w:val="32"/>
          <w:szCs w:val="32"/>
        </w:rPr>
        <w:t>参加本次竞价活动，不存在和其他竞价申请人在同一合同项目中，委托同一个自然人、同一家庭的人员、同一单位的人员作为代理人的行为。</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w:t>
      </w:r>
      <w:r>
        <w:rPr>
          <w:rFonts w:hint="eastAsia" w:ascii="仿宋_GB2312" w:hAnsi="仿宋_GB2312" w:eastAsia="仿宋_GB2312" w:cs="仿宋_GB2312"/>
          <w:b/>
          <w:sz w:val="32"/>
          <w:szCs w:val="32"/>
          <w:lang w:val="en-US" w:eastAsia="zh-CN"/>
        </w:rPr>
        <w:t>四</w:t>
      </w:r>
      <w:r>
        <w:rPr>
          <w:rFonts w:hint="eastAsia" w:ascii="仿宋_GB2312" w:hAnsi="仿宋_GB2312" w:eastAsia="仿宋_GB2312" w:cs="仿宋_GB2312"/>
          <w:b/>
          <w:sz w:val="32"/>
          <w:szCs w:val="32"/>
        </w:rPr>
        <w:t>）</w:t>
      </w:r>
      <w:r>
        <w:rPr>
          <w:rFonts w:hint="eastAsia" w:ascii="仿宋_GB2312" w:hAnsi="仿宋_GB2312" w:eastAsia="仿宋_GB2312" w:cs="仿宋_GB2312"/>
          <w:b w:val="0"/>
          <w:sz w:val="32"/>
          <w:szCs w:val="32"/>
        </w:rPr>
        <w:t>本项目拒绝联合体。</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jc w:val="left"/>
        <w:textAlignment w:val="auto"/>
        <w:outlineLvl w:val="0"/>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三、资格审查</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val="0"/>
          <w:sz w:val="32"/>
          <w:szCs w:val="32"/>
        </w:rPr>
        <w:t>拟参加竞价的竞价申请人，按本公告第二条规定的资格要求证明材料扫描件（须加盖竞价申请人公章）提交联系人邮箱，提交截止时间</w:t>
      </w:r>
      <w:r>
        <w:rPr>
          <w:rFonts w:hint="eastAsia" w:ascii="仿宋_GB2312" w:hAnsi="仿宋_GB2312" w:eastAsia="仿宋_GB2312" w:cs="仿宋_GB2312"/>
          <w:b w:val="0"/>
          <w:sz w:val="32"/>
          <w:szCs w:val="32"/>
          <w:lang w:val="en-US" w:eastAsia="zh-CN"/>
        </w:rPr>
        <w:t>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6</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2</w:t>
      </w:r>
      <w:r>
        <w:rPr>
          <w:rFonts w:hint="eastAsia" w:ascii="仿宋_GB2312" w:hAnsi="仿宋_GB2312" w:eastAsia="仿宋_GB2312" w:cs="仿宋_GB2312"/>
          <w:b w:val="0"/>
          <w:sz w:val="32"/>
          <w:szCs w:val="32"/>
        </w:rPr>
        <w:t>日17时00分，逾期提交的证明材料不予受理。</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（二）</w:t>
      </w:r>
      <w:r>
        <w:rPr>
          <w:rFonts w:hint="eastAsia" w:ascii="仿宋_GB2312" w:hAnsi="仿宋_GB2312" w:eastAsia="仿宋_GB2312" w:cs="仿宋_GB2312"/>
          <w:b w:val="0"/>
          <w:sz w:val="32"/>
          <w:szCs w:val="32"/>
        </w:rPr>
        <w:t>采购人对上述截止时间前收到的竞价申请人的资格要求证明材料完成审查</w:t>
      </w:r>
      <w:r>
        <w:rPr>
          <w:rFonts w:hint="eastAsia" w:ascii="仿宋_GB2312" w:hAnsi="仿宋_GB2312" w:eastAsia="仿宋_GB2312" w:cs="仿宋_GB2312"/>
          <w:b w:val="0"/>
          <w:sz w:val="32"/>
          <w:szCs w:val="32"/>
          <w:lang w:val="en-US" w:eastAsia="zh-CN"/>
        </w:rPr>
        <w:t>后</w:t>
      </w:r>
      <w:r>
        <w:rPr>
          <w:rFonts w:hint="eastAsia" w:ascii="仿宋_GB2312" w:hAnsi="仿宋_GB2312" w:eastAsia="仿宋_GB2312" w:cs="仿宋_GB2312"/>
          <w:b w:val="0"/>
          <w:sz w:val="32"/>
          <w:szCs w:val="32"/>
        </w:rPr>
        <w:t>以电话方式</w:t>
      </w:r>
      <w:r>
        <w:rPr>
          <w:rFonts w:hint="eastAsia" w:ascii="仿宋_GB2312" w:hAnsi="仿宋_GB2312" w:eastAsia="仿宋_GB2312" w:cs="仿宋_GB2312"/>
          <w:b w:val="0"/>
          <w:sz w:val="32"/>
          <w:szCs w:val="32"/>
          <w:lang w:val="en-US" w:eastAsia="zh-CN"/>
        </w:rPr>
        <w:t>或邮件</w:t>
      </w:r>
      <w:r>
        <w:rPr>
          <w:rFonts w:hint="eastAsia" w:ascii="仿宋_GB2312" w:hAnsi="仿宋_GB2312" w:eastAsia="仿宋_GB2312" w:cs="仿宋_GB2312"/>
          <w:b w:val="0"/>
          <w:sz w:val="32"/>
          <w:szCs w:val="32"/>
        </w:rPr>
        <w:t>告知竞价申请人资格资质审查结果。</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四、竞价保证金</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本项目竞价保证金2,000元（大写：贰仟圆整），竞价申请人资格审查须全部通过并收到邮件或电话通知后，在</w:t>
      </w:r>
      <w:r>
        <w:rPr>
          <w:rFonts w:hint="eastAsia" w:ascii="仿宋_GB2312" w:hAnsi="仿宋_GB2312" w:eastAsia="仿宋_GB2312" w:cs="仿宋_GB2312"/>
          <w:b w:val="0"/>
          <w:sz w:val="32"/>
          <w:szCs w:val="32"/>
          <w:lang w:val="en-US" w:eastAsia="zh-CN"/>
        </w:rPr>
        <w:t>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6</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2</w:t>
      </w:r>
      <w:r>
        <w:rPr>
          <w:rFonts w:hint="eastAsia" w:ascii="仿宋_GB2312" w:hAnsi="仿宋_GB2312" w:eastAsia="仿宋_GB2312" w:cs="仿宋_GB2312"/>
          <w:b w:val="0"/>
          <w:sz w:val="32"/>
          <w:szCs w:val="32"/>
        </w:rPr>
        <w:t>日</w:t>
      </w:r>
      <w:r>
        <w:rPr>
          <w:rFonts w:hint="eastAsia" w:ascii="仿宋_GB2312" w:hAnsi="仿宋_GB2312" w:eastAsia="仿宋_GB2312" w:cs="仿宋_GB2312"/>
          <w:b w:val="0"/>
          <w:sz w:val="32"/>
          <w:szCs w:val="32"/>
          <w:lang w:val="en-US" w:eastAsia="zh-CN"/>
        </w:rPr>
        <w:t>17</w:t>
      </w:r>
      <w:r>
        <w:rPr>
          <w:rFonts w:hint="eastAsia" w:ascii="仿宋_GB2312" w:hAnsi="仿宋_GB2312" w:eastAsia="仿宋_GB2312" w:cs="仿宋_GB2312"/>
          <w:b w:val="0"/>
          <w:sz w:val="32"/>
          <w:szCs w:val="32"/>
        </w:rPr>
        <w:t>时</w:t>
      </w:r>
      <w:r>
        <w:rPr>
          <w:rFonts w:hint="eastAsia" w:ascii="仿宋_GB2312" w:hAnsi="仿宋_GB2312" w:eastAsia="仿宋_GB2312" w:cs="仿宋_GB2312"/>
          <w:b w:val="0"/>
          <w:sz w:val="32"/>
          <w:szCs w:val="32"/>
          <w:lang w:val="en-US" w:eastAsia="zh-CN"/>
        </w:rPr>
        <w:t>00</w:t>
      </w:r>
      <w:r>
        <w:rPr>
          <w:rFonts w:hint="eastAsia" w:ascii="仿宋_GB2312" w:hAnsi="仿宋_GB2312" w:eastAsia="仿宋_GB2312" w:cs="仿宋_GB2312"/>
          <w:b w:val="0"/>
          <w:sz w:val="32"/>
          <w:szCs w:val="32"/>
        </w:rPr>
        <w:t>分前按以下账户以对公转账方式汇至采购人账户，将转账凭证复印件或扫描电子档发给采购人。</w:t>
      </w:r>
      <w:bookmarkStart w:id="1" w:name="_GoBack"/>
      <w:bookmarkEnd w:id="1"/>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采购人：冷先生，电子邮箱：lengmingyang@jezetek.cc</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收款单位：四川九洲后勤服务有限责任公司</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开户银行：中国银行股份有限公司绵阳红桥路支行</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银行账号：1239 6997 3322</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采购人和中选人签订书面合同后10个工作日内无息退还。</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五、竞价文件获取</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lang w:val="en-US" w:eastAsia="zh-CN"/>
        </w:rPr>
      </w:pPr>
      <w:bookmarkStart w:id="0" w:name="heading_15"/>
      <w:r>
        <w:rPr>
          <w:rFonts w:hint="eastAsia" w:ascii="仿宋_GB2312" w:hAnsi="仿宋_GB2312" w:eastAsia="仿宋_GB2312" w:cs="仿宋_GB2312"/>
          <w:b/>
          <w:bCs/>
          <w:sz w:val="32"/>
          <w:szCs w:val="32"/>
        </w:rPr>
        <w:t>（一）</w:t>
      </w:r>
      <w:r>
        <w:rPr>
          <w:rFonts w:hint="eastAsia" w:ascii="仿宋_GB2312" w:hAnsi="仿宋_GB2312" w:eastAsia="仿宋_GB2312" w:cs="仿宋_GB2312"/>
          <w:b w:val="0"/>
          <w:sz w:val="32"/>
          <w:szCs w:val="32"/>
        </w:rPr>
        <w:t>获取方式：</w:t>
      </w:r>
      <w:r>
        <w:rPr>
          <w:rFonts w:hint="eastAsia" w:ascii="仿宋_GB2312" w:hAnsi="仿宋_GB2312" w:eastAsia="仿宋_GB2312" w:cs="仿宋_GB2312"/>
          <w:b w:val="0"/>
          <w:sz w:val="32"/>
          <w:szCs w:val="32"/>
          <w:lang w:val="en-US" w:eastAsia="zh-CN"/>
        </w:rPr>
        <w:t>资格预审文件审核通过后，采购人将以电子文档的形式免费向竞价申请人发送竞价文件。</w:t>
      </w:r>
      <w:bookmarkEnd w:id="0"/>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（二）</w:t>
      </w:r>
      <w:r>
        <w:rPr>
          <w:rFonts w:hint="eastAsia" w:ascii="仿宋_GB2312" w:hAnsi="仿宋_GB2312" w:eastAsia="仿宋_GB2312" w:cs="仿宋_GB2312"/>
          <w:b w:val="0"/>
          <w:sz w:val="32"/>
          <w:szCs w:val="32"/>
        </w:rPr>
        <w:t>获取时间：</w:t>
      </w:r>
      <w:r>
        <w:rPr>
          <w:rFonts w:hint="eastAsia" w:ascii="仿宋_GB2312" w:hAnsi="仿宋_GB2312" w:eastAsia="仿宋_GB2312" w:cs="仿宋_GB2312"/>
          <w:b w:val="0"/>
          <w:sz w:val="32"/>
          <w:szCs w:val="32"/>
          <w:lang w:val="en-US" w:eastAsia="zh-CN"/>
        </w:rPr>
        <w:t>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5</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26</w:t>
      </w:r>
      <w:r>
        <w:rPr>
          <w:rFonts w:hint="eastAsia" w:ascii="仿宋_GB2312" w:hAnsi="仿宋_GB2312" w:eastAsia="仿宋_GB2312" w:cs="仿宋_GB2312"/>
          <w:b w:val="0"/>
          <w:sz w:val="32"/>
          <w:szCs w:val="32"/>
        </w:rPr>
        <w:t xml:space="preserve">日 - </w:t>
      </w:r>
      <w:r>
        <w:rPr>
          <w:rFonts w:hint="eastAsia" w:ascii="仿宋_GB2312" w:hAnsi="仿宋_GB2312" w:eastAsia="仿宋_GB2312" w:cs="仿宋_GB2312"/>
          <w:b w:val="0"/>
          <w:sz w:val="32"/>
          <w:szCs w:val="32"/>
          <w:lang w:val="en-US" w:eastAsia="zh-CN"/>
        </w:rPr>
        <w:t>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6</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1</w:t>
      </w:r>
      <w:r>
        <w:rPr>
          <w:rFonts w:hint="eastAsia" w:ascii="仿宋_GB2312" w:hAnsi="仿宋_GB2312" w:eastAsia="仿宋_GB2312" w:cs="仿宋_GB2312"/>
          <w:b w:val="0"/>
          <w:sz w:val="32"/>
          <w:szCs w:val="32"/>
        </w:rPr>
        <w:t>日17时00分前。</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六、踏勘现场</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采购人不统一组织竞价申请人踏勘现场，需竞价申请人在竞价前自行对项目现场和周围环境进行踏勘。踏勘现场前，必须报采购人同意，经采购人允许后，竞价申请人的代表在采购人的陪同下踏勘现场。</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七、竞价响应文件递交</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val="0"/>
          <w:sz w:val="32"/>
          <w:szCs w:val="32"/>
        </w:rPr>
        <w:t>递交截止时间：</w:t>
      </w:r>
      <w:r>
        <w:rPr>
          <w:rFonts w:hint="eastAsia" w:ascii="仿宋_GB2312" w:hAnsi="仿宋_GB2312" w:eastAsia="仿宋_GB2312" w:cs="仿宋_GB2312"/>
          <w:b w:val="0"/>
          <w:sz w:val="32"/>
          <w:szCs w:val="32"/>
          <w:lang w:val="en-US" w:eastAsia="zh-CN"/>
        </w:rPr>
        <w:t>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6</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3</w:t>
      </w:r>
      <w:r>
        <w:rPr>
          <w:rFonts w:hint="eastAsia" w:ascii="仿宋_GB2312" w:hAnsi="仿宋_GB2312" w:eastAsia="仿宋_GB2312" w:cs="仿宋_GB2312"/>
          <w:b w:val="0"/>
          <w:sz w:val="32"/>
          <w:szCs w:val="32"/>
        </w:rPr>
        <w:t>日</w:t>
      </w:r>
      <w:r>
        <w:rPr>
          <w:rFonts w:hint="eastAsia" w:ascii="仿宋_GB2312" w:hAnsi="仿宋_GB2312" w:eastAsia="仿宋_GB2312" w:cs="仿宋_GB2312"/>
          <w:b w:val="0"/>
          <w:sz w:val="32"/>
          <w:szCs w:val="32"/>
          <w:lang w:val="en-US" w:eastAsia="zh-CN"/>
        </w:rPr>
        <w:t>14</w:t>
      </w:r>
      <w:r>
        <w:rPr>
          <w:rFonts w:hint="eastAsia" w:ascii="仿宋_GB2312" w:hAnsi="仿宋_GB2312" w:eastAsia="仿宋_GB2312" w:cs="仿宋_GB2312"/>
          <w:b w:val="0"/>
          <w:sz w:val="32"/>
          <w:szCs w:val="32"/>
        </w:rPr>
        <w:t>时</w:t>
      </w:r>
      <w:r>
        <w:rPr>
          <w:rFonts w:hint="eastAsia" w:ascii="仿宋_GB2312" w:hAnsi="仿宋_GB2312" w:eastAsia="仿宋_GB2312" w:cs="仿宋_GB2312"/>
          <w:b w:val="0"/>
          <w:sz w:val="32"/>
          <w:szCs w:val="32"/>
          <w:lang w:val="en-US" w:eastAsia="zh-CN"/>
        </w:rPr>
        <w:t>30</w:t>
      </w:r>
      <w:r>
        <w:rPr>
          <w:rFonts w:hint="eastAsia" w:ascii="仿宋_GB2312" w:hAnsi="仿宋_GB2312" w:eastAsia="仿宋_GB2312" w:cs="仿宋_GB2312"/>
          <w:b w:val="0"/>
          <w:sz w:val="32"/>
          <w:szCs w:val="32"/>
        </w:rPr>
        <w:t>分。</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（二）</w:t>
      </w:r>
      <w:r>
        <w:rPr>
          <w:rFonts w:hint="eastAsia" w:ascii="仿宋_GB2312" w:hAnsi="仿宋_GB2312" w:eastAsia="仿宋_GB2312" w:cs="仿宋_GB2312"/>
          <w:b w:val="0"/>
          <w:sz w:val="32"/>
          <w:szCs w:val="32"/>
        </w:rPr>
        <w:t>递交地点：四川省绵阳市九华路6号东门接待室。</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（三）</w:t>
      </w:r>
      <w:r>
        <w:rPr>
          <w:rFonts w:hint="eastAsia" w:ascii="仿宋_GB2312" w:hAnsi="仿宋_GB2312" w:eastAsia="仿宋_GB2312" w:cs="仿宋_GB2312"/>
          <w:b w:val="0"/>
          <w:sz w:val="32"/>
          <w:szCs w:val="32"/>
        </w:rPr>
        <w:t>逾期送达、未送达指定地点、未密封或者标注错误的响应文件，采购人不予受理。本次竞价不接收邮寄的竞价响应文件。</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八、竞价时间及地点</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1"/>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val="0"/>
          <w:sz w:val="32"/>
          <w:szCs w:val="32"/>
        </w:rPr>
        <w:t>竞价时间：</w:t>
      </w:r>
      <w:r>
        <w:rPr>
          <w:rFonts w:hint="eastAsia" w:ascii="仿宋_GB2312" w:hAnsi="仿宋_GB2312" w:eastAsia="仿宋_GB2312" w:cs="仿宋_GB2312"/>
          <w:b w:val="0"/>
          <w:sz w:val="32"/>
          <w:szCs w:val="32"/>
          <w:lang w:val="en-US" w:eastAsia="zh-CN"/>
        </w:rPr>
        <w:t>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6</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3</w:t>
      </w:r>
      <w:r>
        <w:rPr>
          <w:rFonts w:hint="eastAsia" w:ascii="仿宋_GB2312" w:hAnsi="仿宋_GB2312" w:eastAsia="仿宋_GB2312" w:cs="仿宋_GB2312"/>
          <w:b w:val="0"/>
          <w:sz w:val="32"/>
          <w:szCs w:val="32"/>
        </w:rPr>
        <w:t>日</w:t>
      </w:r>
      <w:r>
        <w:rPr>
          <w:rFonts w:hint="eastAsia" w:ascii="仿宋_GB2312" w:hAnsi="仿宋_GB2312" w:eastAsia="仿宋_GB2312" w:cs="仿宋_GB2312"/>
          <w:b w:val="0"/>
          <w:sz w:val="32"/>
          <w:szCs w:val="32"/>
          <w:lang w:val="en-US" w:eastAsia="zh-CN"/>
        </w:rPr>
        <w:t>14</w:t>
      </w:r>
      <w:r>
        <w:rPr>
          <w:rFonts w:hint="eastAsia" w:ascii="仿宋_GB2312" w:hAnsi="仿宋_GB2312" w:eastAsia="仿宋_GB2312" w:cs="仿宋_GB2312"/>
          <w:b w:val="0"/>
          <w:sz w:val="32"/>
          <w:szCs w:val="32"/>
        </w:rPr>
        <w:t>时</w:t>
      </w:r>
      <w:r>
        <w:rPr>
          <w:rFonts w:hint="eastAsia" w:ascii="仿宋_GB2312" w:hAnsi="仿宋_GB2312" w:eastAsia="仿宋_GB2312" w:cs="仿宋_GB2312"/>
          <w:b w:val="0"/>
          <w:sz w:val="32"/>
          <w:szCs w:val="32"/>
          <w:lang w:val="en-US" w:eastAsia="zh-CN"/>
        </w:rPr>
        <w:t>30</w:t>
      </w:r>
      <w:r>
        <w:rPr>
          <w:rFonts w:hint="eastAsia" w:ascii="仿宋_GB2312" w:hAnsi="仿宋_GB2312" w:eastAsia="仿宋_GB2312" w:cs="仿宋_GB2312"/>
          <w:b w:val="0"/>
          <w:sz w:val="32"/>
          <w:szCs w:val="32"/>
        </w:rPr>
        <w:t>分。</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（二）</w:t>
      </w:r>
      <w:r>
        <w:rPr>
          <w:rFonts w:hint="eastAsia" w:ascii="仿宋_GB2312" w:hAnsi="仿宋_GB2312" w:eastAsia="仿宋_GB2312" w:cs="仿宋_GB2312"/>
          <w:b w:val="0"/>
          <w:sz w:val="32"/>
          <w:szCs w:val="32"/>
        </w:rPr>
        <w:t>竞价地点：四川省绵阳市科创园区九华路6号东门接待室。</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九、发布公告的媒介</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本次竞价公告在四川九洲投资控股集团有限公司官网上发布，对于因其他网站转载并发布的非完整版或修改版公告，而导致误报名或无效报名的情形，采购人不予承担责任。</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十、特别说明</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（一）</w:t>
      </w:r>
      <w:r>
        <w:rPr>
          <w:rFonts w:hint="eastAsia" w:ascii="仿宋_GB2312" w:hAnsi="仿宋_GB2312" w:eastAsia="仿宋_GB2312" w:cs="仿宋_GB2312"/>
          <w:b w:val="0"/>
          <w:sz w:val="32"/>
          <w:szCs w:val="32"/>
        </w:rPr>
        <w:t>其他未提及可能影响本项目报价的事项，竞价申请人可于踏勘现场时，与采购人进行详细沟通或电话咨询采购人。在充分了解本项目情况后，制定本项目的报价和响应文件。任何因竞价申请人忽视或误解情况而导致的报价遗漏、调整等，采购人不予认可。</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bCs/>
          <w:sz w:val="32"/>
          <w:szCs w:val="32"/>
        </w:rPr>
        <w:t>（二）</w:t>
      </w:r>
      <w:r>
        <w:rPr>
          <w:rFonts w:hint="eastAsia" w:ascii="仿宋_GB2312" w:hAnsi="仿宋_GB2312" w:eastAsia="仿宋_GB2312" w:cs="仿宋_GB2312"/>
          <w:b w:val="0"/>
          <w:sz w:val="32"/>
          <w:szCs w:val="32"/>
        </w:rPr>
        <w:t>本项目参与竞价的竞价申请人不得少于三家，不足三家时，采购人有权重新组织竞价。</w:t>
      </w:r>
    </w:p>
    <w:p>
      <w:pPr>
        <w:keepNext w:val="0"/>
        <w:keepLines w:val="0"/>
        <w:pageBreakBefore w:val="0"/>
        <w:widowControl/>
        <w:kinsoku/>
        <w:wordWrap/>
        <w:overflowPunct/>
        <w:topLinePunct w:val="0"/>
        <w:autoSpaceDE/>
        <w:autoSpaceDN/>
        <w:bidi w:val="0"/>
        <w:adjustRightInd/>
        <w:snapToGrid/>
        <w:spacing w:after="0" w:line="520" w:lineRule="exact"/>
        <w:ind w:firstLine="643" w:firstLineChars="200"/>
        <w:textAlignment w:val="auto"/>
        <w:outlineLvl w:val="0"/>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十一、联系方式</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联系人：冷先生</w:t>
      </w:r>
      <w:r>
        <w:rPr>
          <w:rFonts w:hint="eastAsia" w:ascii="仿宋_GB2312" w:hAnsi="仿宋_GB2312" w:eastAsia="仿宋_GB2312" w:cs="仿宋_GB2312"/>
          <w:b w:val="0"/>
          <w:sz w:val="32"/>
          <w:szCs w:val="32"/>
          <w:lang w:val="en-US" w:eastAsia="zh-CN"/>
        </w:rPr>
        <w:t xml:space="preserve">    </w:t>
      </w:r>
      <w:r>
        <w:rPr>
          <w:rFonts w:hint="eastAsia" w:ascii="仿宋_GB2312" w:hAnsi="仿宋_GB2312" w:eastAsia="仿宋_GB2312" w:cs="仿宋_GB2312"/>
          <w:b w:val="0"/>
          <w:sz w:val="32"/>
          <w:szCs w:val="32"/>
        </w:rPr>
        <w:t>联系电话：18011146815</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电子邮箱：lengmingyang@jezetek.cc</w:t>
      </w: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p>
    <w:p>
      <w:pPr>
        <w:keepNext w:val="0"/>
        <w:keepLines w:val="0"/>
        <w:pageBreakBefore w:val="0"/>
        <w:widowControl/>
        <w:kinsoku/>
        <w:wordWrap/>
        <w:overflowPunct/>
        <w:topLinePunct w:val="0"/>
        <w:autoSpaceDE/>
        <w:autoSpaceDN/>
        <w:bidi w:val="0"/>
        <w:adjustRightInd/>
        <w:snapToGrid/>
        <w:spacing w:after="0" w:line="520" w:lineRule="exact"/>
        <w:ind w:firstLine="640" w:firstLineChars="200"/>
        <w:textAlignment w:val="auto"/>
        <w:rPr>
          <w:rFonts w:hint="eastAsia" w:ascii="仿宋_GB2312" w:hAnsi="仿宋_GB2312" w:eastAsia="仿宋_GB2312" w:cs="仿宋_GB2312"/>
          <w:b w:val="0"/>
          <w:sz w:val="32"/>
          <w:szCs w:val="32"/>
        </w:rPr>
      </w:pPr>
    </w:p>
    <w:p>
      <w:pPr>
        <w:keepNext w:val="0"/>
        <w:keepLines w:val="0"/>
        <w:pageBreakBefore w:val="0"/>
        <w:widowControl/>
        <w:kinsoku/>
        <w:wordWrap/>
        <w:overflowPunct/>
        <w:topLinePunct w:val="0"/>
        <w:autoSpaceDE/>
        <w:autoSpaceDN/>
        <w:bidi w:val="0"/>
        <w:adjustRightInd/>
        <w:snapToGrid/>
        <w:spacing w:after="0" w:line="520" w:lineRule="exact"/>
        <w:ind w:firstLine="4160" w:firstLineChars="13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rPr>
        <w:t>四川九洲后勤服务有限责任公司</w:t>
      </w:r>
    </w:p>
    <w:p>
      <w:pPr>
        <w:keepNext w:val="0"/>
        <w:keepLines w:val="0"/>
        <w:pageBreakBefore w:val="0"/>
        <w:widowControl/>
        <w:kinsoku/>
        <w:wordWrap/>
        <w:overflowPunct/>
        <w:topLinePunct w:val="0"/>
        <w:autoSpaceDE/>
        <w:autoSpaceDN/>
        <w:bidi w:val="0"/>
        <w:adjustRightInd/>
        <w:snapToGrid/>
        <w:spacing w:after="0" w:line="520" w:lineRule="exact"/>
        <w:ind w:left="5758" w:leftChars="290" w:hanging="5120" w:hangingChars="1600"/>
        <w:textAlignment w:val="auto"/>
        <w:rPr>
          <w:rFonts w:hint="eastAsia" w:ascii="仿宋_GB2312" w:hAnsi="仿宋_GB2312" w:eastAsia="仿宋_GB2312" w:cs="仿宋_GB2312"/>
          <w:b w:val="0"/>
          <w:sz w:val="32"/>
          <w:szCs w:val="32"/>
        </w:rPr>
      </w:pPr>
      <w:r>
        <w:rPr>
          <w:rFonts w:hint="eastAsia" w:ascii="仿宋_GB2312" w:hAnsi="仿宋_GB2312" w:eastAsia="仿宋_GB2312" w:cs="仿宋_GB2312"/>
          <w:b w:val="0"/>
          <w:sz w:val="32"/>
          <w:szCs w:val="32"/>
          <w:lang w:val="en-US" w:eastAsia="zh-CN"/>
        </w:rPr>
        <w:t xml:space="preserve">                            2026</w:t>
      </w:r>
      <w:r>
        <w:rPr>
          <w:rFonts w:hint="eastAsia" w:ascii="仿宋_GB2312" w:hAnsi="仿宋_GB2312" w:eastAsia="仿宋_GB2312" w:cs="仿宋_GB2312"/>
          <w:b w:val="0"/>
          <w:sz w:val="32"/>
          <w:szCs w:val="32"/>
        </w:rPr>
        <w:t>年</w:t>
      </w:r>
      <w:r>
        <w:rPr>
          <w:rFonts w:hint="eastAsia" w:ascii="仿宋_GB2312" w:hAnsi="仿宋_GB2312" w:eastAsia="仿宋_GB2312" w:cs="仿宋_GB2312"/>
          <w:b w:val="0"/>
          <w:sz w:val="32"/>
          <w:szCs w:val="32"/>
          <w:lang w:val="en-US" w:eastAsia="zh-CN"/>
        </w:rPr>
        <w:t>5</w:t>
      </w:r>
      <w:r>
        <w:rPr>
          <w:rFonts w:hint="eastAsia" w:ascii="仿宋_GB2312" w:hAnsi="仿宋_GB2312" w:eastAsia="仿宋_GB2312" w:cs="仿宋_GB2312"/>
          <w:b w:val="0"/>
          <w:sz w:val="32"/>
          <w:szCs w:val="32"/>
        </w:rPr>
        <w:t>月</w:t>
      </w:r>
      <w:r>
        <w:rPr>
          <w:rFonts w:hint="eastAsia" w:ascii="仿宋_GB2312" w:hAnsi="仿宋_GB2312" w:eastAsia="仿宋_GB2312" w:cs="仿宋_GB2312"/>
          <w:b w:val="0"/>
          <w:sz w:val="32"/>
          <w:szCs w:val="32"/>
          <w:lang w:val="en-US" w:eastAsia="zh-CN"/>
        </w:rPr>
        <w:t>26</w:t>
      </w:r>
      <w:r>
        <w:rPr>
          <w:rFonts w:hint="eastAsia" w:ascii="仿宋_GB2312" w:hAnsi="仿宋_GB2312" w:eastAsia="仿宋_GB2312" w:cs="仿宋_GB2312"/>
          <w:b w:val="0"/>
          <w:sz w:val="32"/>
          <w:szCs w:val="32"/>
        </w:rPr>
        <w:t>日</w:t>
      </w:r>
    </w:p>
    <w:sectPr>
      <w:pgSz w:w="11906" w:h="16838"/>
      <w:pgMar w:top="2098" w:right="1417" w:bottom="1984"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Yu Gothic">
    <w:panose1 w:val="020B0400000000000000"/>
    <w:charset w:val="80"/>
    <w:family w:val="auto"/>
    <w:pitch w:val="default"/>
    <w:sig w:usb0="E00002FF" w:usb1="2AC7FDFF" w:usb2="00000016" w:usb3="00000000" w:csb0="2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 w:val="13B329A7"/>
    <w:rsid w:val="13E37DB9"/>
    <w:rsid w:val="17367A1C"/>
    <w:rsid w:val="1B5F2881"/>
    <w:rsid w:val="37B143CC"/>
    <w:rsid w:val="390B51AC"/>
    <w:rsid w:val="481035CB"/>
    <w:rsid w:val="5CFE41CA"/>
    <w:rsid w:val="6C932ED3"/>
    <w:rsid w:val="7E3535D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doNotIncludeSubdocsInStats/>
  <w14:defaultImageDpi w14:val="300"/>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qFormat="1"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qFormat="1" w:unhideWhenUsed="0" w:uiPriority="61" w:semiHidden="0" w:name="Light List Accent 2"/>
    <w:lsdException w:qFormat="1" w:unhideWhenUsed="0" w:uiPriority="62" w:semiHidden="0" w:name="Light Grid Accent 2"/>
    <w:lsdException w:qFormat="1"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qFormat="1"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qFormat="1" w:unhideWhenUsed="0" w:uiPriority="61" w:semiHidden="0" w:name="Light List Accent 5"/>
    <w:lsdException w:qFormat="1"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qFormat="1" w:unhideWhenUsed="0" w:uiPriority="61" w:semiHidden="0" w:name="Light List Accent 6"/>
    <w:lsdException w:qFormat="1" w:unhideWhenUsed="0" w:uiPriority="62" w:semiHidden="0" w:name="Light Grid Accent 6"/>
    <w:lsdException w:qFormat="1"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EastAsia" w:cstheme="minorBidi"/>
      <w:sz w:val="22"/>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Layout w:type="fixed"/>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qFormat/>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blLayout w:type="fixed"/>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BFBFBF" w:themeFill="text1" w:themeFillTint="3F"/>
      </w:tcPr>
    </w:tblStylePr>
    <w:tblStylePr w:type="band1Horz">
      <w:tblPr>
        <w:tblLayout w:type="fixed"/>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blLayout w:type="fixed"/>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3DFEE" w:themeFill="accent1" w:themeFillTint="3F"/>
      </w:tcPr>
    </w:tblStylePr>
    <w:tblStylePr w:type="band1Horz">
      <w:tblPr>
        <w:tblLayout w:type="fixed"/>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blLayout w:type="fixed"/>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EFD3D3" w:themeFill="accent2" w:themeFillTint="3F"/>
      </w:tcPr>
    </w:tblStylePr>
    <w:tblStylePr w:type="band1Horz">
      <w:tblPr>
        <w:tblLayout w:type="fixed"/>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blLayout w:type="fixed"/>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E6EED5" w:themeFill="accent3" w:themeFillTint="3F"/>
      </w:tcPr>
    </w:tblStylePr>
    <w:tblStylePr w:type="band1Horz">
      <w:tblPr>
        <w:tblLayout w:type="fixed"/>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blLayout w:type="fixed"/>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FD8E8" w:themeFill="accent4" w:themeFillTint="3F"/>
      </w:tcPr>
    </w:tblStylePr>
    <w:tblStylePr w:type="band1Horz">
      <w:tblPr>
        <w:tblLayout w:type="fixed"/>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blLayout w:type="fixed"/>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D2EAF0" w:themeFill="accent5" w:themeFillTint="3F"/>
      </w:tcPr>
    </w:tblStylePr>
    <w:tblStylePr w:type="band1Horz">
      <w:tblPr>
        <w:tblLayout w:type="fixed"/>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Layout w:type="fixed"/>
      <w:tblCellMar>
        <w:top w:w="0" w:type="dxa"/>
        <w:left w:w="108" w:type="dxa"/>
        <w:bottom w:w="0" w:type="dxa"/>
        <w:right w:w="108" w:type="dxa"/>
      </w:tblCellMar>
    </w:tblPr>
    <w:tblStylePr w:type="firstRow">
      <w:pPr>
        <w:spacing w:before="0" w:after="0" w:line="240" w:lineRule="auto"/>
      </w:pPr>
      <w:rPr>
        <w:b/>
        <w:bCs/>
      </w:rPr>
      <w:tblPr>
        <w:tblLayout w:type="fixed"/>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blLayout w:type="fixed"/>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blLayout w:type="fixed"/>
      </w:tblPr>
      <w:tcPr>
        <w:tcBorders>
          <w:left w:val="nil"/>
          <w:right w:val="nil"/>
          <w:insideH w:val="nil"/>
          <w:insideV w:val="nil"/>
        </w:tcBorders>
        <w:shd w:val="clear" w:color="auto" w:fill="FDE5D1" w:themeFill="accent6" w:themeFillTint="3F"/>
      </w:tcPr>
    </w:tblStylePr>
    <w:tblStylePr w:type="band1Horz">
      <w:tblPr>
        <w:tblLayout w:type="fixed"/>
      </w:tblPr>
      <w:tcPr>
        <w:tcBorders>
          <w:left w:val="nil"/>
          <w:right w:val="nil"/>
          <w:insideH w:val="nil"/>
          <w:insideV w:val="nil"/>
        </w:tcBorders>
        <w:shd w:val="clear" w:color="auto" w:fill="FDE5D1" w:themeFill="accent6" w:themeFillTint="3F"/>
      </w:tcPr>
    </w:tblStylePr>
  </w:style>
  <w:style w:type="table" w:styleId="41">
    <w:name w:val="Light List"/>
    <w:basedOn w:val="32"/>
    <w:qFormat/>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000000" w:themeFill="text1"/>
      </w:tcPr>
    </w:tblStylePr>
    <w:tblStylePr w:type="lastRow">
      <w:pPr>
        <w:spacing w:before="0" w:after="0" w:line="240" w:lineRule="auto"/>
      </w:pPr>
      <w:rPr>
        <w:b/>
        <w:bCs/>
      </w:rPr>
      <w:tblPr>
        <w:tblLayout w:type="fixed"/>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qFormat/>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4F81BD" w:themeFill="accent1"/>
      </w:tcPr>
    </w:tblStylePr>
    <w:tblStylePr w:type="lastRow">
      <w:pPr>
        <w:spacing w:before="0" w:after="0" w:line="240" w:lineRule="auto"/>
      </w:pPr>
      <w:rPr>
        <w:b/>
        <w:bCs/>
      </w:rPr>
      <w:tblPr>
        <w:tblLayout w:type="fixed"/>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qFormat/>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C0504D" w:themeFill="accent2"/>
      </w:tcPr>
    </w:tblStylePr>
    <w:tblStylePr w:type="lastRow">
      <w:pPr>
        <w:spacing w:before="0" w:after="0" w:line="240" w:lineRule="auto"/>
      </w:pPr>
      <w:rPr>
        <w:b/>
        <w:bCs/>
      </w:rPr>
      <w:tblPr>
        <w:tblLayout w:type="fixed"/>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qFormat/>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9BBB59" w:themeFill="accent3"/>
      </w:tcPr>
    </w:tblStylePr>
    <w:tblStylePr w:type="lastRow">
      <w:pPr>
        <w:spacing w:before="0" w:after="0" w:line="240" w:lineRule="auto"/>
      </w:pPr>
      <w:rPr>
        <w:b/>
        <w:bCs/>
      </w:rPr>
      <w:tblPr>
        <w:tblLayout w:type="fixed"/>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qFormat/>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8064A2" w:themeFill="accent4"/>
      </w:tcPr>
    </w:tblStylePr>
    <w:tblStylePr w:type="lastRow">
      <w:pPr>
        <w:spacing w:before="0" w:after="0" w:line="240" w:lineRule="auto"/>
      </w:pPr>
      <w:rPr>
        <w:b/>
        <w:bCs/>
      </w:rPr>
      <w:tblPr>
        <w:tblLayout w:type="fixed"/>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qFormat/>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4BACC6" w:themeFill="accent5"/>
      </w:tcPr>
    </w:tblStylePr>
    <w:tblStylePr w:type="lastRow">
      <w:pPr>
        <w:spacing w:before="0" w:after="0" w:line="240" w:lineRule="auto"/>
      </w:pPr>
      <w:rPr>
        <w:b/>
        <w:bCs/>
      </w:rPr>
      <w:tblPr>
        <w:tblLayout w:type="fixed"/>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qFormat/>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shd w:val="clear" w:color="auto" w:fill="F79646" w:themeFill="accent6"/>
      </w:tcPr>
    </w:tblStylePr>
    <w:tblStylePr w:type="lastRow">
      <w:pPr>
        <w:spacing w:before="0" w:after="0" w:line="240" w:lineRule="auto"/>
      </w:pPr>
      <w:rPr>
        <w:b/>
        <w:bCs/>
      </w:rPr>
      <w:tblPr>
        <w:tblLayout w:type="fixed"/>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blLayout w:type="fixed"/>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qFormat/>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blLayout w:type="fixed"/>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qFormat/>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blLayout w:type="fixed"/>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blLayout w:type="fixed"/>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blLayout w:type="fixed"/>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blLayout w:type="fixed"/>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qFormat/>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Layout w:type="fixed"/>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blLayout w:type="fixed"/>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blLayout w:type="fixed"/>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blLayout w:type="fixed"/>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qFormat/>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blLayout w:type="fixed"/>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BFBFBF" w:themeFill="text1" w:themeFillTint="3F"/>
      </w:tcPr>
    </w:tblStylePr>
    <w:tblStylePr w:type="band1Horz">
      <w:tblPr>
        <w:tblLayout w:type="fixed"/>
      </w:tblPr>
      <w:tcPr>
        <w:tcBorders>
          <w:insideH w:val="nil"/>
          <w:insideV w:val="nil"/>
        </w:tcBorders>
        <w:shd w:val="clear" w:color="auto" w:fill="BFBFBF" w:themeFill="text1" w:themeFillTint="3F"/>
      </w:tcPr>
    </w:tblStylePr>
    <w:tblStylePr w:type="band2Horz">
      <w:tblPr>
        <w:tblLayout w:type="fixed"/>
      </w:tblPr>
      <w:tcPr>
        <w:tcBorders>
          <w:insideH w:val="nil"/>
          <w:insideV w:val="nil"/>
        </w:tcBorders>
      </w:tcPr>
    </w:tblStylePr>
  </w:style>
  <w:style w:type="table" w:styleId="56">
    <w:name w:val="Medium Shading 1 Accent 1"/>
    <w:basedOn w:val="32"/>
    <w:qFormat/>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blLayout w:type="fixed"/>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3DFEE" w:themeFill="accent1" w:themeFillTint="3F"/>
      </w:tcPr>
    </w:tblStylePr>
    <w:tblStylePr w:type="band1Horz">
      <w:tblPr>
        <w:tblLayout w:type="fixed"/>
      </w:tblPr>
      <w:tcPr>
        <w:tcBorders>
          <w:insideH w:val="nil"/>
          <w:insideV w:val="nil"/>
        </w:tcBorders>
        <w:shd w:val="clear" w:color="auto" w:fill="D3DFEE" w:themeFill="accent1" w:themeFillTint="3F"/>
      </w:tcPr>
    </w:tblStylePr>
    <w:tblStylePr w:type="band2Horz">
      <w:tblPr>
        <w:tblLayout w:type="fixed"/>
      </w:tblPr>
      <w:tcPr>
        <w:tcBorders>
          <w:insideH w:val="nil"/>
          <w:insideV w:val="nil"/>
        </w:tcBorders>
      </w:tcPr>
    </w:tblStylePr>
  </w:style>
  <w:style w:type="table" w:styleId="57">
    <w:name w:val="Medium Shading 1 Accent 2"/>
    <w:basedOn w:val="32"/>
    <w:qFormat/>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blLayout w:type="fixed"/>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EFD3D3" w:themeFill="accent2" w:themeFillTint="3F"/>
      </w:tcPr>
    </w:tblStylePr>
    <w:tblStylePr w:type="band1Horz">
      <w:tblPr>
        <w:tblLayout w:type="fixed"/>
      </w:tblPr>
      <w:tcPr>
        <w:tcBorders>
          <w:insideH w:val="nil"/>
          <w:insideV w:val="nil"/>
        </w:tcBorders>
        <w:shd w:val="clear" w:color="auto" w:fill="EFD3D3" w:themeFill="accent2" w:themeFillTint="3F"/>
      </w:tcPr>
    </w:tblStylePr>
    <w:tblStylePr w:type="band2Horz">
      <w:tblPr>
        <w:tblLayout w:type="fixed"/>
      </w:tblPr>
      <w:tcPr>
        <w:tcBorders>
          <w:insideH w:val="nil"/>
          <w:insideV w:val="nil"/>
        </w:tcBorders>
      </w:tcPr>
    </w:tblStylePr>
  </w:style>
  <w:style w:type="table" w:styleId="58">
    <w:name w:val="Medium Shading 1 Accent 3"/>
    <w:basedOn w:val="32"/>
    <w:qFormat/>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blLayout w:type="fixed"/>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E6EED5" w:themeFill="accent3" w:themeFillTint="3F"/>
      </w:tcPr>
    </w:tblStylePr>
    <w:tblStylePr w:type="band1Horz">
      <w:tblPr>
        <w:tblLayout w:type="fixed"/>
      </w:tblPr>
      <w:tcPr>
        <w:tcBorders>
          <w:insideH w:val="nil"/>
          <w:insideV w:val="nil"/>
        </w:tcBorders>
        <w:shd w:val="clear" w:color="auto" w:fill="E6EED5" w:themeFill="accent3" w:themeFillTint="3F"/>
      </w:tcPr>
    </w:tblStylePr>
    <w:tblStylePr w:type="band2Horz">
      <w:tblPr>
        <w:tblLayout w:type="fixed"/>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blLayout w:type="fixed"/>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FD8E8" w:themeFill="accent4" w:themeFillTint="3F"/>
      </w:tcPr>
    </w:tblStylePr>
    <w:tblStylePr w:type="band1Horz">
      <w:tblPr>
        <w:tblLayout w:type="fixed"/>
      </w:tblPr>
      <w:tcPr>
        <w:tcBorders>
          <w:insideH w:val="nil"/>
          <w:insideV w:val="nil"/>
        </w:tcBorders>
        <w:shd w:val="clear" w:color="auto" w:fill="DFD8E8" w:themeFill="accent4" w:themeFillTint="3F"/>
      </w:tcPr>
    </w:tblStylePr>
    <w:tblStylePr w:type="band2Horz">
      <w:tblPr>
        <w:tblLayout w:type="fixed"/>
      </w:tblPr>
      <w:tcPr>
        <w:tcBorders>
          <w:insideH w:val="nil"/>
          <w:insideV w:val="nil"/>
        </w:tcBorders>
      </w:tcPr>
    </w:tblStylePr>
  </w:style>
  <w:style w:type="table" w:styleId="60">
    <w:name w:val="Medium Shading 1 Accent 5"/>
    <w:basedOn w:val="32"/>
    <w:qFormat/>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blLayout w:type="fixed"/>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D2EAF0" w:themeFill="accent5" w:themeFillTint="3F"/>
      </w:tcPr>
    </w:tblStylePr>
    <w:tblStylePr w:type="band1Horz">
      <w:tblPr>
        <w:tblLayout w:type="fixed"/>
      </w:tblPr>
      <w:tcPr>
        <w:tcBorders>
          <w:insideH w:val="nil"/>
          <w:insideV w:val="nil"/>
        </w:tcBorders>
        <w:shd w:val="clear" w:color="auto" w:fill="D2EAF0" w:themeFill="accent5" w:themeFillTint="3F"/>
      </w:tcPr>
    </w:tblStylePr>
    <w:tblStylePr w:type="band2Horz">
      <w:tblPr>
        <w:tblLayout w:type="fixed"/>
      </w:tblPr>
      <w:tcPr>
        <w:tcBorders>
          <w:insideH w:val="nil"/>
          <w:insideV w:val="nil"/>
        </w:tcBorders>
      </w:tcPr>
    </w:tblStylePr>
  </w:style>
  <w:style w:type="table" w:styleId="61">
    <w:name w:val="Medium Shading 1 Accent 6"/>
    <w:basedOn w:val="32"/>
    <w:qFormat/>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blLayout w:type="fixed"/>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blLayout w:type="fixed"/>
      </w:tblPr>
      <w:tcPr>
        <w:shd w:val="clear" w:color="auto" w:fill="FDE5D1" w:themeFill="accent6" w:themeFillTint="3F"/>
      </w:tcPr>
    </w:tblStylePr>
    <w:tblStylePr w:type="band1Horz">
      <w:tblPr>
        <w:tblLayout w:type="fixed"/>
      </w:tblPr>
      <w:tcPr>
        <w:tcBorders>
          <w:insideH w:val="nil"/>
          <w:insideV w:val="nil"/>
        </w:tcBorders>
        <w:shd w:val="clear" w:color="auto" w:fill="FDE5D1" w:themeFill="accent6" w:themeFillTint="3F"/>
      </w:tcPr>
    </w:tblStylePr>
    <w:tblStylePr w:type="band2Horz">
      <w:tblPr>
        <w:tblLayout w:type="fixed"/>
      </w:tblPr>
      <w:tcPr>
        <w:tcBorders>
          <w:insideH w:val="nil"/>
          <w:insideV w:val="nil"/>
        </w:tcBorders>
      </w:tcPr>
    </w:tblStylePr>
  </w:style>
  <w:style w:type="table" w:styleId="62">
    <w:name w:val="Medium Shading 2"/>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000000" w:themeFill="text1"/>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4F81BD" w:themeFill="accent1"/>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C0504D" w:themeFill="accent2"/>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9BBB59" w:themeFill="accent3"/>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8064A2" w:themeFill="accent4"/>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4BACC6" w:themeFill="accent5"/>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Layout w:type="fixed"/>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blLayout w:type="fixed"/>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blLayout w:type="fixed"/>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blLayout w:type="fixed"/>
      </w:tblPr>
      <w:tcPr>
        <w:tcBorders>
          <w:left w:val="nil"/>
          <w:right w:val="nil"/>
          <w:insideH w:val="nil"/>
          <w:insideV w:val="nil"/>
        </w:tcBorders>
        <w:shd w:val="clear" w:color="auto" w:fill="F79646" w:themeFill="accent6"/>
      </w:tcPr>
    </w:tblStylePr>
    <w:tblStylePr w:type="band1Vert">
      <w:tblPr>
        <w:tblLayout w:type="fixed"/>
      </w:tblPr>
      <w:tcPr>
        <w:tcBorders>
          <w:left w:val="nil"/>
          <w:right w:val="nil"/>
          <w:insideH w:val="nil"/>
          <w:insideV w:val="nil"/>
        </w:tcBorders>
        <w:shd w:val="clear" w:color="auto" w:fill="D7D7D7" w:themeFill="background1" w:themeFillShade="D8"/>
      </w:tcPr>
    </w:tblStylePr>
    <w:tblStylePr w:type="band1Horz">
      <w:tblPr>
        <w:tblLayout w:type="fixed"/>
      </w:tblPr>
      <w:tcPr>
        <w:shd w:val="clear" w:color="auto" w:fill="D7D7D7" w:themeFill="background1" w:themeFillShade="D8"/>
      </w:tcPr>
    </w:tblStylePr>
    <w:tblStylePr w:type="neCell">
      <w:tblPr>
        <w:tblLayout w:type="fixed"/>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blLayout w:type="fixed"/>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blLayout w:type="fixed"/>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blLayout w:type="fixed"/>
      </w:tblPr>
      <w:tcPr>
        <w:tcBorders>
          <w:top w:val="single" w:color="000000" w:themeColor="text1" w:sz="8" w:space="0"/>
          <w:bottom w:val="single" w:color="000000" w:themeColor="text1" w:sz="8" w:space="0"/>
        </w:tcBorders>
      </w:tcPr>
    </w:tblStylePr>
    <w:tblStylePr w:type="band1Vert">
      <w:tblPr>
        <w:tblLayout w:type="fixed"/>
      </w:tblPr>
      <w:tcPr>
        <w:shd w:val="clear" w:color="auto" w:fill="BFBFBF" w:themeFill="text1" w:themeFillTint="3F"/>
      </w:tcPr>
    </w:tblStylePr>
    <w:tblStylePr w:type="band1Horz">
      <w:tblPr>
        <w:tblLayout w:type="fixed"/>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blLayout w:type="fixed"/>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blLayout w:type="fixed"/>
      </w:tblPr>
      <w:tcPr>
        <w:tcBorders>
          <w:top w:val="single" w:color="4F81BD" w:themeColor="accent1" w:sz="8" w:space="0"/>
          <w:bottom w:val="single" w:color="4F81BD" w:themeColor="accent1" w:sz="8" w:space="0"/>
        </w:tcBorders>
      </w:tcPr>
    </w:tblStylePr>
    <w:tblStylePr w:type="band1Vert">
      <w:tblPr>
        <w:tblLayout w:type="fixed"/>
      </w:tblPr>
      <w:tcPr>
        <w:shd w:val="clear" w:color="auto" w:fill="D3DFEE" w:themeFill="accent1" w:themeFillTint="3F"/>
      </w:tcPr>
    </w:tblStylePr>
    <w:tblStylePr w:type="band1Horz">
      <w:tblPr>
        <w:tblLayout w:type="fixed"/>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blLayout w:type="fixed"/>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blLayout w:type="fixed"/>
      </w:tblPr>
      <w:tcPr>
        <w:tcBorders>
          <w:top w:val="single" w:color="C0504D" w:themeColor="accent2" w:sz="8" w:space="0"/>
          <w:bottom w:val="single" w:color="C0504D" w:themeColor="accent2" w:sz="8" w:space="0"/>
        </w:tcBorders>
      </w:tcPr>
    </w:tblStylePr>
    <w:tblStylePr w:type="band1Vert">
      <w:tblPr>
        <w:tblLayout w:type="fixed"/>
      </w:tblPr>
      <w:tcPr>
        <w:shd w:val="clear" w:color="auto" w:fill="EFD3D3" w:themeFill="accent2" w:themeFillTint="3F"/>
      </w:tcPr>
    </w:tblStylePr>
    <w:tblStylePr w:type="band1Horz">
      <w:tblPr>
        <w:tblLayout w:type="fixed"/>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blLayout w:type="fixed"/>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blLayout w:type="fixed"/>
      </w:tblPr>
      <w:tcPr>
        <w:tcBorders>
          <w:top w:val="single" w:color="9BBB59" w:themeColor="accent3" w:sz="8" w:space="0"/>
          <w:bottom w:val="single" w:color="9BBB59" w:themeColor="accent3" w:sz="8" w:space="0"/>
        </w:tcBorders>
      </w:tcPr>
    </w:tblStylePr>
    <w:tblStylePr w:type="band1Vert">
      <w:tblPr>
        <w:tblLayout w:type="fixed"/>
      </w:tblPr>
      <w:tcPr>
        <w:shd w:val="clear" w:color="auto" w:fill="E6EED5" w:themeFill="accent3" w:themeFillTint="3F"/>
      </w:tcPr>
    </w:tblStylePr>
    <w:tblStylePr w:type="band1Horz">
      <w:tblPr>
        <w:tblLayout w:type="fixed"/>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blLayout w:type="fixed"/>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blLayout w:type="fixed"/>
      </w:tblPr>
      <w:tcPr>
        <w:tcBorders>
          <w:top w:val="single" w:color="8064A2" w:themeColor="accent4" w:sz="8" w:space="0"/>
          <w:bottom w:val="single" w:color="8064A2" w:themeColor="accent4" w:sz="8" w:space="0"/>
        </w:tcBorders>
      </w:tcPr>
    </w:tblStylePr>
    <w:tblStylePr w:type="band1Vert">
      <w:tblPr>
        <w:tblLayout w:type="fixed"/>
      </w:tblPr>
      <w:tcPr>
        <w:shd w:val="clear" w:color="auto" w:fill="DFD8E8" w:themeFill="accent4" w:themeFillTint="3F"/>
      </w:tcPr>
    </w:tblStylePr>
    <w:tblStylePr w:type="band1Horz">
      <w:tblPr>
        <w:tblLayout w:type="fixed"/>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blLayout w:type="fixed"/>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blLayout w:type="fixed"/>
      </w:tblPr>
      <w:tcPr>
        <w:tcBorders>
          <w:top w:val="single" w:color="4BACC6" w:themeColor="accent5" w:sz="8" w:space="0"/>
          <w:bottom w:val="single" w:color="4BACC6" w:themeColor="accent5" w:sz="8" w:space="0"/>
        </w:tcBorders>
      </w:tcPr>
    </w:tblStylePr>
    <w:tblStylePr w:type="band1Vert">
      <w:tblPr>
        <w:tblLayout w:type="fixed"/>
      </w:tblPr>
      <w:tcPr>
        <w:shd w:val="clear" w:color="auto" w:fill="D2EAF0" w:themeFill="accent5" w:themeFillTint="3F"/>
      </w:tcPr>
    </w:tblStylePr>
    <w:tblStylePr w:type="band1Horz">
      <w:tblPr>
        <w:tblLayout w:type="fixed"/>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Layout w:type="fixed"/>
      <w:tblCellMar>
        <w:top w:w="0" w:type="dxa"/>
        <w:left w:w="108" w:type="dxa"/>
        <w:bottom w:w="0" w:type="dxa"/>
        <w:right w:w="108" w:type="dxa"/>
      </w:tblCellMar>
    </w:tblPr>
    <w:tblStylePr w:type="firstRow">
      <w:rPr>
        <w:rFonts w:asciiTheme="majorHAnsi" w:hAnsiTheme="majorHAnsi" w:eastAsiaTheme="majorEastAsia" w:cstheme="majorBidi"/>
      </w:rPr>
      <w:tblPr>
        <w:tblLayout w:type="fixed"/>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blLayout w:type="fixed"/>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blLayout w:type="fixed"/>
      </w:tblPr>
      <w:tcPr>
        <w:tcBorders>
          <w:top w:val="single" w:color="F79646" w:themeColor="accent6" w:sz="8" w:space="0"/>
          <w:bottom w:val="single" w:color="F79646" w:themeColor="accent6" w:sz="8" w:space="0"/>
        </w:tcBorders>
      </w:tcPr>
    </w:tblStylePr>
    <w:tblStylePr w:type="band1Vert">
      <w:tblPr>
        <w:tblLayout w:type="fixed"/>
      </w:tblPr>
      <w:tcPr>
        <w:shd w:val="clear" w:color="auto" w:fill="FDE5D1" w:themeFill="accent6" w:themeFillTint="3F"/>
      </w:tcPr>
    </w:tblStylePr>
    <w:tblStylePr w:type="band1Horz">
      <w:tblPr>
        <w:tblLayout w:type="fixed"/>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blLayout w:type="fixed"/>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blLayout w:type="fixed"/>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BFBFBF" w:themeFill="text1" w:themeFillTint="3F"/>
      </w:tcPr>
    </w:tblStylePr>
    <w:tblStylePr w:type="band1Horz">
      <w:tblPr>
        <w:tblLayout w:type="fixed"/>
      </w:tblPr>
      <w:tcPr>
        <w:tcBorders>
          <w:top w:val="nil"/>
          <w:bottom w:val="nil"/>
          <w:insideH w:val="nil"/>
          <w:insideV w:val="nil"/>
        </w:tcBorders>
        <w:shd w:val="clear" w:color="auto" w:fill="BFBFBF" w:themeFill="text1"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blLayout w:type="fixed"/>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blLayout w:type="fixed"/>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D3DFEE" w:themeFill="accent1" w:themeFillTint="3F"/>
      </w:tcPr>
    </w:tblStylePr>
    <w:tblStylePr w:type="band1Horz">
      <w:tblPr>
        <w:tblLayout w:type="fixed"/>
      </w:tblPr>
      <w:tcPr>
        <w:tcBorders>
          <w:top w:val="nil"/>
          <w:bottom w:val="nil"/>
          <w:insideH w:val="nil"/>
          <w:insideV w:val="nil"/>
        </w:tcBorders>
        <w:shd w:val="clear" w:color="auto" w:fill="D3DFEE" w:themeFill="accent1"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blLayout w:type="fixed"/>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blLayout w:type="fixed"/>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EFD3D3" w:themeFill="accent2" w:themeFillTint="3F"/>
      </w:tcPr>
    </w:tblStylePr>
    <w:tblStylePr w:type="band1Horz">
      <w:tblPr>
        <w:tblLayout w:type="fixed"/>
      </w:tblPr>
      <w:tcPr>
        <w:tcBorders>
          <w:top w:val="nil"/>
          <w:bottom w:val="nil"/>
          <w:insideH w:val="nil"/>
          <w:insideV w:val="nil"/>
        </w:tcBorders>
        <w:shd w:val="clear" w:color="auto" w:fill="EFD3D3" w:themeFill="accent2"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blLayout w:type="fixed"/>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blLayout w:type="fixed"/>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E6EED5" w:themeFill="accent3" w:themeFillTint="3F"/>
      </w:tcPr>
    </w:tblStylePr>
    <w:tblStylePr w:type="band1Horz">
      <w:tblPr>
        <w:tblLayout w:type="fixed"/>
      </w:tblPr>
      <w:tcPr>
        <w:tcBorders>
          <w:top w:val="nil"/>
          <w:bottom w:val="nil"/>
          <w:insideH w:val="nil"/>
          <w:insideV w:val="nil"/>
        </w:tcBorders>
        <w:shd w:val="clear" w:color="auto" w:fill="E6EED5" w:themeFill="accent3"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blLayout w:type="fixed"/>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blLayout w:type="fixed"/>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DFD8E8" w:themeFill="accent4" w:themeFillTint="3F"/>
      </w:tcPr>
    </w:tblStylePr>
    <w:tblStylePr w:type="band1Horz">
      <w:tblPr>
        <w:tblLayout w:type="fixed"/>
      </w:tblPr>
      <w:tcPr>
        <w:tcBorders>
          <w:top w:val="nil"/>
          <w:bottom w:val="nil"/>
          <w:insideH w:val="nil"/>
          <w:insideV w:val="nil"/>
        </w:tcBorders>
        <w:shd w:val="clear" w:color="auto" w:fill="DFD8E8" w:themeFill="accent4"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blLayout w:type="fixed"/>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blLayout w:type="fixed"/>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D2EAF0" w:themeFill="accent5" w:themeFillTint="3F"/>
      </w:tcPr>
    </w:tblStylePr>
    <w:tblStylePr w:type="band1Horz">
      <w:tblPr>
        <w:tblLayout w:type="fixed"/>
      </w:tblPr>
      <w:tcPr>
        <w:tcBorders>
          <w:top w:val="nil"/>
          <w:bottom w:val="nil"/>
          <w:insideH w:val="nil"/>
          <w:insideV w:val="nil"/>
        </w:tcBorders>
        <w:shd w:val="clear" w:color="auto" w:fill="D2EAF0" w:themeFill="accent5"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Layout w:type="fixed"/>
      <w:tblCellMar>
        <w:top w:w="0" w:type="dxa"/>
        <w:left w:w="108" w:type="dxa"/>
        <w:bottom w:w="0" w:type="dxa"/>
        <w:right w:w="108" w:type="dxa"/>
      </w:tblCellMar>
    </w:tblPr>
    <w:tblStylePr w:type="firstRow">
      <w:rPr>
        <w:sz w:val="24"/>
        <w:szCs w:val="24"/>
      </w:rPr>
      <w:tblPr>
        <w:tblLayout w:type="fixed"/>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blLayout w:type="fixed"/>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blLayout w:type="fixed"/>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blLayout w:type="fixed"/>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blLayout w:type="fixed"/>
      </w:tblPr>
      <w:tcPr>
        <w:tcBorders>
          <w:left w:val="nil"/>
          <w:right w:val="nil"/>
          <w:insideH w:val="nil"/>
          <w:insideV w:val="nil"/>
        </w:tcBorders>
        <w:shd w:val="clear" w:color="auto" w:fill="FDE5D1" w:themeFill="accent6" w:themeFillTint="3F"/>
      </w:tcPr>
    </w:tblStylePr>
    <w:tblStylePr w:type="band1Horz">
      <w:tblPr>
        <w:tblLayout w:type="fixed"/>
      </w:tblPr>
      <w:tcPr>
        <w:tcBorders>
          <w:top w:val="nil"/>
          <w:bottom w:val="nil"/>
          <w:insideH w:val="nil"/>
          <w:insideV w:val="nil"/>
        </w:tcBorders>
        <w:shd w:val="clear" w:color="auto" w:fill="FDE5D1" w:themeFill="accent6" w:themeFillTint="3F"/>
      </w:tcPr>
    </w:tblStylePr>
    <w:tblStylePr w:type="nwCell">
      <w:tblPr>
        <w:tblLayout w:type="fixed"/>
      </w:tblPr>
      <w:tcPr>
        <w:shd w:val="clear" w:color="auto" w:fill="FFFFFF" w:themeFill="background1"/>
      </w:tcPr>
    </w:tblStylePr>
    <w:tblStylePr w:type="swCell">
      <w:tblPr>
        <w:tblLayout w:type="fixed"/>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Layout w:type="fixed"/>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blLayout w:type="fixed"/>
      </w:tblPr>
      <w:tcPr>
        <w:tcBorders>
          <w:top w:val="single" w:color="3F3F3F" w:themeColor="text1" w:themeTint="BF" w:sz="18" w:space="0"/>
        </w:tcBorders>
      </w:tcPr>
    </w:tblStylePr>
    <w:tblStylePr w:type="firstCol">
      <w:rPr>
        <w:b/>
        <w:bCs/>
      </w:rPr>
    </w:tblStylePr>
    <w:tblStylePr w:type="lastCol">
      <w:rPr>
        <w:b/>
        <w:bCs/>
      </w:rPr>
    </w:tblStylePr>
    <w:tblStylePr w:type="band1Vert">
      <w:tblPr>
        <w:tblLayout w:type="fixed"/>
      </w:tblPr>
      <w:tcPr>
        <w:shd w:val="clear" w:color="auto" w:fill="7F7F7F" w:themeFill="text1" w:themeFillTint="7F"/>
      </w:tcPr>
    </w:tblStylePr>
    <w:tblStylePr w:type="band1Horz">
      <w:tblPr>
        <w:tblLayout w:type="fixed"/>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Layout w:type="fixed"/>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blLayout w:type="fixed"/>
      </w:tblPr>
      <w:tcPr>
        <w:tcBorders>
          <w:top w:val="single" w:color="7BA0CD" w:themeColor="accent1" w:themeTint="BF" w:sz="18" w:space="0"/>
        </w:tcBorders>
      </w:tcPr>
    </w:tblStylePr>
    <w:tblStylePr w:type="firstCol">
      <w:rPr>
        <w:b/>
        <w:bCs/>
      </w:rPr>
    </w:tblStylePr>
    <w:tblStylePr w:type="lastCol">
      <w:rPr>
        <w:b/>
        <w:bCs/>
      </w:rPr>
    </w:tblStylePr>
    <w:tblStylePr w:type="band1Vert">
      <w:tblPr>
        <w:tblLayout w:type="fixed"/>
      </w:tblPr>
      <w:tcPr>
        <w:shd w:val="clear" w:color="auto" w:fill="A7C0DE" w:themeFill="accent1" w:themeFillTint="7F"/>
      </w:tcPr>
    </w:tblStylePr>
    <w:tblStylePr w:type="band1Horz">
      <w:tblPr>
        <w:tblLayout w:type="fixed"/>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Layout w:type="fixed"/>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blLayout w:type="fixed"/>
      </w:tblPr>
      <w:tcPr>
        <w:tcBorders>
          <w:top w:val="single" w:color="CF7B79" w:themeColor="accent2" w:themeTint="BF" w:sz="18" w:space="0"/>
        </w:tcBorders>
      </w:tcPr>
    </w:tblStylePr>
    <w:tblStylePr w:type="firstCol">
      <w:rPr>
        <w:b/>
        <w:bCs/>
      </w:rPr>
    </w:tblStylePr>
    <w:tblStylePr w:type="lastCol">
      <w:rPr>
        <w:b/>
        <w:bCs/>
      </w:rPr>
    </w:tblStylePr>
    <w:tblStylePr w:type="band1Vert">
      <w:tblPr>
        <w:tblLayout w:type="fixed"/>
      </w:tblPr>
      <w:tcPr>
        <w:shd w:val="clear" w:color="auto" w:fill="DFA7A6" w:themeFill="accent2" w:themeFillTint="7F"/>
      </w:tcPr>
    </w:tblStylePr>
    <w:tblStylePr w:type="band1Horz">
      <w:tblPr>
        <w:tblLayout w:type="fixed"/>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Layout w:type="fixed"/>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blLayout w:type="fixed"/>
      </w:tblPr>
      <w:tcPr>
        <w:tcBorders>
          <w:top w:val="single" w:color="B4CC82" w:themeColor="accent3" w:themeTint="BF" w:sz="18" w:space="0"/>
        </w:tcBorders>
      </w:tcPr>
    </w:tblStylePr>
    <w:tblStylePr w:type="firstCol">
      <w:rPr>
        <w:b/>
        <w:bCs/>
      </w:rPr>
    </w:tblStylePr>
    <w:tblStylePr w:type="lastCol">
      <w:rPr>
        <w:b/>
        <w:bCs/>
      </w:rPr>
    </w:tblStylePr>
    <w:tblStylePr w:type="band1Vert">
      <w:tblPr>
        <w:tblLayout w:type="fixed"/>
      </w:tblPr>
      <w:tcPr>
        <w:shd w:val="clear" w:color="auto" w:fill="CDDDAC" w:themeFill="accent3" w:themeFillTint="7F"/>
      </w:tcPr>
    </w:tblStylePr>
    <w:tblStylePr w:type="band1Horz">
      <w:tblPr>
        <w:tblLayout w:type="fixed"/>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Layout w:type="fixed"/>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blLayout w:type="fixed"/>
      </w:tblPr>
      <w:tcPr>
        <w:tcBorders>
          <w:top w:val="single" w:color="9F8AB9" w:themeColor="accent4" w:themeTint="BF" w:sz="18" w:space="0"/>
        </w:tcBorders>
      </w:tcPr>
    </w:tblStylePr>
    <w:tblStylePr w:type="firstCol">
      <w:rPr>
        <w:b/>
        <w:bCs/>
      </w:rPr>
    </w:tblStylePr>
    <w:tblStylePr w:type="lastCol">
      <w:rPr>
        <w:b/>
        <w:bCs/>
      </w:rPr>
    </w:tblStylePr>
    <w:tblStylePr w:type="band1Vert">
      <w:tblPr>
        <w:tblLayout w:type="fixed"/>
      </w:tblPr>
      <w:tcPr>
        <w:shd w:val="clear" w:color="auto" w:fill="BFB1D0" w:themeFill="accent4" w:themeFillTint="7F"/>
      </w:tcPr>
    </w:tblStylePr>
    <w:tblStylePr w:type="band1Horz">
      <w:tblPr>
        <w:tblLayout w:type="fixed"/>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Layout w:type="fixed"/>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blLayout w:type="fixed"/>
      </w:tblPr>
      <w:tcPr>
        <w:tcBorders>
          <w:top w:val="single" w:color="78C0D4" w:themeColor="accent5" w:themeTint="BF" w:sz="18" w:space="0"/>
        </w:tcBorders>
      </w:tcPr>
    </w:tblStylePr>
    <w:tblStylePr w:type="firstCol">
      <w:rPr>
        <w:b/>
        <w:bCs/>
      </w:rPr>
    </w:tblStylePr>
    <w:tblStylePr w:type="lastCol">
      <w:rPr>
        <w:b/>
        <w:bCs/>
      </w:rPr>
    </w:tblStylePr>
    <w:tblStylePr w:type="band1Vert">
      <w:tblPr>
        <w:tblLayout w:type="fixed"/>
      </w:tblPr>
      <w:tcPr>
        <w:shd w:val="clear" w:color="auto" w:fill="A5D5E2" w:themeFill="accent5" w:themeFillTint="7F"/>
      </w:tcPr>
    </w:tblStylePr>
    <w:tblStylePr w:type="band1Horz">
      <w:tblPr>
        <w:tblLayout w:type="fixed"/>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Layout w:type="fixed"/>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blLayout w:type="fixed"/>
      </w:tblPr>
      <w:tcPr>
        <w:tcBorders>
          <w:top w:val="single" w:color="F9B074" w:themeColor="accent6" w:themeTint="BF" w:sz="18" w:space="0"/>
        </w:tcBorders>
      </w:tcPr>
    </w:tblStylePr>
    <w:tblStylePr w:type="firstCol">
      <w:rPr>
        <w:b/>
        <w:bCs/>
      </w:rPr>
    </w:tblStylePr>
    <w:tblStylePr w:type="lastCol">
      <w:rPr>
        <w:b/>
        <w:bCs/>
      </w:rPr>
    </w:tblStylePr>
    <w:tblStylePr w:type="band1Vert">
      <w:tblPr>
        <w:tblLayout w:type="fixed"/>
      </w:tblPr>
      <w:tcPr>
        <w:shd w:val="clear" w:color="auto" w:fill="FBCAA2" w:themeFill="accent6" w:themeFillTint="7F"/>
      </w:tcPr>
    </w:tblStylePr>
    <w:tblStylePr w:type="band1Horz">
      <w:tblPr>
        <w:tblLayout w:type="fixed"/>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Layout w:type="fixed"/>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blLayout w:type="fixed"/>
      </w:tblPr>
      <w:tcPr>
        <w:shd w:val="clear" w:color="auto" w:fill="E5E5E5" w:themeFill="text1"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CCCCCC" w:themeFill="text1" w:themeFillTint="33"/>
      </w:tcPr>
    </w:tblStylePr>
    <w:tblStylePr w:type="band1Vert">
      <w:tblPr>
        <w:tblLayout w:type="fixed"/>
      </w:tblPr>
      <w:tcPr>
        <w:shd w:val="clear" w:color="auto" w:fill="7F7F7F" w:themeFill="text1" w:themeFillTint="7F"/>
      </w:tcPr>
    </w:tblStylePr>
    <w:tblStylePr w:type="band1Horz">
      <w:tblPr>
        <w:tblLayout w:type="fixed"/>
      </w:tblPr>
      <w:tcPr>
        <w:tcBorders>
          <w:insideH w:val="single" w:sz="6" w:space="0"/>
          <w:insideV w:val="single" w:sz="6" w:space="0"/>
        </w:tcBorders>
        <w:shd w:val="clear" w:color="auto" w:fill="7F7F7F" w:themeFill="text1" w:themeFillTint="7F"/>
      </w:tcPr>
    </w:tblStylePr>
    <w:tblStylePr w:type="nwCell">
      <w:tblPr>
        <w:tblLayout w:type="fixed"/>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Layout w:type="fixed"/>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blLayout w:type="fixed"/>
      </w:tblPr>
      <w:tcPr>
        <w:shd w:val="clear" w:color="auto" w:fill="EDF2F8" w:themeFill="accent1"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DBE5F1" w:themeFill="accent1" w:themeFillTint="33"/>
      </w:tcPr>
    </w:tblStylePr>
    <w:tblStylePr w:type="band1Vert">
      <w:tblPr>
        <w:tblLayout w:type="fixed"/>
      </w:tblPr>
      <w:tcPr>
        <w:shd w:val="clear" w:color="auto" w:fill="A7C0DE" w:themeFill="accent1" w:themeFillTint="7F"/>
      </w:tcPr>
    </w:tblStylePr>
    <w:tblStylePr w:type="band1Horz">
      <w:tblPr>
        <w:tblLayout w:type="fixed"/>
      </w:tblPr>
      <w:tcPr>
        <w:tcBorders>
          <w:insideH w:val="single" w:sz="6" w:space="0"/>
          <w:insideV w:val="single" w:sz="6" w:space="0"/>
        </w:tcBorders>
        <w:shd w:val="clear" w:color="auto" w:fill="A7C0DE" w:themeFill="accent1" w:themeFillTint="7F"/>
      </w:tcPr>
    </w:tblStylePr>
    <w:tblStylePr w:type="nwCell">
      <w:tblPr>
        <w:tblLayout w:type="fixed"/>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Layout w:type="fixed"/>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blLayout w:type="fixed"/>
      </w:tblPr>
      <w:tcPr>
        <w:shd w:val="clear" w:color="auto" w:fill="F8EDED" w:themeFill="accent2"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2DBDB" w:themeFill="accent2" w:themeFillTint="33"/>
      </w:tcPr>
    </w:tblStylePr>
    <w:tblStylePr w:type="band1Vert">
      <w:tblPr>
        <w:tblLayout w:type="fixed"/>
      </w:tblPr>
      <w:tcPr>
        <w:shd w:val="clear" w:color="auto" w:fill="DFA7A6" w:themeFill="accent2" w:themeFillTint="7F"/>
      </w:tcPr>
    </w:tblStylePr>
    <w:tblStylePr w:type="band1Horz">
      <w:tblPr>
        <w:tblLayout w:type="fixed"/>
      </w:tblPr>
      <w:tcPr>
        <w:tcBorders>
          <w:insideH w:val="single" w:sz="6" w:space="0"/>
          <w:insideV w:val="single" w:sz="6" w:space="0"/>
        </w:tcBorders>
        <w:shd w:val="clear" w:color="auto" w:fill="DFA7A6" w:themeFill="accent2" w:themeFillTint="7F"/>
      </w:tcPr>
    </w:tblStylePr>
    <w:tblStylePr w:type="nwCell">
      <w:tblPr>
        <w:tblLayout w:type="fixed"/>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Layout w:type="fixed"/>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blLayout w:type="fixed"/>
      </w:tblPr>
      <w:tcPr>
        <w:shd w:val="clear" w:color="auto" w:fill="F5F8EE" w:themeFill="accent3"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EAF1DD" w:themeFill="accent3" w:themeFillTint="33"/>
      </w:tcPr>
    </w:tblStylePr>
    <w:tblStylePr w:type="band1Vert">
      <w:tblPr>
        <w:tblLayout w:type="fixed"/>
      </w:tblPr>
      <w:tcPr>
        <w:shd w:val="clear" w:color="auto" w:fill="CDDDAC" w:themeFill="accent3" w:themeFillTint="7F"/>
      </w:tcPr>
    </w:tblStylePr>
    <w:tblStylePr w:type="band1Horz">
      <w:tblPr>
        <w:tblLayout w:type="fixed"/>
      </w:tblPr>
      <w:tcPr>
        <w:tcBorders>
          <w:insideH w:val="single" w:sz="6" w:space="0"/>
          <w:insideV w:val="single" w:sz="6" w:space="0"/>
        </w:tcBorders>
        <w:shd w:val="clear" w:color="auto" w:fill="CDDDAC" w:themeFill="accent3" w:themeFillTint="7F"/>
      </w:tcPr>
    </w:tblStylePr>
    <w:tblStylePr w:type="nwCell">
      <w:tblPr>
        <w:tblLayout w:type="fixed"/>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Layout w:type="fixed"/>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blLayout w:type="fixed"/>
      </w:tblPr>
      <w:tcPr>
        <w:shd w:val="clear" w:color="auto" w:fill="F2EFF5" w:themeFill="accent4"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E5DFEC" w:themeFill="accent4" w:themeFillTint="33"/>
      </w:tcPr>
    </w:tblStylePr>
    <w:tblStylePr w:type="band1Vert">
      <w:tblPr>
        <w:tblLayout w:type="fixed"/>
      </w:tblPr>
      <w:tcPr>
        <w:shd w:val="clear" w:color="auto" w:fill="BFB1D0" w:themeFill="accent4" w:themeFillTint="7F"/>
      </w:tcPr>
    </w:tblStylePr>
    <w:tblStylePr w:type="band1Horz">
      <w:tblPr>
        <w:tblLayout w:type="fixed"/>
      </w:tblPr>
      <w:tcPr>
        <w:tcBorders>
          <w:insideH w:val="single" w:sz="6" w:space="0"/>
          <w:insideV w:val="single" w:sz="6" w:space="0"/>
        </w:tcBorders>
        <w:shd w:val="clear" w:color="auto" w:fill="BFB1D0" w:themeFill="accent4" w:themeFillTint="7F"/>
      </w:tcPr>
    </w:tblStylePr>
    <w:tblStylePr w:type="nwCell">
      <w:tblPr>
        <w:tblLayout w:type="fixed"/>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Layout w:type="fixed"/>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blLayout w:type="fixed"/>
      </w:tblPr>
      <w:tcPr>
        <w:shd w:val="clear" w:color="auto" w:fill="EDF6F9" w:themeFill="accent5"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DAEEF3" w:themeFill="accent5" w:themeFillTint="33"/>
      </w:tcPr>
    </w:tblStylePr>
    <w:tblStylePr w:type="band1Vert">
      <w:tblPr>
        <w:tblLayout w:type="fixed"/>
      </w:tblPr>
      <w:tcPr>
        <w:shd w:val="clear" w:color="auto" w:fill="A5D5E2" w:themeFill="accent5" w:themeFillTint="7F"/>
      </w:tcPr>
    </w:tblStylePr>
    <w:tblStylePr w:type="band1Horz">
      <w:tblPr>
        <w:tblLayout w:type="fixed"/>
      </w:tblPr>
      <w:tcPr>
        <w:tcBorders>
          <w:insideH w:val="single" w:sz="6" w:space="0"/>
          <w:insideV w:val="single" w:sz="6" w:space="0"/>
        </w:tcBorders>
        <w:shd w:val="clear" w:color="auto" w:fill="A5D5E2" w:themeFill="accent5" w:themeFillTint="7F"/>
      </w:tcPr>
    </w:tblStylePr>
    <w:tblStylePr w:type="nwCell">
      <w:tblPr>
        <w:tblLayout w:type="fixed"/>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Layout w:type="fixed"/>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blLayout w:type="fixed"/>
      </w:tblPr>
      <w:tcPr>
        <w:shd w:val="clear" w:color="auto" w:fill="FEF4EC" w:themeFill="accent6" w:themeFillTint="19"/>
      </w:tcPr>
    </w:tblStylePr>
    <w:tblStylePr w:type="lastRow">
      <w:rPr>
        <w:b/>
        <w:bCs/>
        <w:color w:val="000000" w:themeColor="text1"/>
        <w14:textFill>
          <w14:solidFill>
            <w14:schemeClr w14:val="tx1"/>
          </w14:solidFill>
        </w14:textFill>
      </w:rPr>
      <w:tblPr>
        <w:tblLayout w:type="fixed"/>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blLayout w:type="fixed"/>
      </w:tblPr>
      <w:tcPr>
        <w:tcBorders>
          <w:top w:val="nil"/>
          <w:left w:val="nil"/>
          <w:bottom w:val="nil"/>
          <w:right w:val="nil"/>
          <w:insideH w:val="nil"/>
          <w:insideV w:val="nil"/>
        </w:tcBorders>
        <w:shd w:val="clear" w:color="auto" w:fill="FDE9D9" w:themeFill="accent6" w:themeFillTint="33"/>
      </w:tcPr>
    </w:tblStylePr>
    <w:tblStylePr w:type="band1Vert">
      <w:tblPr>
        <w:tblLayout w:type="fixed"/>
      </w:tblPr>
      <w:tcPr>
        <w:shd w:val="clear" w:color="auto" w:fill="FBCAA2" w:themeFill="accent6" w:themeFillTint="7F"/>
      </w:tcPr>
    </w:tblStylePr>
    <w:tblStylePr w:type="band1Horz">
      <w:tblPr>
        <w:tblLayout w:type="fixed"/>
      </w:tblPr>
      <w:tcPr>
        <w:tcBorders>
          <w:insideH w:val="single" w:sz="6" w:space="0"/>
          <w:insideV w:val="single" w:sz="6" w:space="0"/>
        </w:tcBorders>
        <w:shd w:val="clear" w:color="auto" w:fill="FBCAA2" w:themeFill="accent6" w:themeFillTint="7F"/>
      </w:tcPr>
    </w:tblStylePr>
    <w:tblStylePr w:type="nwCell">
      <w:tblPr>
        <w:tblLayout w:type="fixed"/>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Layout w:type="fixed"/>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blLayout w:type="fixed"/>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blLayout w:type="fixed"/>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blLayout w:type="fixed"/>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blLayout w:type="fixed"/>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blLayout w:type="fixed"/>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000000" w:themeFill="text1"/>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blLayout w:type="fixed"/>
      </w:tblPr>
      <w:tcPr>
        <w:tcBorders>
          <w:top w:val="nil"/>
          <w:left w:val="nil"/>
          <w:bottom w:val="nil"/>
          <w:right w:val="nil"/>
          <w:insideH w:val="nil"/>
          <w:insideV w:val="nil"/>
        </w:tcBorders>
        <w:shd w:val="clear" w:color="auto" w:fill="000000" w:themeFill="text1" w:themeFillShade="BF"/>
      </w:tcPr>
    </w:tblStylePr>
    <w:tblStylePr w:type="band1Horz">
      <w:tblPr>
        <w:tblLayout w:type="fixed"/>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4F81BD" w:themeFill="accent1"/>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blLayout w:type="fixed"/>
      </w:tblPr>
      <w:tcPr>
        <w:tcBorders>
          <w:top w:val="nil"/>
          <w:left w:val="nil"/>
          <w:bottom w:val="nil"/>
          <w:right w:val="nil"/>
          <w:insideH w:val="nil"/>
          <w:insideV w:val="nil"/>
        </w:tcBorders>
        <w:shd w:val="clear" w:color="auto" w:fill="366091" w:themeFill="accent1" w:themeFillShade="BF"/>
      </w:tcPr>
    </w:tblStylePr>
    <w:tblStylePr w:type="band1Horz">
      <w:tblPr>
        <w:tblLayout w:type="fixed"/>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C0504D" w:themeFill="accent2"/>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blLayout w:type="fixed"/>
      </w:tblPr>
      <w:tcPr>
        <w:tcBorders>
          <w:top w:val="nil"/>
          <w:left w:val="nil"/>
          <w:bottom w:val="nil"/>
          <w:right w:val="nil"/>
          <w:insideH w:val="nil"/>
          <w:insideV w:val="nil"/>
        </w:tcBorders>
        <w:shd w:val="clear" w:color="auto" w:fill="943734" w:themeFill="accent2" w:themeFillShade="BF"/>
      </w:tcPr>
    </w:tblStylePr>
    <w:tblStylePr w:type="band1Horz">
      <w:tblPr>
        <w:tblLayout w:type="fixed"/>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9BBB59" w:themeFill="accent3"/>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blLayout w:type="fixed"/>
      </w:tblPr>
      <w:tcPr>
        <w:tcBorders>
          <w:top w:val="nil"/>
          <w:left w:val="nil"/>
          <w:bottom w:val="nil"/>
          <w:right w:val="nil"/>
          <w:insideH w:val="nil"/>
          <w:insideV w:val="nil"/>
        </w:tcBorders>
        <w:shd w:val="clear" w:color="auto" w:fill="76923C" w:themeFill="accent3" w:themeFillShade="BF"/>
      </w:tcPr>
    </w:tblStylePr>
    <w:tblStylePr w:type="band1Horz">
      <w:tblPr>
        <w:tblLayout w:type="fixed"/>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8064A2" w:themeFill="accent4"/>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blLayout w:type="fixed"/>
      </w:tblPr>
      <w:tcPr>
        <w:tcBorders>
          <w:top w:val="nil"/>
          <w:left w:val="nil"/>
          <w:bottom w:val="nil"/>
          <w:right w:val="nil"/>
          <w:insideH w:val="nil"/>
          <w:insideV w:val="nil"/>
        </w:tcBorders>
        <w:shd w:val="clear" w:color="auto" w:fill="5F497A" w:themeFill="accent4" w:themeFillShade="BF"/>
      </w:tcPr>
    </w:tblStylePr>
    <w:tblStylePr w:type="band1Horz">
      <w:tblPr>
        <w:tblLayout w:type="fixed"/>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4BACC6" w:themeFill="accent5"/>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blLayout w:type="fixed"/>
      </w:tblPr>
      <w:tcPr>
        <w:tcBorders>
          <w:top w:val="nil"/>
          <w:left w:val="nil"/>
          <w:bottom w:val="nil"/>
          <w:right w:val="nil"/>
          <w:insideH w:val="nil"/>
          <w:insideV w:val="nil"/>
        </w:tcBorders>
        <w:shd w:val="clear" w:color="auto" w:fill="31849B" w:themeFill="accent5" w:themeFillShade="BF"/>
      </w:tcPr>
    </w:tblStylePr>
    <w:tblStylePr w:type="band1Horz">
      <w:tblPr>
        <w:tblLayout w:type="fixed"/>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Layout w:type="fixed"/>
      <w:tblCellMar>
        <w:top w:w="0" w:type="dxa"/>
        <w:left w:w="108" w:type="dxa"/>
        <w:bottom w:w="0" w:type="dxa"/>
        <w:right w:w="108" w:type="dxa"/>
      </w:tblCellMar>
    </w:tblPr>
    <w:tcPr>
      <w:shd w:val="clear" w:color="auto" w:fill="F79646" w:themeFill="accent6"/>
    </w:tcPr>
    <w:tblStylePr w:type="firstRow">
      <w:rPr>
        <w:b/>
        <w:bCs/>
      </w:rPr>
      <w:tblPr>
        <w:tblLayout w:type="fixed"/>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blLayout w:type="fixed"/>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blLayout w:type="fixed"/>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blLayout w:type="fixed"/>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blLayout w:type="fixed"/>
      </w:tblPr>
      <w:tcPr>
        <w:tcBorders>
          <w:top w:val="nil"/>
          <w:left w:val="nil"/>
          <w:bottom w:val="nil"/>
          <w:right w:val="nil"/>
          <w:insideH w:val="nil"/>
          <w:insideV w:val="nil"/>
        </w:tcBorders>
        <w:shd w:val="clear" w:color="auto" w:fill="E36C09" w:themeFill="accent6" w:themeFillShade="BF"/>
      </w:tcPr>
    </w:tblStylePr>
    <w:tblStylePr w:type="band1Horz">
      <w:tblPr>
        <w:tblLayout w:type="fixed"/>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E5E5E5" w:themeFill="text1" w:themeFillTint="19"/>
    </w:tcPr>
    <w:tblStylePr w:type="firstRow">
      <w:rPr>
        <w:b/>
        <w:bCs/>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000000" w:themeFill="text1" w:themeFillShade="BF"/>
      </w:tcPr>
    </w:tblStylePr>
    <w:tblStylePr w:type="band1Vert">
      <w:tblPr>
        <w:tblLayout w:type="fixed"/>
      </w:tblPr>
      <w:tcPr>
        <w:shd w:val="clear" w:color="auto" w:fill="999999" w:themeFill="text1" w:themeFillTint="66"/>
      </w:tcPr>
    </w:tblStylePr>
    <w:tblStylePr w:type="band1Horz">
      <w:tblPr>
        <w:tblLayout w:type="fixed"/>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EDF2F8" w:themeFill="accent1" w:themeFillTint="19"/>
    </w:tcPr>
    <w:tblStylePr w:type="firstRow">
      <w:rPr>
        <w:b/>
        <w:bCs/>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2B4D74" w:themeFill="accent1" w:themeFillShade="99"/>
      </w:tcPr>
    </w:tblStylePr>
    <w:tblStylePr w:type="band1Vert">
      <w:tblPr>
        <w:tblLayout w:type="fixed"/>
      </w:tblPr>
      <w:tcPr>
        <w:shd w:val="clear" w:color="auto" w:fill="B8CCE4" w:themeFill="accent1" w:themeFillTint="66"/>
      </w:tcPr>
    </w:tblStylePr>
    <w:tblStylePr w:type="band1Horz">
      <w:tblPr>
        <w:tblLayout w:type="fixed"/>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8EDED" w:themeFill="accent2" w:themeFillTint="19"/>
    </w:tcPr>
    <w:tblStylePr w:type="firstRow">
      <w:rPr>
        <w:b/>
        <w:bCs/>
      </w:rPr>
      <w:tblPr>
        <w:tblLayout w:type="fixed"/>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772C2A" w:themeFill="accent2" w:themeFillShade="99"/>
      </w:tcPr>
    </w:tblStylePr>
    <w:tblStylePr w:type="band1Vert">
      <w:tblPr>
        <w:tblLayout w:type="fixed"/>
      </w:tblPr>
      <w:tcPr>
        <w:shd w:val="clear" w:color="auto" w:fill="E5B8B7" w:themeFill="accent2" w:themeFillTint="66"/>
      </w:tcPr>
    </w:tblStylePr>
    <w:tblStylePr w:type="band1Horz">
      <w:tblPr>
        <w:tblLayout w:type="fixed"/>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5F8EE" w:themeFill="accent3" w:themeFillTint="19"/>
    </w:tcPr>
    <w:tblStylePr w:type="firstRow">
      <w:rPr>
        <w:b/>
        <w:bCs/>
      </w:rPr>
      <w:tblPr>
        <w:tblLayout w:type="fixed"/>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5E7530" w:themeFill="accent3" w:themeFillShade="99"/>
      </w:tcPr>
    </w:tblStylePr>
    <w:tblStylePr w:type="band1Vert">
      <w:tblPr>
        <w:tblLayout w:type="fixed"/>
      </w:tblPr>
      <w:tcPr>
        <w:shd w:val="clear" w:color="auto" w:fill="D6E3BC" w:themeFill="accent3" w:themeFillTint="66"/>
      </w:tcPr>
    </w:tblStylePr>
    <w:tblStylePr w:type="band1Horz">
      <w:tblPr>
        <w:tblLayout w:type="fixed"/>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2EFF5" w:themeFill="accent4" w:themeFillTint="19"/>
    </w:tcPr>
    <w:tblStylePr w:type="firstRow">
      <w:rPr>
        <w:b/>
        <w:bCs/>
      </w:rPr>
      <w:tblPr>
        <w:tblLayout w:type="fixed"/>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4C3A62" w:themeFill="accent4" w:themeFillShade="99"/>
      </w:tcPr>
    </w:tblStylePr>
    <w:tblStylePr w:type="band1Vert">
      <w:tblPr>
        <w:tblLayout w:type="fixed"/>
      </w:tblPr>
      <w:tcPr>
        <w:shd w:val="clear" w:color="auto" w:fill="CCC0D9" w:themeFill="accent4" w:themeFillTint="66"/>
      </w:tcPr>
    </w:tblStylePr>
    <w:tblStylePr w:type="band1Horz">
      <w:tblPr>
        <w:tblLayout w:type="fixed"/>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EDF6F9" w:themeFill="accent5" w:themeFillTint="19"/>
    </w:tcPr>
    <w:tblStylePr w:type="firstRow">
      <w:rPr>
        <w:b/>
        <w:bCs/>
      </w:rPr>
      <w:tblPr>
        <w:tblLayout w:type="fixed"/>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276A7C" w:themeFill="accent5" w:themeFillShade="99"/>
      </w:tcPr>
    </w:tblStylePr>
    <w:tblStylePr w:type="band1Vert">
      <w:tblPr>
        <w:tblLayout w:type="fixed"/>
      </w:tblPr>
      <w:tcPr>
        <w:shd w:val="clear" w:color="auto" w:fill="B6DDE8" w:themeFill="accent5" w:themeFillTint="66"/>
      </w:tcPr>
    </w:tblStylePr>
    <w:tblStylePr w:type="band1Horz">
      <w:tblPr>
        <w:tblLayout w:type="fixed"/>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Layout w:type="fixed"/>
      <w:tblCellMar>
        <w:top w:w="0" w:type="dxa"/>
        <w:left w:w="108" w:type="dxa"/>
        <w:bottom w:w="0" w:type="dxa"/>
        <w:right w:w="108" w:type="dxa"/>
      </w:tblCellMar>
    </w:tblPr>
    <w:tcPr>
      <w:shd w:val="clear" w:color="auto" w:fill="FEF4EC" w:themeFill="accent6" w:themeFillTint="19"/>
    </w:tcPr>
    <w:tblStylePr w:type="firstRow">
      <w:rPr>
        <w:b/>
        <w:bCs/>
      </w:rPr>
      <w:tblPr>
        <w:tblLayout w:type="fixed"/>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blLayout w:type="fixed"/>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blLayout w:type="fixed"/>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blLayout w:type="fixed"/>
      </w:tblPr>
      <w:tcPr>
        <w:tcBorders>
          <w:top w:val="nil"/>
          <w:left w:val="nil"/>
          <w:bottom w:val="nil"/>
          <w:right w:val="nil"/>
          <w:insideH w:val="nil"/>
          <w:insideV w:val="nil"/>
        </w:tcBorders>
        <w:shd w:val="clear" w:color="auto" w:fill="B65607" w:themeFill="accent6" w:themeFillShade="99"/>
      </w:tcPr>
    </w:tblStylePr>
    <w:tblStylePr w:type="band1Vert">
      <w:tblPr>
        <w:tblLayout w:type="fixed"/>
      </w:tblPr>
      <w:tcPr>
        <w:shd w:val="clear" w:color="auto" w:fill="FBD4B4" w:themeFill="accent6" w:themeFillTint="66"/>
      </w:tcPr>
    </w:tblStylePr>
    <w:tblStylePr w:type="band1Horz">
      <w:tblPr>
        <w:tblLayout w:type="fixed"/>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BFBFBF" w:themeFill="text1" w:themeFillTint="3F"/>
      </w:tcPr>
    </w:tblStylePr>
    <w:tblStylePr w:type="band1Horz">
      <w:tblPr>
        <w:tblLayout w:type="fixed"/>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D3DFEE" w:themeFill="accent1" w:themeFillTint="3F"/>
      </w:tcPr>
    </w:tblStylePr>
    <w:tblStylePr w:type="band1Horz">
      <w:tblPr>
        <w:tblLayout w:type="fixed"/>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EFD3D3" w:themeFill="accent2" w:themeFillTint="3F"/>
      </w:tcPr>
    </w:tblStylePr>
    <w:tblStylePr w:type="band1Horz">
      <w:tblPr>
        <w:tblLayout w:type="fixed"/>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E6EED5" w:themeFill="accent3" w:themeFillTint="3F"/>
      </w:tcPr>
    </w:tblStylePr>
    <w:tblStylePr w:type="band1Horz">
      <w:tblPr>
        <w:tblLayout w:type="fixed"/>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DFD8E8" w:themeFill="accent4" w:themeFillTint="3F"/>
      </w:tcPr>
    </w:tblStylePr>
    <w:tblStylePr w:type="band1Horz">
      <w:tblPr>
        <w:tblLayout w:type="fixed"/>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D2EAF0" w:themeFill="accent5" w:themeFillTint="3F"/>
      </w:tcPr>
    </w:tblStylePr>
    <w:tblStylePr w:type="band1Horz">
      <w:tblPr>
        <w:tblLayout w:type="fixed"/>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Layout w:type="fixed"/>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blLayout w:type="fixed"/>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blLayout w:type="fixed"/>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blLayout w:type="fixed"/>
      </w:tblPr>
      <w:tcPr>
        <w:tcBorders>
          <w:top w:val="nil"/>
          <w:left w:val="nil"/>
          <w:bottom w:val="nil"/>
          <w:right w:val="nil"/>
          <w:insideH w:val="nil"/>
          <w:insideV w:val="nil"/>
        </w:tcBorders>
        <w:shd w:val="clear" w:color="auto" w:fill="FDE5D1" w:themeFill="accent6" w:themeFillTint="3F"/>
      </w:tcPr>
    </w:tblStylePr>
    <w:tblStylePr w:type="band1Horz">
      <w:tblPr>
        <w:tblLayout w:type="fixed"/>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CCCCCC" w:themeFill="text1" w:themeFillTint="33"/>
    </w:tcPr>
    <w:tblStylePr w:type="firstRow">
      <w:rPr>
        <w:b/>
        <w:bCs/>
      </w:rPr>
      <w:tblPr>
        <w:tblLayout w:type="fixed"/>
      </w:tblPr>
      <w:tcPr>
        <w:shd w:val="clear" w:color="auto" w:fill="999999" w:themeFill="text1" w:themeFillTint="66"/>
      </w:tcPr>
    </w:tblStylePr>
    <w:tblStylePr w:type="lastRow">
      <w:rPr>
        <w:b/>
        <w:bCs/>
        <w:color w:val="000000" w:themeColor="text1"/>
        <w14:textFill>
          <w14:solidFill>
            <w14:schemeClr w14:val="tx1"/>
          </w14:solidFill>
        </w14:textFill>
      </w:rPr>
      <w:tblPr>
        <w:tblLayout w:type="fixed"/>
      </w:tblPr>
      <w:tcPr>
        <w:shd w:val="clear" w:color="auto" w:fill="999999" w:themeFill="text1" w:themeFillTint="66"/>
      </w:tcPr>
    </w:tblStylePr>
    <w:tblStylePr w:type="firstCol">
      <w:rPr>
        <w:color w:val="FFFFFF" w:themeColor="background1"/>
        <w14:textFill>
          <w14:solidFill>
            <w14:schemeClr w14:val="bg1"/>
          </w14:solidFill>
        </w14:textFill>
      </w:rPr>
      <w:tblPr>
        <w:tblLayout w:type="fixed"/>
      </w:tblPr>
      <w:tcPr>
        <w:shd w:val="clear" w:color="auto" w:fill="000000" w:themeFill="text1" w:themeFillShade="BF"/>
      </w:tcPr>
    </w:tblStylePr>
    <w:tblStylePr w:type="lastCol">
      <w:rPr>
        <w:color w:val="FFFFFF" w:themeColor="background1"/>
        <w14:textFill>
          <w14:solidFill>
            <w14:schemeClr w14:val="bg1"/>
          </w14:solidFill>
        </w14:textFill>
      </w:rPr>
      <w:tblPr>
        <w:tblLayout w:type="fixed"/>
      </w:tblPr>
      <w:tcPr>
        <w:shd w:val="clear" w:color="auto" w:fill="000000" w:themeFill="text1" w:themeFillShade="BF"/>
      </w:tcPr>
    </w:tblStylePr>
    <w:tblStylePr w:type="band1Vert">
      <w:tblPr>
        <w:tblLayout w:type="fixed"/>
      </w:tblPr>
      <w:tcPr>
        <w:shd w:val="clear" w:color="auto" w:fill="7F7F7F" w:themeFill="text1" w:themeFillTint="7F"/>
      </w:tcPr>
    </w:tblStylePr>
    <w:tblStylePr w:type="band1Horz">
      <w:tblPr>
        <w:tblLayout w:type="fixed"/>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DBE5F1" w:themeFill="accent1" w:themeFillTint="33"/>
    </w:tcPr>
    <w:tblStylePr w:type="firstRow">
      <w:rPr>
        <w:b/>
        <w:bCs/>
      </w:rPr>
      <w:tblPr>
        <w:tblLayout w:type="fixed"/>
      </w:tblPr>
      <w:tcPr>
        <w:shd w:val="clear" w:color="auto" w:fill="B8CCE4" w:themeFill="accent1" w:themeFillTint="66"/>
      </w:tcPr>
    </w:tblStylePr>
    <w:tblStylePr w:type="lastRow">
      <w:rPr>
        <w:b/>
        <w:bCs/>
        <w:color w:val="000000" w:themeColor="text1"/>
        <w14:textFill>
          <w14:solidFill>
            <w14:schemeClr w14:val="tx1"/>
          </w14:solidFill>
        </w14:textFill>
      </w:rPr>
      <w:tblPr>
        <w:tblLayout w:type="fixed"/>
      </w:tblPr>
      <w:tcPr>
        <w:shd w:val="clear" w:color="auto" w:fill="B8CCE4" w:themeFill="accent1" w:themeFillTint="66"/>
      </w:tcPr>
    </w:tblStylePr>
    <w:tblStylePr w:type="firstCol">
      <w:rPr>
        <w:color w:val="FFFFFF" w:themeColor="background1"/>
        <w14:textFill>
          <w14:solidFill>
            <w14:schemeClr w14:val="bg1"/>
          </w14:solidFill>
        </w14:textFill>
      </w:rPr>
      <w:tblPr>
        <w:tblLayout w:type="fixed"/>
      </w:tblPr>
      <w:tcPr>
        <w:shd w:val="clear" w:color="auto" w:fill="366091" w:themeFill="accent1" w:themeFillShade="BF"/>
      </w:tcPr>
    </w:tblStylePr>
    <w:tblStylePr w:type="lastCol">
      <w:rPr>
        <w:color w:val="FFFFFF" w:themeColor="background1"/>
        <w14:textFill>
          <w14:solidFill>
            <w14:schemeClr w14:val="bg1"/>
          </w14:solidFill>
        </w14:textFill>
      </w:rPr>
      <w:tblPr>
        <w:tblLayout w:type="fixed"/>
      </w:tblPr>
      <w:tcPr>
        <w:shd w:val="clear" w:color="auto" w:fill="366091" w:themeFill="accent1" w:themeFillShade="BF"/>
      </w:tcPr>
    </w:tblStylePr>
    <w:tblStylePr w:type="band1Vert">
      <w:tblPr>
        <w:tblLayout w:type="fixed"/>
      </w:tblPr>
      <w:tcPr>
        <w:shd w:val="clear" w:color="auto" w:fill="A7C0DE" w:themeFill="accent1" w:themeFillTint="7F"/>
      </w:tcPr>
    </w:tblStylePr>
    <w:tblStylePr w:type="band1Horz">
      <w:tblPr>
        <w:tblLayout w:type="fixed"/>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F2DBDB" w:themeFill="accent2" w:themeFillTint="33"/>
    </w:tcPr>
    <w:tblStylePr w:type="firstRow">
      <w:rPr>
        <w:b/>
        <w:bCs/>
      </w:rPr>
      <w:tblPr>
        <w:tblLayout w:type="fixed"/>
      </w:tblPr>
      <w:tcPr>
        <w:shd w:val="clear" w:color="auto" w:fill="E5B8B7" w:themeFill="accent2" w:themeFillTint="66"/>
      </w:tcPr>
    </w:tblStylePr>
    <w:tblStylePr w:type="lastRow">
      <w:rPr>
        <w:b/>
        <w:bCs/>
        <w:color w:val="000000" w:themeColor="text1"/>
        <w14:textFill>
          <w14:solidFill>
            <w14:schemeClr w14:val="tx1"/>
          </w14:solidFill>
        </w14:textFill>
      </w:rPr>
      <w:tblPr>
        <w:tblLayout w:type="fixed"/>
      </w:tblPr>
      <w:tcPr>
        <w:shd w:val="clear" w:color="auto" w:fill="E5B8B7" w:themeFill="accent2" w:themeFillTint="66"/>
      </w:tcPr>
    </w:tblStylePr>
    <w:tblStylePr w:type="firstCol">
      <w:rPr>
        <w:color w:val="FFFFFF" w:themeColor="background1"/>
        <w14:textFill>
          <w14:solidFill>
            <w14:schemeClr w14:val="bg1"/>
          </w14:solidFill>
        </w14:textFill>
      </w:rPr>
      <w:tblPr>
        <w:tblLayout w:type="fixed"/>
      </w:tblPr>
      <w:tcPr>
        <w:shd w:val="clear" w:color="auto" w:fill="943734" w:themeFill="accent2" w:themeFillShade="BF"/>
      </w:tcPr>
    </w:tblStylePr>
    <w:tblStylePr w:type="lastCol">
      <w:rPr>
        <w:color w:val="FFFFFF" w:themeColor="background1"/>
        <w14:textFill>
          <w14:solidFill>
            <w14:schemeClr w14:val="bg1"/>
          </w14:solidFill>
        </w14:textFill>
      </w:rPr>
      <w:tblPr>
        <w:tblLayout w:type="fixed"/>
      </w:tblPr>
      <w:tcPr>
        <w:shd w:val="clear" w:color="auto" w:fill="943734" w:themeFill="accent2" w:themeFillShade="BF"/>
      </w:tcPr>
    </w:tblStylePr>
    <w:tblStylePr w:type="band1Vert">
      <w:tblPr>
        <w:tblLayout w:type="fixed"/>
      </w:tblPr>
      <w:tcPr>
        <w:shd w:val="clear" w:color="auto" w:fill="DFA7A6" w:themeFill="accent2" w:themeFillTint="7F"/>
      </w:tcPr>
    </w:tblStylePr>
    <w:tblStylePr w:type="band1Horz">
      <w:tblPr>
        <w:tblLayout w:type="fixed"/>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EAF1DD" w:themeFill="accent3" w:themeFillTint="33"/>
    </w:tcPr>
    <w:tblStylePr w:type="firstRow">
      <w:rPr>
        <w:b/>
        <w:bCs/>
      </w:rPr>
      <w:tblPr>
        <w:tblLayout w:type="fixed"/>
      </w:tblPr>
      <w:tcPr>
        <w:shd w:val="clear" w:color="auto" w:fill="D6E3BC" w:themeFill="accent3" w:themeFillTint="66"/>
      </w:tcPr>
    </w:tblStylePr>
    <w:tblStylePr w:type="lastRow">
      <w:rPr>
        <w:b/>
        <w:bCs/>
        <w:color w:val="000000" w:themeColor="text1"/>
        <w14:textFill>
          <w14:solidFill>
            <w14:schemeClr w14:val="tx1"/>
          </w14:solidFill>
        </w14:textFill>
      </w:rPr>
      <w:tblPr>
        <w:tblLayout w:type="fixed"/>
      </w:tblPr>
      <w:tcPr>
        <w:shd w:val="clear" w:color="auto" w:fill="D6E3BC" w:themeFill="accent3" w:themeFillTint="66"/>
      </w:tcPr>
    </w:tblStylePr>
    <w:tblStylePr w:type="firstCol">
      <w:rPr>
        <w:color w:val="FFFFFF" w:themeColor="background1"/>
        <w14:textFill>
          <w14:solidFill>
            <w14:schemeClr w14:val="bg1"/>
          </w14:solidFill>
        </w14:textFill>
      </w:rPr>
      <w:tblPr>
        <w:tblLayout w:type="fixed"/>
      </w:tblPr>
      <w:tcPr>
        <w:shd w:val="clear" w:color="auto" w:fill="76923C" w:themeFill="accent3" w:themeFillShade="BF"/>
      </w:tcPr>
    </w:tblStylePr>
    <w:tblStylePr w:type="lastCol">
      <w:rPr>
        <w:color w:val="FFFFFF" w:themeColor="background1"/>
        <w14:textFill>
          <w14:solidFill>
            <w14:schemeClr w14:val="bg1"/>
          </w14:solidFill>
        </w14:textFill>
      </w:rPr>
      <w:tblPr>
        <w:tblLayout w:type="fixed"/>
      </w:tblPr>
      <w:tcPr>
        <w:shd w:val="clear" w:color="auto" w:fill="76923C" w:themeFill="accent3" w:themeFillShade="BF"/>
      </w:tcPr>
    </w:tblStylePr>
    <w:tblStylePr w:type="band1Vert">
      <w:tblPr>
        <w:tblLayout w:type="fixed"/>
      </w:tblPr>
      <w:tcPr>
        <w:shd w:val="clear" w:color="auto" w:fill="CDDDAC" w:themeFill="accent3" w:themeFillTint="7F"/>
      </w:tcPr>
    </w:tblStylePr>
    <w:tblStylePr w:type="band1Horz">
      <w:tblPr>
        <w:tblLayout w:type="fixed"/>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E5DFEC" w:themeFill="accent4" w:themeFillTint="33"/>
    </w:tcPr>
    <w:tblStylePr w:type="firstRow">
      <w:rPr>
        <w:b/>
        <w:bCs/>
      </w:rPr>
      <w:tblPr>
        <w:tblLayout w:type="fixed"/>
      </w:tblPr>
      <w:tcPr>
        <w:shd w:val="clear" w:color="auto" w:fill="CCC0D9" w:themeFill="accent4" w:themeFillTint="66"/>
      </w:tcPr>
    </w:tblStylePr>
    <w:tblStylePr w:type="lastRow">
      <w:rPr>
        <w:b/>
        <w:bCs/>
        <w:color w:val="000000" w:themeColor="text1"/>
        <w14:textFill>
          <w14:solidFill>
            <w14:schemeClr w14:val="tx1"/>
          </w14:solidFill>
        </w14:textFill>
      </w:rPr>
      <w:tblPr>
        <w:tblLayout w:type="fixed"/>
      </w:tblPr>
      <w:tcPr>
        <w:shd w:val="clear" w:color="auto" w:fill="CCC0D9" w:themeFill="accent4" w:themeFillTint="66"/>
      </w:tcPr>
    </w:tblStylePr>
    <w:tblStylePr w:type="firstCol">
      <w:rPr>
        <w:color w:val="FFFFFF" w:themeColor="background1"/>
        <w14:textFill>
          <w14:solidFill>
            <w14:schemeClr w14:val="bg1"/>
          </w14:solidFill>
        </w14:textFill>
      </w:rPr>
      <w:tblPr>
        <w:tblLayout w:type="fixed"/>
      </w:tblPr>
      <w:tcPr>
        <w:shd w:val="clear" w:color="auto" w:fill="5F497A" w:themeFill="accent4" w:themeFillShade="BF"/>
      </w:tcPr>
    </w:tblStylePr>
    <w:tblStylePr w:type="lastCol">
      <w:rPr>
        <w:color w:val="FFFFFF" w:themeColor="background1"/>
        <w14:textFill>
          <w14:solidFill>
            <w14:schemeClr w14:val="bg1"/>
          </w14:solidFill>
        </w14:textFill>
      </w:rPr>
      <w:tblPr>
        <w:tblLayout w:type="fixed"/>
      </w:tblPr>
      <w:tcPr>
        <w:shd w:val="clear" w:color="auto" w:fill="5F497A" w:themeFill="accent4" w:themeFillShade="BF"/>
      </w:tcPr>
    </w:tblStylePr>
    <w:tblStylePr w:type="band1Vert">
      <w:tblPr>
        <w:tblLayout w:type="fixed"/>
      </w:tblPr>
      <w:tcPr>
        <w:shd w:val="clear" w:color="auto" w:fill="BFB1D0" w:themeFill="accent4" w:themeFillTint="7F"/>
      </w:tcPr>
    </w:tblStylePr>
    <w:tblStylePr w:type="band1Horz">
      <w:tblPr>
        <w:tblLayout w:type="fixed"/>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DAEEF3" w:themeFill="accent5" w:themeFillTint="33"/>
    </w:tcPr>
    <w:tblStylePr w:type="firstRow">
      <w:rPr>
        <w:b/>
        <w:bCs/>
      </w:rPr>
      <w:tblPr>
        <w:tblLayout w:type="fixed"/>
      </w:tblPr>
      <w:tcPr>
        <w:shd w:val="clear" w:color="auto" w:fill="B6DDE8" w:themeFill="accent5" w:themeFillTint="66"/>
      </w:tcPr>
    </w:tblStylePr>
    <w:tblStylePr w:type="lastRow">
      <w:rPr>
        <w:b/>
        <w:bCs/>
        <w:color w:val="000000" w:themeColor="text1"/>
        <w14:textFill>
          <w14:solidFill>
            <w14:schemeClr w14:val="tx1"/>
          </w14:solidFill>
        </w14:textFill>
      </w:rPr>
      <w:tblPr>
        <w:tblLayout w:type="fixed"/>
      </w:tblPr>
      <w:tcPr>
        <w:shd w:val="clear" w:color="auto" w:fill="B6DDE8" w:themeFill="accent5" w:themeFillTint="66"/>
      </w:tcPr>
    </w:tblStylePr>
    <w:tblStylePr w:type="firstCol">
      <w:rPr>
        <w:color w:val="FFFFFF" w:themeColor="background1"/>
        <w14:textFill>
          <w14:solidFill>
            <w14:schemeClr w14:val="bg1"/>
          </w14:solidFill>
        </w14:textFill>
      </w:rPr>
      <w:tblPr>
        <w:tblLayout w:type="fixed"/>
      </w:tblPr>
      <w:tcPr>
        <w:shd w:val="clear" w:color="auto" w:fill="31849B" w:themeFill="accent5" w:themeFillShade="BF"/>
      </w:tcPr>
    </w:tblStylePr>
    <w:tblStylePr w:type="lastCol">
      <w:rPr>
        <w:color w:val="FFFFFF" w:themeColor="background1"/>
        <w14:textFill>
          <w14:solidFill>
            <w14:schemeClr w14:val="bg1"/>
          </w14:solidFill>
        </w14:textFill>
      </w:rPr>
      <w:tblPr>
        <w:tblLayout w:type="fixed"/>
      </w:tblPr>
      <w:tcPr>
        <w:shd w:val="clear" w:color="auto" w:fill="31849B" w:themeFill="accent5" w:themeFillShade="BF"/>
      </w:tcPr>
    </w:tblStylePr>
    <w:tblStylePr w:type="band1Vert">
      <w:tblPr>
        <w:tblLayout w:type="fixed"/>
      </w:tblPr>
      <w:tcPr>
        <w:shd w:val="clear" w:color="auto" w:fill="A5D5E2" w:themeFill="accent5" w:themeFillTint="7F"/>
      </w:tcPr>
    </w:tblStylePr>
    <w:tblStylePr w:type="band1Horz">
      <w:tblPr>
        <w:tblLayout w:type="fixed"/>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Layout w:type="fixed"/>
      <w:tblCellMar>
        <w:top w:w="0" w:type="dxa"/>
        <w:left w:w="108" w:type="dxa"/>
        <w:bottom w:w="0" w:type="dxa"/>
        <w:right w:w="108" w:type="dxa"/>
      </w:tblCellMar>
    </w:tblPr>
    <w:tcPr>
      <w:shd w:val="clear" w:color="auto" w:fill="FDE9D9" w:themeFill="accent6" w:themeFillTint="33"/>
    </w:tcPr>
    <w:tblStylePr w:type="firstRow">
      <w:rPr>
        <w:b/>
        <w:bCs/>
      </w:rPr>
      <w:tblPr>
        <w:tblLayout w:type="fixed"/>
      </w:tblPr>
      <w:tcPr>
        <w:shd w:val="clear" w:color="auto" w:fill="FBD4B4" w:themeFill="accent6" w:themeFillTint="66"/>
      </w:tcPr>
    </w:tblStylePr>
    <w:tblStylePr w:type="lastRow">
      <w:rPr>
        <w:b/>
        <w:bCs/>
        <w:color w:val="000000" w:themeColor="text1"/>
        <w14:textFill>
          <w14:solidFill>
            <w14:schemeClr w14:val="tx1"/>
          </w14:solidFill>
        </w14:textFill>
      </w:rPr>
      <w:tblPr>
        <w:tblLayout w:type="fixed"/>
      </w:tblPr>
      <w:tcPr>
        <w:shd w:val="clear" w:color="auto" w:fill="FBD4B4" w:themeFill="accent6" w:themeFillTint="66"/>
      </w:tcPr>
    </w:tblStylePr>
    <w:tblStylePr w:type="firstCol">
      <w:rPr>
        <w:color w:val="FFFFFF" w:themeColor="background1"/>
        <w14:textFill>
          <w14:solidFill>
            <w14:schemeClr w14:val="bg1"/>
          </w14:solidFill>
        </w14:textFill>
      </w:rPr>
      <w:tblPr>
        <w:tblLayout w:type="fixed"/>
      </w:tblPr>
      <w:tcPr>
        <w:shd w:val="clear" w:color="auto" w:fill="E36C09" w:themeFill="accent6" w:themeFillShade="BF"/>
      </w:tcPr>
    </w:tblStylePr>
    <w:tblStylePr w:type="lastCol">
      <w:rPr>
        <w:color w:val="FFFFFF" w:themeColor="background1"/>
        <w14:textFill>
          <w14:solidFill>
            <w14:schemeClr w14:val="bg1"/>
          </w14:solidFill>
        </w14:textFill>
      </w:rPr>
      <w:tblPr>
        <w:tblLayout w:type="fixed"/>
      </w:tblPr>
      <w:tcPr>
        <w:shd w:val="clear" w:color="auto" w:fill="E36C09" w:themeFill="accent6" w:themeFillShade="BF"/>
      </w:tcPr>
    </w:tblStylePr>
    <w:tblStylePr w:type="band1Vert">
      <w:tblPr>
        <w:tblLayout w:type="fixed"/>
      </w:tblPr>
      <w:tcPr>
        <w:shd w:val="clear" w:color="auto" w:fill="FBCAA2" w:themeFill="accent6" w:themeFillTint="7F"/>
      </w:tcPr>
    </w:tblStylePr>
    <w:tblStylePr w:type="band1Horz">
      <w:tblPr>
        <w:tblLayout w:type="fixed"/>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qFormat/>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54</TotalTime>
  <ScaleCrop>false</ScaleCrop>
  <LinksUpToDate>false</LinksUpToDate>
  <CharactersWithSpaces>0</CharactersWithSpaces>
  <Application>WPS Office_11.8.2.8621_F1E327BC-269C-435d-A152-05C5408002CA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冷明阳</cp:lastModifiedBy>
  <dcterms:modified xsi:type="dcterms:W3CDTF">2026-05-25T07:44:52Z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2052-11.8.2.8621</vt:lpwstr>
  </property>
</Properties>
</file>