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80F433">
      <w:pPr>
        <w:pStyle w:val="3"/>
        <w:keepNext w:val="0"/>
        <w:keepLines w:val="0"/>
        <w:pageBreakBefore w:val="0"/>
        <w:widowControl w:val="0"/>
        <w:kinsoku/>
        <w:wordWrap/>
        <w:overflowPunct/>
        <w:topLinePunct w:val="0"/>
        <w:autoSpaceDE/>
        <w:autoSpaceDN/>
        <w:bidi w:val="0"/>
        <w:adjustRightInd/>
        <w:snapToGrid/>
        <w:spacing w:after="0" w:line="560" w:lineRule="exact"/>
        <w:jc w:val="center"/>
        <w:rPr>
          <w:rFonts w:hint="eastAsia" w:eastAsia="方正小标宋简体"/>
          <w:b w:val="0"/>
          <w:bCs/>
          <w:sz w:val="44"/>
          <w:lang w:eastAsia="zh-CN"/>
        </w:rPr>
      </w:pPr>
    </w:p>
    <w:p w14:paraId="71787D31">
      <w:pPr>
        <w:pStyle w:val="3"/>
        <w:keepNext w:val="0"/>
        <w:keepLines w:val="0"/>
        <w:pageBreakBefore w:val="0"/>
        <w:widowControl w:val="0"/>
        <w:kinsoku/>
        <w:wordWrap/>
        <w:overflowPunct/>
        <w:topLinePunct w:val="0"/>
        <w:autoSpaceDE/>
        <w:autoSpaceDN/>
        <w:bidi w:val="0"/>
        <w:adjustRightInd/>
        <w:snapToGrid/>
        <w:spacing w:after="0" w:line="560" w:lineRule="exact"/>
        <w:jc w:val="center"/>
        <w:rPr>
          <w:rFonts w:hint="eastAsia" w:eastAsia="方正小标宋简体"/>
          <w:b w:val="0"/>
          <w:bCs/>
          <w:sz w:val="44"/>
          <w:lang w:eastAsia="zh-CN"/>
        </w:rPr>
      </w:pPr>
      <w:r>
        <w:rPr>
          <w:rFonts w:hint="eastAsia" w:eastAsia="方正小标宋简体"/>
          <w:b w:val="0"/>
          <w:bCs/>
          <w:sz w:val="44"/>
          <w:lang w:eastAsia="zh-CN"/>
        </w:rPr>
        <w:t>公</w:t>
      </w:r>
      <w:r>
        <w:rPr>
          <w:rFonts w:hint="eastAsia" w:eastAsia="方正小标宋简体"/>
          <w:b w:val="0"/>
          <w:bCs/>
          <w:sz w:val="44"/>
          <w:lang w:val="en-US" w:eastAsia="zh-CN"/>
        </w:rPr>
        <w:t xml:space="preserve">    </w:t>
      </w:r>
      <w:r>
        <w:rPr>
          <w:rFonts w:hint="eastAsia" w:eastAsia="方正小标宋简体"/>
          <w:b w:val="0"/>
          <w:bCs/>
          <w:sz w:val="44"/>
          <w:lang w:eastAsia="zh-CN"/>
        </w:rPr>
        <w:t>示</w:t>
      </w:r>
    </w:p>
    <w:p w14:paraId="47870443">
      <w:pPr>
        <w:keepNext w:val="0"/>
        <w:keepLines w:val="0"/>
        <w:pageBreakBefore w:val="0"/>
        <w:widowControl w:val="0"/>
        <w:kinsoku/>
        <w:wordWrap/>
        <w:overflowPunct/>
        <w:topLinePunct w:val="0"/>
        <w:autoSpaceDE/>
        <w:autoSpaceDN/>
        <w:bidi w:val="0"/>
        <w:adjustRightInd/>
        <w:snapToGrid/>
        <w:spacing w:line="560" w:lineRule="exact"/>
        <w:jc w:val="left"/>
        <w:rPr>
          <w:rFonts w:hint="eastAsia" w:ascii="方正小标宋简体" w:hAnsi="方正小标宋简体" w:eastAsia="方正小标宋简体" w:cs="方正小标宋简体"/>
          <w:sz w:val="44"/>
          <w:szCs w:val="44"/>
          <w:lang w:eastAsia="zh-CN"/>
        </w:rPr>
      </w:pPr>
    </w:p>
    <w:p w14:paraId="09A522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b w:val="0"/>
          <w:bCs/>
          <w:i w:val="0"/>
          <w:iCs w:val="0"/>
          <w:color w:val="000000"/>
          <w:sz w:val="32"/>
          <w:szCs w:val="32"/>
          <w:lang w:val="en-US" w:eastAsia="zh-CN"/>
        </w:rPr>
      </w:pPr>
      <w:r>
        <w:rPr>
          <w:rFonts w:hint="eastAsia" w:ascii="仿宋_GB2312" w:hAnsi="仿宋_GB2312" w:eastAsia="仿宋_GB2312" w:cs="仿宋_GB2312"/>
          <w:b w:val="0"/>
          <w:bCs/>
          <w:i w:val="0"/>
          <w:iCs w:val="0"/>
          <w:color w:val="000000"/>
          <w:sz w:val="32"/>
          <w:szCs w:val="32"/>
          <w:lang w:eastAsia="zh-CN"/>
        </w:rPr>
        <w:t>按照《中共绵阳市委办公室</w:t>
      </w:r>
      <w:r>
        <w:rPr>
          <w:rFonts w:hint="eastAsia" w:ascii="仿宋_GB2312" w:hAnsi="仿宋_GB2312" w:eastAsia="仿宋_GB2312" w:cs="仿宋_GB2312"/>
          <w:b w:val="0"/>
          <w:bCs/>
          <w:i w:val="0"/>
          <w:iCs w:val="0"/>
          <w:color w:val="000000"/>
          <w:sz w:val="32"/>
          <w:szCs w:val="32"/>
          <w:lang w:val="en-US" w:eastAsia="zh-CN"/>
        </w:rPr>
        <w:t xml:space="preserve"> 绵阳市人民政府办公室关于做好绵阳市全面深化改革工作先进集体和先进个人推荐评选工作的通知</w:t>
      </w:r>
      <w:r>
        <w:rPr>
          <w:rFonts w:hint="eastAsia" w:ascii="仿宋_GB2312" w:hAnsi="仿宋_GB2312" w:eastAsia="仿宋_GB2312" w:cs="仿宋_GB2312"/>
          <w:b w:val="0"/>
          <w:bCs/>
          <w:i w:val="0"/>
          <w:iCs w:val="0"/>
          <w:color w:val="000000"/>
          <w:sz w:val="32"/>
          <w:szCs w:val="32"/>
          <w:lang w:eastAsia="zh-CN"/>
        </w:rPr>
        <w:t>》（绵委办〔</w:t>
      </w:r>
      <w:r>
        <w:rPr>
          <w:rFonts w:hint="eastAsia" w:ascii="仿宋_GB2312" w:hAnsi="仿宋_GB2312" w:eastAsia="仿宋_GB2312" w:cs="仿宋_GB2312"/>
          <w:b w:val="0"/>
          <w:bCs/>
          <w:i w:val="0"/>
          <w:iCs w:val="0"/>
          <w:color w:val="000000"/>
          <w:sz w:val="32"/>
          <w:szCs w:val="32"/>
          <w:lang w:val="en-US" w:eastAsia="zh-CN"/>
        </w:rPr>
        <w:t>2025</w:t>
      </w:r>
      <w:r>
        <w:rPr>
          <w:rFonts w:hint="eastAsia" w:ascii="仿宋_GB2312" w:hAnsi="仿宋_GB2312" w:eastAsia="仿宋_GB2312" w:cs="仿宋_GB2312"/>
          <w:b w:val="0"/>
          <w:bCs/>
          <w:i w:val="0"/>
          <w:iCs w:val="0"/>
          <w:color w:val="000000"/>
          <w:sz w:val="32"/>
          <w:szCs w:val="32"/>
          <w:lang w:eastAsia="zh-CN"/>
        </w:rPr>
        <w:t>〕</w:t>
      </w:r>
      <w:r>
        <w:rPr>
          <w:rFonts w:hint="eastAsia" w:ascii="仿宋_GB2312" w:hAnsi="仿宋_GB2312" w:eastAsia="仿宋_GB2312" w:cs="仿宋_GB2312"/>
          <w:b w:val="0"/>
          <w:bCs/>
          <w:i w:val="0"/>
          <w:iCs w:val="0"/>
          <w:color w:val="000000"/>
          <w:sz w:val="32"/>
          <w:szCs w:val="32"/>
          <w:lang w:val="en-US" w:eastAsia="zh-CN"/>
        </w:rPr>
        <w:t>44号</w:t>
      </w:r>
      <w:r>
        <w:rPr>
          <w:rFonts w:hint="eastAsia" w:ascii="仿宋_GB2312" w:hAnsi="仿宋_GB2312" w:eastAsia="仿宋_GB2312" w:cs="仿宋_GB2312"/>
          <w:b w:val="0"/>
          <w:bCs/>
          <w:i w:val="0"/>
          <w:iCs w:val="0"/>
          <w:color w:val="000000"/>
          <w:sz w:val="32"/>
          <w:szCs w:val="32"/>
          <w:lang w:eastAsia="zh-CN"/>
        </w:rPr>
        <w:t>），对照评选条件，经集团研究、审定，拟推荐</w:t>
      </w:r>
      <w:r>
        <w:rPr>
          <w:rFonts w:hint="eastAsia" w:ascii="仿宋_GB2312" w:hAnsi="仿宋_GB2312" w:eastAsia="仿宋_GB2312" w:cs="仿宋_GB2312"/>
          <w:b w:val="0"/>
          <w:bCs/>
          <w:color w:val="000000"/>
          <w:sz w:val="32"/>
          <w:szCs w:val="32"/>
          <w:lang w:val="en-US" w:eastAsia="zh-CN"/>
        </w:rPr>
        <w:t>四川九洲卫星导航投资发展有限公司</w:t>
      </w:r>
      <w:r>
        <w:rPr>
          <w:rFonts w:hint="eastAsia" w:ascii="仿宋_GB2312" w:hAnsi="仿宋_GB2312" w:eastAsia="仿宋_GB2312" w:cs="仿宋_GB2312"/>
          <w:b w:val="0"/>
          <w:bCs/>
          <w:i w:val="0"/>
          <w:iCs w:val="0"/>
          <w:color w:val="000000"/>
          <w:sz w:val="32"/>
          <w:szCs w:val="32"/>
          <w:lang w:eastAsia="zh-CN"/>
        </w:rPr>
        <w:t>为绵阳市全面深化改革工作先进集体。现将有关情况公示如下：</w:t>
      </w:r>
    </w:p>
    <w:p w14:paraId="4E1B304A">
      <w:pPr>
        <w:spacing w:line="540" w:lineRule="exact"/>
        <w:ind w:firstLine="640" w:firstLineChars="20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一、推荐对象基本情况</w:t>
      </w:r>
    </w:p>
    <w:p w14:paraId="5541736E">
      <w:pPr>
        <w:spacing w:line="540" w:lineRule="exact"/>
        <w:ind w:firstLine="640" w:firstLineChars="200"/>
        <w:rPr>
          <w:rFonts w:hint="eastAsia"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color w:val="000000"/>
          <w:sz w:val="32"/>
          <w:szCs w:val="32"/>
          <w:lang w:val="en-US" w:eastAsia="zh-CN"/>
        </w:rPr>
        <w:t xml:space="preserve">四川九洲卫星导航投资发展有限公司是聚焦北斗装备制造、导航与地理信息基础数据服务、行业应用解决方案的高科技企业，国家级专精特新“小巨人”企业，也是中国卫星导航定位协会副会长单位。公司构建了涵盖上游模块与天线、中游终端与设备、下游系统集成与运营服务的北斗全产业链。自入选国务院国资委“双百企业”以来，公司紧紧围绕“五突破一加强”要求，深入实施创新驱动发展战略，推动企业活力效率与核心竞争力持续提升，2021-2023年连续获评国务院国资委“双百行动”标杆企业。 </w:t>
      </w:r>
    </w:p>
    <w:p w14:paraId="610E81EB">
      <w:pPr>
        <w:spacing w:line="540" w:lineRule="exact"/>
        <w:ind w:firstLine="640" w:firstLineChars="20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 xml:space="preserve">二、主要改革事迹 </w:t>
      </w:r>
    </w:p>
    <w:p w14:paraId="0126EEB3">
      <w:pPr>
        <w:spacing w:line="540" w:lineRule="exact"/>
        <w:ind w:firstLine="643" w:firstLineChars="200"/>
        <w:rPr>
          <w:rFonts w:hint="eastAsia" w:ascii="楷体_GB2312" w:hAnsi="楷体_GB2312" w:eastAsia="楷体_GB2312" w:cs="楷体_GB2312"/>
          <w:b/>
          <w:bCs w:val="0"/>
          <w:color w:val="000000"/>
          <w:sz w:val="32"/>
          <w:szCs w:val="32"/>
          <w:lang w:val="en-US" w:eastAsia="zh-CN"/>
        </w:rPr>
      </w:pPr>
      <w:r>
        <w:rPr>
          <w:rFonts w:hint="eastAsia" w:ascii="楷体_GB2312" w:hAnsi="楷体_GB2312" w:eastAsia="楷体_GB2312" w:cs="楷体_GB2312"/>
          <w:b/>
          <w:bCs w:val="0"/>
          <w:color w:val="000000"/>
          <w:sz w:val="32"/>
          <w:szCs w:val="32"/>
          <w:lang w:val="en-US" w:eastAsia="zh-CN"/>
        </w:rPr>
        <w:t xml:space="preserve">（一）聚焦技术引领，打造自主可控产品体系 </w:t>
      </w:r>
    </w:p>
    <w:p w14:paraId="4B602E6B">
      <w:pPr>
        <w:spacing w:line="540" w:lineRule="exact"/>
        <w:ind w:firstLine="640" w:firstLineChars="200"/>
        <w:rPr>
          <w:rFonts w:hint="eastAsia"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color w:val="000000"/>
          <w:sz w:val="32"/>
          <w:szCs w:val="32"/>
          <w:lang w:val="en-US" w:eastAsia="zh-CN"/>
        </w:rPr>
        <w:t xml:space="preserve">九洲导航投资以技术创新为核心，打造多层次研发平台和高水平团队，已建成北斗国家地方联合工程实验室等国家级和多个省级创新技术、工程研究中心，并与中国工程物理研究院、电子科技大学等多所高校及科研机构建立长效合作，共建联合实验室攻关关键技术。设立技术专家委员会，由北斗卫星导航系统副总设计师、中科院院士领衔指导，确保技术路线的前瞻性与科学性。整合成渝绵三地研发资源，引进北斗三号芯片及激光雷达等领域高端团队，研发人员占比超40%，硕博人才占研发人员50%以上。研发投入持续高于营收15%，攻克北斗三号抗干扰、高精度定位等关键技术，面向水利、交通、军工等市场打造12款自主可控核心产品，其中4款终端与系统解决方案填补行业空白，有力支撑产业链安全与可持续发展。 </w:t>
      </w:r>
    </w:p>
    <w:p w14:paraId="4A44956F">
      <w:pPr>
        <w:spacing w:line="540" w:lineRule="exact"/>
        <w:ind w:firstLine="643" w:firstLineChars="200"/>
        <w:rPr>
          <w:rFonts w:hint="eastAsia" w:ascii="楷体_GB2312" w:hAnsi="楷体_GB2312" w:eastAsia="楷体_GB2312" w:cs="楷体_GB2312"/>
          <w:b/>
          <w:bCs w:val="0"/>
          <w:color w:val="000000"/>
          <w:sz w:val="32"/>
          <w:szCs w:val="32"/>
          <w:lang w:val="en-US" w:eastAsia="zh-CN"/>
        </w:rPr>
      </w:pPr>
      <w:r>
        <w:rPr>
          <w:rFonts w:hint="eastAsia" w:ascii="楷体_GB2312" w:hAnsi="楷体_GB2312" w:eastAsia="楷体_GB2312" w:cs="楷体_GB2312"/>
          <w:b/>
          <w:bCs w:val="0"/>
          <w:color w:val="000000"/>
          <w:sz w:val="32"/>
          <w:szCs w:val="32"/>
          <w:lang w:val="en-US" w:eastAsia="zh-CN"/>
        </w:rPr>
        <w:t xml:space="preserve">（二）改革转型，发展后劲不断增强 </w:t>
      </w:r>
    </w:p>
    <w:p w14:paraId="223228CF">
      <w:pPr>
        <w:spacing w:line="540" w:lineRule="exact"/>
        <w:ind w:firstLine="640" w:firstLineChars="200"/>
        <w:rPr>
          <w:rFonts w:hint="eastAsia"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color w:val="000000"/>
          <w:sz w:val="32"/>
          <w:szCs w:val="32"/>
          <w:lang w:val="en-US" w:eastAsia="zh-CN"/>
        </w:rPr>
        <w:t xml:space="preserve">九洲导航投资通过股权优化调整、开展骨干员工持股、战略投资者引进、组织体系优化、体制机制改革等一系列改革创新措施，极大提升了发展活力和创新动能，在国防装备领域，聚焦北斗三号市场，取得某型机竞标第二名等成绩，巩固军用机载市场地位。民品领域构建“1+3+N”布局，在应急监测、交通公车、通信指挥等领域连续中标重大项目，实现创新业务规模化发展。 </w:t>
      </w:r>
    </w:p>
    <w:p w14:paraId="3D853660">
      <w:pPr>
        <w:spacing w:line="540" w:lineRule="exact"/>
        <w:ind w:firstLine="643" w:firstLineChars="200"/>
        <w:rPr>
          <w:rFonts w:hint="eastAsia" w:ascii="楷体_GB2312" w:hAnsi="楷体_GB2312" w:eastAsia="楷体_GB2312" w:cs="楷体_GB2312"/>
          <w:b/>
          <w:bCs w:val="0"/>
          <w:color w:val="000000"/>
          <w:sz w:val="32"/>
          <w:szCs w:val="32"/>
          <w:lang w:val="en-US" w:eastAsia="zh-CN"/>
        </w:rPr>
      </w:pPr>
      <w:r>
        <w:rPr>
          <w:rFonts w:hint="eastAsia" w:ascii="楷体_GB2312" w:hAnsi="楷体_GB2312" w:eastAsia="楷体_GB2312" w:cs="楷体_GB2312"/>
          <w:b/>
          <w:bCs w:val="0"/>
          <w:color w:val="000000"/>
          <w:sz w:val="32"/>
          <w:szCs w:val="32"/>
          <w:lang w:val="en-US" w:eastAsia="zh-CN"/>
        </w:rPr>
        <w:t xml:space="preserve">（三）优化治理机制，提升自主经营效能 </w:t>
      </w:r>
    </w:p>
    <w:p w14:paraId="722BB0C0">
      <w:pPr>
        <w:spacing w:line="540" w:lineRule="exact"/>
        <w:ind w:firstLine="640" w:firstLineChars="200"/>
        <w:rPr>
          <w:rFonts w:hint="eastAsia"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val="0"/>
          <w:bCs/>
          <w:color w:val="000000"/>
          <w:sz w:val="32"/>
          <w:szCs w:val="32"/>
          <w:lang w:val="en-US" w:eastAsia="zh-CN"/>
        </w:rPr>
        <w:t xml:space="preserve">九洲集团对九洲导航投资实施差异化授权，在董事会职权方面充分放权。九洲导航投资内部则通过制定二级单位权责清单、修订“三重一大”决策制度及各类权责清单，实现权责穿透。修订“三重一大”决策制度及党组织、董事会、经理层权责清单，厘清各治理主体边界。九洲导航投资积极加强能力建设，成功通过国军标扩项审查，取得涉密信息系统集成乙级等多项关键资质，拓展了军品与行业市场。健全董事会运行机制，完善董事委派与评价制度，落实董事会职权，强化经理层对董事会负责的履职报告机制。 </w:t>
      </w:r>
    </w:p>
    <w:p w14:paraId="26851303">
      <w:pPr>
        <w:spacing w:line="540" w:lineRule="exact"/>
        <w:ind w:firstLine="643" w:firstLineChars="200"/>
        <w:rPr>
          <w:rFonts w:hint="eastAsia" w:ascii="仿宋_GB2312" w:hAnsi="仿宋_GB2312" w:eastAsia="仿宋_GB2312" w:cs="仿宋_GB2312"/>
          <w:b w:val="0"/>
          <w:bCs/>
          <w:color w:val="000000"/>
          <w:sz w:val="32"/>
          <w:szCs w:val="32"/>
          <w:lang w:val="en-US" w:eastAsia="zh-CN"/>
        </w:rPr>
      </w:pPr>
      <w:r>
        <w:rPr>
          <w:rFonts w:hint="eastAsia" w:ascii="楷体_GB2312" w:hAnsi="楷体_GB2312" w:eastAsia="楷体_GB2312" w:cs="楷体_GB2312"/>
          <w:b/>
          <w:bCs w:val="0"/>
          <w:color w:val="000000"/>
          <w:sz w:val="32"/>
          <w:szCs w:val="32"/>
          <w:lang w:val="en-US" w:eastAsia="zh-CN"/>
        </w:rPr>
        <w:t>（四）完善市场机制，激发人才创新活力</w:t>
      </w:r>
      <w:r>
        <w:rPr>
          <w:rFonts w:hint="eastAsia" w:ascii="仿宋_GB2312" w:hAnsi="仿宋_GB2312" w:eastAsia="仿宋_GB2312" w:cs="仿宋_GB2312"/>
          <w:b w:val="0"/>
          <w:bCs/>
          <w:color w:val="000000"/>
          <w:sz w:val="32"/>
          <w:szCs w:val="32"/>
          <w:lang w:val="en-US" w:eastAsia="zh-CN"/>
        </w:rPr>
        <w:t xml:space="preserve"> </w:t>
      </w:r>
    </w:p>
    <w:p w14:paraId="4C40690C">
      <w:pPr>
        <w:spacing w:line="540" w:lineRule="exact"/>
        <w:ind w:firstLine="640" w:firstLineChars="200"/>
        <w:rPr>
          <w:rFonts w:hint="eastAsia" w:ascii="仿宋_GB2312" w:hAnsi="仿宋_GB2312" w:eastAsia="仿宋_GB2312" w:cs="仿宋_GB2312"/>
          <w:b w:val="0"/>
          <w:bCs/>
          <w:color w:val="000000"/>
          <w:sz w:val="32"/>
          <w:szCs w:val="32"/>
        </w:rPr>
      </w:pPr>
      <w:r>
        <w:rPr>
          <w:rFonts w:hint="eastAsia" w:ascii="仿宋_GB2312" w:hAnsi="仿宋_GB2312" w:eastAsia="仿宋_GB2312" w:cs="仿宋_GB2312"/>
          <w:b w:val="0"/>
          <w:bCs/>
          <w:color w:val="000000"/>
          <w:sz w:val="32"/>
          <w:szCs w:val="32"/>
          <w:lang w:val="en-US" w:eastAsia="zh-CN"/>
        </w:rPr>
        <w:t>全面推行经理层任期制与契约化管理，实施“一岗一契约”，个性化考核占比达60%。强化薪酬与业绩联动，经理层薪酬差异达1.8倍，明确考核退出条款。员工100%市场化选聘，市场化退出率超10%，形成“能上能下”的用人机制。构建基于业绩贡献的考核分配体系，实施“月度+季度+年度”全员绩效考核与宽带薪酬模式，同层级薪酬差距最高超过4倍，实现收入“能增能减”。</w:t>
      </w:r>
    </w:p>
    <w:p w14:paraId="2B00AF97">
      <w:pPr>
        <w:pStyle w:val="2"/>
        <w:spacing w:before="0" w:after="0" w:line="540" w:lineRule="exact"/>
        <w:ind w:firstLine="640" w:firstLineChars="200"/>
        <w:rPr>
          <w:rFonts w:ascii="黑体" w:hAnsi="黑体" w:eastAsia="黑体"/>
          <w:b w:val="0"/>
          <w:bCs w:val="0"/>
          <w:sz w:val="32"/>
          <w:szCs w:val="32"/>
        </w:rPr>
      </w:pPr>
      <w:r>
        <w:rPr>
          <w:rFonts w:ascii="黑体" w:hAnsi="黑体" w:eastAsia="黑体"/>
          <w:b w:val="0"/>
          <w:bCs w:val="0"/>
          <w:sz w:val="32"/>
          <w:szCs w:val="32"/>
        </w:rPr>
        <w:t>三、公示期限及反馈方式</w:t>
      </w:r>
    </w:p>
    <w:p w14:paraId="6B75537E">
      <w:pPr>
        <w:spacing w:line="540" w:lineRule="exact"/>
        <w:ind w:firstLine="640" w:firstLineChars="200"/>
        <w:rPr>
          <w:rFonts w:hint="eastAsia" w:ascii="仿宋" w:hAnsi="仿宋" w:eastAsia="仿宋" w:cs="宋体"/>
          <w:kern w:val="0"/>
          <w:sz w:val="32"/>
          <w:szCs w:val="32"/>
        </w:rPr>
      </w:pPr>
      <w:r>
        <w:rPr>
          <w:rFonts w:hint="eastAsia" w:ascii="仿宋" w:hAnsi="仿宋" w:eastAsia="仿宋" w:cs="宋体"/>
          <w:kern w:val="0"/>
          <w:sz w:val="32"/>
          <w:szCs w:val="32"/>
        </w:rPr>
        <w:t>干部群众如有反映推荐对象存在违纪行为的，</w:t>
      </w:r>
      <w:r>
        <w:rPr>
          <w:rFonts w:hint="eastAsia" w:ascii="仿宋_GB2312" w:hAnsi="仿宋_GB2312" w:eastAsia="仿宋_GB2312" w:cs="仿宋_GB2312"/>
          <w:b w:val="0"/>
          <w:bCs/>
          <w:color w:val="000000"/>
          <w:sz w:val="32"/>
          <w:szCs w:val="32"/>
        </w:rPr>
        <w:t>请于5个工作日内（</w:t>
      </w:r>
      <w:r>
        <w:rPr>
          <w:rFonts w:hint="eastAsia" w:ascii="仿宋_GB2312" w:hAnsi="仿宋_GB2312" w:eastAsia="仿宋_GB2312" w:cs="仿宋_GB2312"/>
          <w:b w:val="0"/>
          <w:bCs/>
          <w:color w:val="000000"/>
          <w:sz w:val="32"/>
          <w:szCs w:val="32"/>
          <w:lang w:val="en-US" w:eastAsia="zh-CN"/>
        </w:rPr>
        <w:t>12</w:t>
      </w:r>
      <w:r>
        <w:rPr>
          <w:rFonts w:hint="eastAsia" w:ascii="仿宋_GB2312" w:hAnsi="仿宋_GB2312" w:eastAsia="仿宋_GB2312" w:cs="仿宋_GB2312"/>
          <w:b w:val="0"/>
          <w:bCs/>
          <w:color w:val="000000"/>
          <w:sz w:val="32"/>
          <w:szCs w:val="32"/>
        </w:rPr>
        <w:t>月</w:t>
      </w:r>
      <w:r>
        <w:rPr>
          <w:rFonts w:hint="eastAsia" w:ascii="仿宋_GB2312" w:hAnsi="仿宋_GB2312" w:eastAsia="仿宋_GB2312" w:cs="仿宋_GB2312"/>
          <w:b w:val="0"/>
          <w:bCs/>
          <w:color w:val="000000"/>
          <w:sz w:val="32"/>
          <w:szCs w:val="32"/>
          <w:lang w:val="en-US" w:eastAsia="zh-CN"/>
        </w:rPr>
        <w:t>2</w:t>
      </w:r>
      <w:r>
        <w:rPr>
          <w:rFonts w:hint="eastAsia" w:ascii="仿宋_GB2312" w:hAnsi="仿宋_GB2312" w:eastAsia="仿宋_GB2312" w:cs="仿宋_GB2312"/>
          <w:b w:val="0"/>
          <w:bCs/>
          <w:color w:val="000000"/>
          <w:sz w:val="32"/>
          <w:szCs w:val="32"/>
        </w:rPr>
        <w:t>日至</w:t>
      </w:r>
      <w:r>
        <w:rPr>
          <w:rFonts w:hint="eastAsia" w:ascii="仿宋_GB2312" w:hAnsi="仿宋_GB2312" w:eastAsia="仿宋_GB2312" w:cs="仿宋_GB2312"/>
          <w:b w:val="0"/>
          <w:bCs/>
          <w:color w:val="000000"/>
          <w:sz w:val="32"/>
          <w:szCs w:val="32"/>
          <w:lang w:val="en-US" w:eastAsia="zh-CN"/>
        </w:rPr>
        <w:t>12</w:t>
      </w:r>
      <w:r>
        <w:rPr>
          <w:rFonts w:hint="eastAsia" w:ascii="仿宋_GB2312" w:hAnsi="仿宋_GB2312" w:eastAsia="仿宋_GB2312" w:cs="仿宋_GB2312"/>
          <w:b w:val="0"/>
          <w:bCs/>
          <w:color w:val="000000"/>
          <w:sz w:val="32"/>
          <w:szCs w:val="32"/>
        </w:rPr>
        <w:t>月</w:t>
      </w:r>
      <w:r>
        <w:rPr>
          <w:rFonts w:hint="eastAsia" w:ascii="仿宋_GB2312" w:hAnsi="仿宋_GB2312" w:eastAsia="仿宋_GB2312" w:cs="仿宋_GB2312"/>
          <w:b w:val="0"/>
          <w:bCs/>
          <w:color w:val="000000"/>
          <w:sz w:val="32"/>
          <w:szCs w:val="32"/>
          <w:lang w:val="en-US" w:eastAsia="zh-CN"/>
        </w:rPr>
        <w:t>9</w:t>
      </w:r>
      <w:r>
        <w:rPr>
          <w:rFonts w:hint="eastAsia" w:ascii="仿宋_GB2312" w:hAnsi="仿宋_GB2312" w:eastAsia="仿宋_GB2312" w:cs="仿宋_GB2312"/>
          <w:b w:val="0"/>
          <w:bCs/>
          <w:color w:val="000000"/>
          <w:sz w:val="32"/>
          <w:szCs w:val="32"/>
        </w:rPr>
        <w:t>日）</w:t>
      </w:r>
      <w:r>
        <w:rPr>
          <w:rFonts w:hint="eastAsia" w:ascii="仿宋" w:hAnsi="仿宋" w:eastAsia="仿宋" w:cs="宋体"/>
          <w:kern w:val="0"/>
          <w:sz w:val="32"/>
          <w:szCs w:val="32"/>
        </w:rPr>
        <w:t>以电话、信函、来访等方式向相关部门反映，反映情况要实事求是、客观公正。电话和信函应告知真实姓名，并提供联系方式，以便调查核实。</w:t>
      </w:r>
    </w:p>
    <w:p w14:paraId="74CECF22">
      <w:pPr>
        <w:spacing w:line="540" w:lineRule="exact"/>
        <w:ind w:firstLine="640" w:firstLineChars="200"/>
        <w:rPr>
          <w:rFonts w:hint="eastAsia" w:ascii="仿宋" w:hAnsi="仿宋" w:eastAsia="仿宋" w:cs="宋体"/>
          <w:kern w:val="0"/>
          <w:sz w:val="32"/>
          <w:szCs w:val="32"/>
        </w:rPr>
      </w:pPr>
      <w:r>
        <w:rPr>
          <w:rFonts w:hint="eastAsia" w:ascii="仿宋" w:hAnsi="仿宋" w:eastAsia="仿宋" w:cs="宋体"/>
          <w:kern w:val="0"/>
          <w:sz w:val="32"/>
          <w:szCs w:val="32"/>
        </w:rPr>
        <w:t>联系方式：</w:t>
      </w:r>
    </w:p>
    <w:p w14:paraId="79545F53">
      <w:pPr>
        <w:spacing w:line="540" w:lineRule="exact"/>
        <w:ind w:firstLine="640" w:firstLineChars="200"/>
        <w:rPr>
          <w:rFonts w:hint="default" w:ascii="仿宋" w:hAnsi="仿宋" w:eastAsia="仿宋" w:cs="宋体"/>
          <w:kern w:val="0"/>
          <w:sz w:val="32"/>
          <w:szCs w:val="32"/>
          <w:highlight w:val="none"/>
          <w:lang w:val="en-US" w:eastAsia="zh-CN"/>
        </w:rPr>
      </w:pPr>
      <w:r>
        <w:rPr>
          <w:rFonts w:hint="eastAsia" w:ascii="仿宋" w:hAnsi="仿宋" w:eastAsia="仿宋" w:cs="宋体"/>
          <w:kern w:val="0"/>
          <w:sz w:val="32"/>
          <w:szCs w:val="32"/>
          <w:highlight w:val="none"/>
          <w:lang w:eastAsia="zh-CN"/>
        </w:rPr>
        <w:t>战略发展部</w:t>
      </w:r>
      <w:r>
        <w:rPr>
          <w:rFonts w:hint="eastAsia" w:ascii="仿宋" w:hAnsi="仿宋" w:eastAsia="仿宋" w:cs="宋体"/>
          <w:kern w:val="0"/>
          <w:sz w:val="32"/>
          <w:szCs w:val="32"/>
          <w:highlight w:val="none"/>
        </w:rPr>
        <w:t xml:space="preserve"> </w:t>
      </w:r>
      <w:r>
        <w:rPr>
          <w:highlight w:val="none"/>
        </w:rPr>
        <w:fldChar w:fldCharType="begin"/>
      </w:r>
      <w:r>
        <w:rPr>
          <w:highlight w:val="none"/>
        </w:rPr>
        <w:instrText xml:space="preserve"> HYPERLINK "mailto:0816-2416016/jyglb@changhong.com" </w:instrText>
      </w:r>
      <w:r>
        <w:rPr>
          <w:highlight w:val="none"/>
        </w:rPr>
        <w:fldChar w:fldCharType="separate"/>
      </w:r>
      <w:r>
        <w:rPr>
          <w:rFonts w:hint="eastAsia" w:ascii="仿宋" w:hAnsi="仿宋" w:eastAsia="仿宋" w:cs="宋体"/>
          <w:kern w:val="0"/>
          <w:sz w:val="32"/>
          <w:szCs w:val="32"/>
          <w:highlight w:val="none"/>
        </w:rPr>
        <w:t>0816-</w:t>
      </w:r>
      <w:r>
        <w:rPr>
          <w:rFonts w:hint="eastAsia" w:ascii="仿宋" w:hAnsi="仿宋" w:eastAsia="仿宋" w:cs="宋体"/>
          <w:kern w:val="0"/>
          <w:sz w:val="32"/>
          <w:szCs w:val="32"/>
          <w:highlight w:val="none"/>
          <w:lang w:val="en-US" w:eastAsia="zh-CN"/>
        </w:rPr>
        <w:t>24685</w:t>
      </w:r>
      <w:r>
        <w:rPr>
          <w:rFonts w:hint="eastAsia" w:ascii="仿宋" w:hAnsi="仿宋" w:eastAsia="仿宋" w:cs="宋体"/>
          <w:kern w:val="0"/>
          <w:sz w:val="32"/>
          <w:szCs w:val="32"/>
          <w:highlight w:val="none"/>
        </w:rPr>
        <w:fldChar w:fldCharType="end"/>
      </w:r>
      <w:r>
        <w:rPr>
          <w:rFonts w:hint="eastAsia" w:ascii="仿宋" w:hAnsi="仿宋" w:eastAsia="仿宋" w:cs="宋体"/>
          <w:kern w:val="0"/>
          <w:sz w:val="32"/>
          <w:szCs w:val="32"/>
          <w:highlight w:val="none"/>
          <w:lang w:val="en-US" w:eastAsia="zh-CN"/>
        </w:rPr>
        <w:t>54</w:t>
      </w:r>
      <w:bookmarkStart w:id="0" w:name="_GoBack"/>
      <w:bookmarkEnd w:id="0"/>
    </w:p>
    <w:p w14:paraId="1D03CF63">
      <w:pPr>
        <w:spacing w:line="540" w:lineRule="exact"/>
        <w:ind w:firstLine="640" w:firstLineChars="200"/>
        <w:rPr>
          <w:rFonts w:hint="default" w:ascii="仿宋" w:hAnsi="仿宋" w:eastAsia="仿宋" w:cs="宋体"/>
          <w:kern w:val="0"/>
          <w:sz w:val="32"/>
          <w:szCs w:val="32"/>
          <w:highlight w:val="none"/>
          <w:lang w:val="en-US" w:eastAsia="zh-CN"/>
        </w:rPr>
      </w:pPr>
      <w:r>
        <w:rPr>
          <w:rFonts w:hint="eastAsia" w:ascii="仿宋" w:hAnsi="仿宋" w:eastAsia="仿宋" w:cs="宋体"/>
          <w:kern w:val="0"/>
          <w:sz w:val="32"/>
          <w:szCs w:val="32"/>
          <w:highlight w:val="none"/>
        </w:rPr>
        <w:t>纪委办公室 0816-24</w:t>
      </w:r>
      <w:r>
        <w:rPr>
          <w:rFonts w:hint="eastAsia" w:ascii="仿宋" w:hAnsi="仿宋" w:eastAsia="仿宋" w:cs="宋体"/>
          <w:kern w:val="0"/>
          <w:sz w:val="32"/>
          <w:szCs w:val="32"/>
          <w:highlight w:val="none"/>
          <w:lang w:val="en-US" w:eastAsia="zh-CN"/>
        </w:rPr>
        <w:t>68389</w:t>
      </w:r>
    </w:p>
    <w:p w14:paraId="28D4F851">
      <w:pPr>
        <w:spacing w:line="54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通讯地址:绵阳市</w:t>
      </w:r>
      <w:r>
        <w:rPr>
          <w:rFonts w:hint="eastAsia" w:ascii="仿宋" w:hAnsi="仿宋" w:eastAsia="仿宋" w:cs="宋体"/>
          <w:kern w:val="0"/>
          <w:sz w:val="32"/>
          <w:szCs w:val="32"/>
          <w:lang w:eastAsia="zh-CN"/>
        </w:rPr>
        <w:t>九华路</w:t>
      </w:r>
      <w:r>
        <w:rPr>
          <w:rFonts w:hint="eastAsia" w:ascii="仿宋" w:hAnsi="仿宋" w:eastAsia="仿宋" w:cs="宋体"/>
          <w:kern w:val="0"/>
          <w:sz w:val="32"/>
          <w:szCs w:val="32"/>
          <w:lang w:val="en-US" w:eastAsia="zh-CN"/>
        </w:rPr>
        <w:t>6</w:t>
      </w:r>
      <w:r>
        <w:rPr>
          <w:rFonts w:hint="eastAsia" w:ascii="仿宋" w:hAnsi="仿宋" w:eastAsia="仿宋" w:cs="宋体"/>
          <w:kern w:val="0"/>
          <w:sz w:val="32"/>
          <w:szCs w:val="32"/>
        </w:rPr>
        <w:t>号</w:t>
      </w:r>
      <w:r>
        <w:rPr>
          <w:rFonts w:hint="eastAsia" w:ascii="仿宋" w:hAnsi="仿宋" w:eastAsia="仿宋" w:cs="宋体"/>
          <w:kern w:val="0"/>
          <w:sz w:val="32"/>
          <w:szCs w:val="32"/>
          <w:lang w:eastAsia="zh-CN"/>
        </w:rPr>
        <w:t>九洲集团组织人事部</w:t>
      </w:r>
      <w:r>
        <w:rPr>
          <w:rFonts w:hint="eastAsia" w:ascii="仿宋" w:hAnsi="仿宋" w:eastAsia="仿宋" w:cs="宋体"/>
          <w:kern w:val="0"/>
          <w:sz w:val="32"/>
          <w:szCs w:val="32"/>
        </w:rPr>
        <w:t>/纪委办公室</w:t>
      </w:r>
    </w:p>
    <w:p w14:paraId="261B82BE">
      <w:pPr>
        <w:spacing w:line="540" w:lineRule="exact"/>
        <w:ind w:firstLine="640" w:firstLineChars="200"/>
        <w:rPr>
          <w:rFonts w:ascii="仿宋" w:hAnsi="仿宋" w:eastAsia="仿宋" w:cs="宋体"/>
          <w:kern w:val="0"/>
          <w:sz w:val="32"/>
          <w:szCs w:val="32"/>
        </w:rPr>
      </w:pPr>
      <w:r>
        <w:rPr>
          <w:rFonts w:hint="eastAsia" w:ascii="仿宋" w:hAnsi="仿宋" w:eastAsia="仿宋" w:cs="宋体"/>
          <w:kern w:val="0"/>
          <w:sz w:val="32"/>
          <w:szCs w:val="32"/>
        </w:rPr>
        <w:t>邮政编码:621000</w:t>
      </w:r>
    </w:p>
    <w:p w14:paraId="5B6690CE">
      <w:pPr>
        <w:keepNext w:val="0"/>
        <w:keepLines w:val="0"/>
        <w:pageBreakBefore w:val="0"/>
        <w:widowControl w:val="0"/>
        <w:kinsoku/>
        <w:wordWrap/>
        <w:overflowPunct/>
        <w:topLinePunct w:val="0"/>
        <w:autoSpaceDE/>
        <w:autoSpaceDN/>
        <w:bidi w:val="0"/>
        <w:adjustRightInd/>
        <w:snapToGrid/>
        <w:spacing w:line="500" w:lineRule="exact"/>
        <w:ind w:firstLine="640" w:firstLineChars="200"/>
        <w:jc w:val="left"/>
        <w:textAlignment w:val="auto"/>
        <w:rPr>
          <w:rFonts w:hint="eastAsia" w:ascii="仿宋_GB2312" w:hAnsi="仿宋_GB2312" w:eastAsia="仿宋_GB2312" w:cs="仿宋_GB2312"/>
          <w:b w:val="0"/>
          <w:bCs/>
          <w:color w:val="000000"/>
          <w:sz w:val="32"/>
          <w:szCs w:val="32"/>
        </w:rPr>
      </w:pPr>
    </w:p>
    <w:p w14:paraId="6D73A540">
      <w:pPr>
        <w:pStyle w:val="3"/>
        <w:keepNext w:val="0"/>
        <w:keepLines w:val="0"/>
        <w:pageBreakBefore w:val="0"/>
        <w:widowControl w:val="0"/>
        <w:kinsoku/>
        <w:wordWrap/>
        <w:overflowPunct/>
        <w:topLinePunct w:val="0"/>
        <w:autoSpaceDE/>
        <w:autoSpaceDN/>
        <w:bidi w:val="0"/>
        <w:snapToGrid w:val="0"/>
        <w:spacing w:after="0" w:line="560" w:lineRule="exact"/>
        <w:jc w:val="left"/>
        <w:rPr>
          <w:rFonts w:hint="eastAsia" w:ascii="仿宋_GB2312" w:hAnsi="仿宋_GB2312" w:eastAsia="仿宋_GB2312" w:cs="仿宋_GB2312"/>
          <w:b w:val="0"/>
          <w:bCs/>
          <w:color w:val="000000"/>
          <w:sz w:val="32"/>
          <w:szCs w:val="32"/>
          <w:lang w:eastAsia="zh-CN"/>
        </w:rPr>
      </w:pPr>
    </w:p>
    <w:p w14:paraId="544D6266">
      <w:pPr>
        <w:pStyle w:val="3"/>
        <w:keepNext w:val="0"/>
        <w:keepLines w:val="0"/>
        <w:pageBreakBefore w:val="0"/>
        <w:widowControl w:val="0"/>
        <w:kinsoku/>
        <w:wordWrap/>
        <w:overflowPunct/>
        <w:topLinePunct w:val="0"/>
        <w:autoSpaceDE/>
        <w:autoSpaceDN/>
        <w:bidi w:val="0"/>
        <w:snapToGrid w:val="0"/>
        <w:spacing w:after="0" w:line="560" w:lineRule="exact"/>
        <w:ind w:firstLine="3520" w:firstLineChars="1100"/>
        <w:jc w:val="left"/>
        <w:rPr>
          <w:rFonts w:hint="eastAsia" w:ascii="仿宋_GB2312" w:hAnsi="仿宋_GB2312" w:eastAsia="仿宋_GB2312" w:cs="仿宋_GB2312"/>
          <w:b w:val="0"/>
          <w:bCs/>
          <w:color w:val="000000"/>
          <w:sz w:val="32"/>
          <w:szCs w:val="32"/>
          <w:lang w:eastAsia="zh-CN"/>
        </w:rPr>
      </w:pPr>
      <w:r>
        <w:rPr>
          <w:rFonts w:hint="eastAsia" w:ascii="仿宋_GB2312" w:hAnsi="仿宋_GB2312" w:eastAsia="仿宋_GB2312" w:cs="仿宋_GB2312"/>
          <w:b w:val="0"/>
          <w:bCs/>
          <w:color w:val="000000"/>
          <w:sz w:val="32"/>
          <w:szCs w:val="32"/>
          <w:lang w:eastAsia="zh-CN"/>
        </w:rPr>
        <w:t>四川九洲投资控股集团有限公司</w:t>
      </w:r>
    </w:p>
    <w:p w14:paraId="4D6346A0">
      <w:pPr>
        <w:pStyle w:val="3"/>
        <w:keepNext w:val="0"/>
        <w:keepLines w:val="0"/>
        <w:pageBreakBefore w:val="0"/>
        <w:widowControl w:val="0"/>
        <w:kinsoku/>
        <w:wordWrap/>
        <w:overflowPunct/>
        <w:topLinePunct w:val="0"/>
        <w:autoSpaceDE/>
        <w:autoSpaceDN/>
        <w:bidi w:val="0"/>
        <w:snapToGrid w:val="0"/>
        <w:spacing w:after="0" w:line="560" w:lineRule="exact"/>
        <w:ind w:firstLine="4480" w:firstLineChars="1400"/>
        <w:jc w:val="left"/>
        <w:rPr>
          <w:rFonts w:hint="eastAsia" w:ascii="仿宋_GB2312" w:hAnsi="仿宋_GB2312" w:eastAsia="仿宋_GB2312" w:cs="仿宋_GB2312"/>
          <w:b w:val="0"/>
          <w:bCs/>
          <w:sz w:val="32"/>
          <w:szCs w:val="32"/>
          <w:lang w:eastAsia="zh-CN"/>
        </w:rPr>
      </w:pPr>
      <w:r>
        <w:rPr>
          <w:rFonts w:hint="eastAsia" w:ascii="仿宋_GB2312" w:hAnsi="仿宋_GB2312" w:eastAsia="仿宋_GB2312" w:cs="仿宋_GB2312"/>
          <w:b w:val="0"/>
          <w:bCs/>
          <w:color w:val="000000"/>
          <w:sz w:val="32"/>
          <w:szCs w:val="32"/>
        </w:rPr>
        <w:t>202</w:t>
      </w:r>
      <w:r>
        <w:rPr>
          <w:rFonts w:hint="eastAsia" w:ascii="仿宋_GB2312" w:hAnsi="仿宋_GB2312" w:eastAsia="仿宋_GB2312" w:cs="仿宋_GB2312"/>
          <w:b w:val="0"/>
          <w:bCs/>
          <w:color w:val="000000"/>
          <w:sz w:val="32"/>
          <w:szCs w:val="32"/>
          <w:lang w:val="en-US" w:eastAsia="zh-CN"/>
        </w:rPr>
        <w:t>5</w:t>
      </w:r>
      <w:r>
        <w:rPr>
          <w:rFonts w:hint="eastAsia" w:ascii="仿宋_GB2312" w:hAnsi="仿宋_GB2312" w:eastAsia="仿宋_GB2312" w:cs="仿宋_GB2312"/>
          <w:b w:val="0"/>
          <w:bCs/>
          <w:color w:val="000000"/>
          <w:sz w:val="32"/>
          <w:szCs w:val="32"/>
        </w:rPr>
        <w:t>年</w:t>
      </w:r>
      <w:r>
        <w:rPr>
          <w:rFonts w:hint="eastAsia" w:ascii="仿宋_GB2312" w:hAnsi="仿宋_GB2312" w:eastAsia="仿宋_GB2312" w:cs="仿宋_GB2312"/>
          <w:b w:val="0"/>
          <w:bCs/>
          <w:color w:val="000000"/>
          <w:sz w:val="32"/>
          <w:szCs w:val="32"/>
          <w:lang w:val="en-US" w:eastAsia="zh-CN"/>
        </w:rPr>
        <w:t>12</w:t>
      </w:r>
      <w:r>
        <w:rPr>
          <w:rFonts w:hint="eastAsia" w:ascii="仿宋_GB2312" w:hAnsi="仿宋_GB2312" w:eastAsia="仿宋_GB2312" w:cs="仿宋_GB2312"/>
          <w:b w:val="0"/>
          <w:bCs/>
          <w:color w:val="000000"/>
          <w:sz w:val="32"/>
          <w:szCs w:val="32"/>
        </w:rPr>
        <w:t>月</w:t>
      </w:r>
      <w:r>
        <w:rPr>
          <w:rFonts w:hint="eastAsia" w:ascii="仿宋_GB2312" w:hAnsi="仿宋_GB2312" w:eastAsia="仿宋_GB2312" w:cs="仿宋_GB2312"/>
          <w:b w:val="0"/>
          <w:bCs/>
          <w:color w:val="000000"/>
          <w:sz w:val="32"/>
          <w:szCs w:val="32"/>
          <w:lang w:val="en-US" w:eastAsia="zh-CN"/>
        </w:rPr>
        <w:t>2</w:t>
      </w:r>
      <w:r>
        <w:rPr>
          <w:rFonts w:hint="eastAsia" w:ascii="仿宋_GB2312" w:hAnsi="仿宋_GB2312" w:eastAsia="仿宋_GB2312" w:cs="仿宋_GB2312"/>
          <w:b w:val="0"/>
          <w:bCs/>
          <w:color w:val="000000"/>
          <w:sz w:val="32"/>
          <w:szCs w:val="32"/>
        </w:rPr>
        <w:t>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5C6D6E"/>
    <w:rsid w:val="11466AA6"/>
    <w:rsid w:val="1C473DF0"/>
    <w:rsid w:val="1F4C1F5F"/>
    <w:rsid w:val="29A41709"/>
    <w:rsid w:val="32FFF432"/>
    <w:rsid w:val="375C6D6E"/>
    <w:rsid w:val="3BBF368B"/>
    <w:rsid w:val="41C247B5"/>
    <w:rsid w:val="4B411396"/>
    <w:rsid w:val="61DA2912"/>
    <w:rsid w:val="6372336A"/>
    <w:rsid w:val="655E0DCD"/>
    <w:rsid w:val="6FBB4682"/>
    <w:rsid w:val="6FFE53E0"/>
    <w:rsid w:val="72073240"/>
    <w:rsid w:val="77B75421"/>
    <w:rsid w:val="7FDADF02"/>
    <w:rsid w:val="7FF95232"/>
    <w:rsid w:val="C6A6E8EB"/>
    <w:rsid w:val="CFF695D2"/>
    <w:rsid w:val="DFF32FA0"/>
    <w:rsid w:val="EEBF120C"/>
    <w:rsid w:val="F91F0A61"/>
    <w:rsid w:val="FBFC1B69"/>
    <w:rsid w:val="FD8B5489"/>
    <w:rsid w:val="FEFFD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heme="minorHAnsi" w:hAnsiTheme="minorHAnsi" w:eastAsiaTheme="minorEastAsia" w:cstheme="minorBidi"/>
      <w:b/>
      <w:bCs/>
      <w:kern w:val="44"/>
      <w:sz w:val="44"/>
      <w:szCs w:val="44"/>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unhideWhenUsed/>
    <w:qFormat/>
    <w:uiPriority w:val="99"/>
    <w:pPr>
      <w:widowControl w:val="0"/>
      <w:adjustRightInd w:val="0"/>
      <w:spacing w:after="120" w:line="360" w:lineRule="atLeast"/>
      <w:jc w:val="both"/>
      <w:textAlignment w:val="baseline"/>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1499</Words>
  <Characters>1565</Characters>
  <Lines>0</Lines>
  <Paragraphs>0</Paragraphs>
  <TotalTime>133</TotalTime>
  <ScaleCrop>false</ScaleCrop>
  <LinksUpToDate>false</LinksUpToDate>
  <CharactersWithSpaces>1581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2025-12-02T17:43:00Z</dcterms:created>
  <dc:creator>user</dc:creator>
  <cp:lastModifiedBy>王海鑫</cp:lastModifiedBy>
  <dcterms:modified xsi:type="dcterms:W3CDTF">2025-12-03T05:39:21Z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7BDBCC20E5844E9081A6F07E8D6E66C1_13</vt:lpwstr>
  </property>
  <property fmtid="{D5CDD505-2E9C-101B-9397-08002B2CF9AE}" pid="4" name="KSOTemplateDocerSaveRecord">
    <vt:lpwstr>eyJoZGlkIjoiOGI3Nzc4Zjc3MzY4YzJhNjRkMjA5OWI1MjY5YzY1MjUiLCJ1c2VySWQiOiI3MDcyODE2NDEifQ==</vt:lpwstr>
  </property>
</Properties>
</file>