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52"/>
          <w:szCs w:val="52"/>
          <w:highlight w:val="none"/>
        </w:rPr>
      </w:pPr>
      <w:bookmarkStart w:id="101" w:name="_GoBack"/>
      <w:bookmarkEnd w:id="101"/>
    </w:p>
    <w:p>
      <w:pPr>
        <w:tabs>
          <w:tab w:val="left" w:pos="2505"/>
          <w:tab w:val="center" w:pos="4204"/>
        </w:tabs>
        <w:adjustRightInd w:val="0"/>
        <w:snapToGrid w:val="0"/>
        <w:spacing w:line="360" w:lineRule="auto"/>
        <w:jc w:val="center"/>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重庆九洲智造科技有限公司</w:t>
      </w:r>
    </w:p>
    <w:p>
      <w:pPr>
        <w:tabs>
          <w:tab w:val="left" w:pos="2505"/>
          <w:tab w:val="center" w:pos="4204"/>
        </w:tabs>
        <w:adjustRightInd w:val="0"/>
        <w:snapToGrid w:val="0"/>
        <w:spacing w:line="360" w:lineRule="auto"/>
        <w:jc w:val="center"/>
        <w:rPr>
          <w:rFonts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lang w:val="en-US" w:eastAsia="zh-CN"/>
        </w:rPr>
        <w:t>厂区物业服务</w:t>
      </w:r>
      <w:r>
        <w:rPr>
          <w:rFonts w:hint="eastAsia" w:ascii="仿宋_GB2312" w:hAnsi="仿宋_GB2312" w:eastAsia="仿宋_GB2312" w:cs="仿宋_GB2312"/>
          <w:b/>
          <w:sz w:val="48"/>
          <w:szCs w:val="48"/>
          <w:highlight w:val="none"/>
        </w:rPr>
        <w:t>采购</w:t>
      </w:r>
    </w:p>
    <w:p>
      <w:pPr>
        <w:tabs>
          <w:tab w:val="left" w:pos="2505"/>
          <w:tab w:val="center" w:pos="4204"/>
        </w:tabs>
        <w:adjustRightInd w:val="0"/>
        <w:snapToGrid w:val="0"/>
        <w:spacing w:line="360" w:lineRule="auto"/>
        <w:jc w:val="center"/>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（编号：BXFASPLC20240314000027）</w:t>
      </w:r>
    </w:p>
    <w:p>
      <w:pPr>
        <w:tabs>
          <w:tab w:val="left" w:pos="2505"/>
          <w:tab w:val="center" w:pos="4204"/>
        </w:tabs>
        <w:adjustRightInd w:val="0"/>
        <w:snapToGrid w:val="0"/>
        <w:spacing w:line="360" w:lineRule="auto"/>
        <w:jc w:val="center"/>
        <w:rPr>
          <w:rFonts w:hint="eastAsia" w:ascii="仿宋_GB2312" w:hAnsi="仿宋_GB2312" w:eastAsia="仿宋_GB2312" w:cs="仿宋_GB2312"/>
          <w:bCs/>
          <w:sz w:val="84"/>
          <w:szCs w:val="84"/>
          <w:highlight w:val="none"/>
        </w:rPr>
      </w:pPr>
    </w:p>
    <w:p>
      <w:pPr>
        <w:tabs>
          <w:tab w:val="left" w:pos="2505"/>
          <w:tab w:val="center" w:pos="4204"/>
        </w:tabs>
        <w:adjustRightInd w:val="0"/>
        <w:snapToGrid w:val="0"/>
        <w:spacing w:line="360" w:lineRule="auto"/>
        <w:jc w:val="center"/>
        <w:rPr>
          <w:rFonts w:hint="eastAsia" w:ascii="仿宋_GB2312" w:hAnsi="仿宋_GB2312" w:eastAsia="仿宋_GB2312" w:cs="仿宋_GB2312"/>
          <w:b/>
          <w:sz w:val="84"/>
          <w:szCs w:val="84"/>
          <w:highlight w:val="none"/>
        </w:rPr>
      </w:pPr>
      <w:r>
        <w:rPr>
          <w:rFonts w:hint="eastAsia" w:ascii="仿宋_GB2312" w:hAnsi="仿宋_GB2312" w:eastAsia="仿宋_GB2312" w:cs="仿宋_GB2312"/>
          <w:b/>
          <w:sz w:val="84"/>
          <w:szCs w:val="84"/>
          <w:highlight w:val="none"/>
        </w:rPr>
        <w:t>比</w:t>
      </w:r>
    </w:p>
    <w:p>
      <w:pPr>
        <w:tabs>
          <w:tab w:val="left" w:pos="2505"/>
          <w:tab w:val="center" w:pos="4204"/>
        </w:tabs>
        <w:adjustRightInd w:val="0"/>
        <w:snapToGrid w:val="0"/>
        <w:spacing w:line="360" w:lineRule="auto"/>
        <w:jc w:val="center"/>
        <w:rPr>
          <w:rFonts w:hint="eastAsia" w:ascii="仿宋_GB2312" w:hAnsi="仿宋_GB2312" w:eastAsia="仿宋_GB2312" w:cs="仿宋_GB2312"/>
          <w:b/>
          <w:sz w:val="84"/>
          <w:szCs w:val="84"/>
          <w:highlight w:val="none"/>
        </w:rPr>
      </w:pPr>
      <w:r>
        <w:rPr>
          <w:rFonts w:hint="eastAsia" w:ascii="仿宋_GB2312" w:hAnsi="仿宋_GB2312" w:eastAsia="仿宋_GB2312" w:cs="仿宋_GB2312"/>
          <w:b/>
          <w:sz w:val="84"/>
          <w:szCs w:val="84"/>
          <w:highlight w:val="none"/>
        </w:rPr>
        <w:t>选</w:t>
      </w:r>
    </w:p>
    <w:p>
      <w:pPr>
        <w:tabs>
          <w:tab w:val="left" w:pos="2505"/>
          <w:tab w:val="center" w:pos="4204"/>
        </w:tabs>
        <w:adjustRightInd w:val="0"/>
        <w:snapToGrid w:val="0"/>
        <w:spacing w:line="360" w:lineRule="auto"/>
        <w:jc w:val="center"/>
        <w:rPr>
          <w:rFonts w:hint="eastAsia" w:ascii="仿宋_GB2312" w:hAnsi="仿宋_GB2312" w:eastAsia="仿宋_GB2312" w:cs="仿宋_GB2312"/>
          <w:bCs/>
          <w:sz w:val="84"/>
          <w:szCs w:val="84"/>
          <w:highlight w:val="none"/>
        </w:rPr>
      </w:pPr>
      <w:r>
        <w:rPr>
          <w:rFonts w:hint="eastAsia" w:ascii="仿宋_GB2312" w:hAnsi="仿宋_GB2312" w:eastAsia="仿宋_GB2312" w:cs="仿宋_GB2312"/>
          <w:b/>
          <w:sz w:val="84"/>
          <w:szCs w:val="84"/>
          <w:highlight w:val="none"/>
        </w:rPr>
        <w:t>文</w:t>
      </w:r>
    </w:p>
    <w:p>
      <w:pPr>
        <w:tabs>
          <w:tab w:val="left" w:pos="2505"/>
          <w:tab w:val="center" w:pos="4204"/>
        </w:tabs>
        <w:adjustRightInd w:val="0"/>
        <w:snapToGrid w:val="0"/>
        <w:spacing w:line="360" w:lineRule="auto"/>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84"/>
          <w:szCs w:val="84"/>
          <w:highlight w:val="none"/>
        </w:rPr>
        <w:t>件</w:t>
      </w:r>
    </w:p>
    <w:p>
      <w:pPr>
        <w:spacing w:line="360" w:lineRule="auto"/>
        <w:rPr>
          <w:rFonts w:hint="eastAsia" w:ascii="仿宋_GB2312" w:hAnsi="仿宋_GB2312" w:eastAsia="仿宋_GB2312" w:cs="仿宋_GB2312"/>
          <w:b/>
          <w:sz w:val="32"/>
          <w:szCs w:val="32"/>
          <w:highlight w:val="none"/>
        </w:rPr>
      </w:pPr>
    </w:p>
    <w:p>
      <w:pPr>
        <w:adjustRightInd w:val="0"/>
        <w:snapToGrid w:val="0"/>
        <w:spacing w:line="360" w:lineRule="auto"/>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比选人：重庆九洲智造科技有限公司</w:t>
      </w:r>
    </w:p>
    <w:p>
      <w:pPr>
        <w:adjustRightInd w:val="0"/>
        <w:snapToGrid w:val="0"/>
        <w:spacing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2024年</w:t>
      </w:r>
      <w:r>
        <w:rPr>
          <w:rFonts w:hint="eastAsia" w:ascii="仿宋_GB2312" w:hAnsi="仿宋_GB2312" w:eastAsia="仿宋_GB2312" w:cs="仿宋_GB2312"/>
          <w:b/>
          <w:sz w:val="32"/>
          <w:szCs w:val="32"/>
          <w:highlight w:val="none"/>
          <w:lang w:val="en-US" w:eastAsia="zh-CN"/>
        </w:rPr>
        <w:t>3</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lang w:val="en-US" w:eastAsia="zh-CN"/>
        </w:rPr>
        <w:t>14</w:t>
      </w:r>
      <w:r>
        <w:rPr>
          <w:rFonts w:hint="eastAsia" w:ascii="仿宋_GB2312" w:hAnsi="仿宋_GB2312" w:eastAsia="仿宋_GB2312" w:cs="仿宋_GB2312"/>
          <w:b/>
          <w:sz w:val="32"/>
          <w:szCs w:val="32"/>
          <w:highlight w:val="none"/>
        </w:rPr>
        <w:t>日</w:t>
      </w:r>
    </w:p>
    <w:p>
      <w:pPr>
        <w:widowControl/>
        <w:jc w:val="left"/>
        <w:rPr>
          <w:rFonts w:hint="eastAsia" w:ascii="仿宋_GB2312" w:hAnsi="仿宋_GB2312" w:eastAsia="仿宋_GB2312" w:cs="仿宋_GB2312"/>
          <w:sz w:val="32"/>
          <w:highlight w:val="none"/>
        </w:rPr>
        <w:sectPr>
          <w:type w:val="continuous"/>
          <w:pgSz w:w="11907" w:h="16840"/>
          <w:pgMar w:top="1440" w:right="1080" w:bottom="1440" w:left="1080" w:header="851" w:footer="992" w:gutter="0"/>
          <w:cols w:space="720" w:num="1"/>
        </w:sectPr>
      </w:pPr>
    </w:p>
    <w:p>
      <w:pPr>
        <w:adjustRightInd w:val="0"/>
        <w:snapToGrid w:val="0"/>
        <w:spacing w:line="360" w:lineRule="auto"/>
        <w:jc w:val="center"/>
        <w:rPr>
          <w:rFonts w:hint="eastAsia" w:ascii="仿宋_GB2312" w:hAnsi="仿宋_GB2312" w:eastAsia="仿宋_GB2312" w:cs="仿宋_GB2312"/>
          <w:b/>
          <w:bCs/>
          <w:sz w:val="32"/>
          <w:szCs w:val="32"/>
          <w:highlight w:val="none"/>
        </w:rPr>
      </w:pPr>
    </w:p>
    <w:p>
      <w:pPr>
        <w:widowControl/>
        <w:jc w:val="left"/>
        <w:rPr>
          <w:rFonts w:hint="eastAsia" w:ascii="仿宋_GB2312" w:hAnsi="仿宋_GB2312" w:eastAsia="仿宋_GB2312" w:cs="仿宋_GB2312"/>
          <w:sz w:val="32"/>
          <w:highlight w:val="none"/>
        </w:rPr>
        <w:sectPr>
          <w:type w:val="continuous"/>
          <w:pgSz w:w="11907" w:h="16840"/>
          <w:pgMar w:top="1440" w:right="1080" w:bottom="1440" w:left="1080" w:header="851" w:footer="992" w:gutter="0"/>
          <w:cols w:space="720" w:num="1"/>
        </w:sectPr>
      </w:pPr>
    </w:p>
    <w:p>
      <w:pPr>
        <w:pStyle w:val="2"/>
        <w:spacing w:before="0" w:after="0" w:line="360" w:lineRule="auto"/>
        <w:jc w:val="center"/>
        <w:rPr>
          <w:rFonts w:hint="eastAsia" w:ascii="仿宋_GB2312" w:hAnsi="仿宋_GB2312" w:eastAsia="仿宋_GB2312" w:cs="仿宋_GB2312"/>
          <w:bCs w:val="0"/>
          <w:highlight w:val="none"/>
        </w:rPr>
      </w:pPr>
      <w:bookmarkStart w:id="0" w:name="_Hlt101843627"/>
      <w:bookmarkEnd w:id="0"/>
      <w:bookmarkStart w:id="1" w:name="_Hlt101233737"/>
      <w:bookmarkEnd w:id="1"/>
      <w:bookmarkStart w:id="2" w:name="_Toc9425"/>
      <w:bookmarkStart w:id="3" w:name="_Toc517872363"/>
      <w:bookmarkStart w:id="4" w:name="_Toc9093"/>
      <w:bookmarkStart w:id="5" w:name="_Toc5721"/>
      <w:r>
        <w:rPr>
          <w:rFonts w:hint="eastAsia" w:ascii="仿宋_GB2312" w:hAnsi="仿宋_GB2312" w:eastAsia="仿宋_GB2312" w:cs="仿宋_GB2312"/>
          <w:bCs w:val="0"/>
          <w:highlight w:val="none"/>
        </w:rPr>
        <w:t>目    录</w:t>
      </w:r>
      <w:bookmarkEnd w:id="2"/>
      <w:bookmarkEnd w:id="3"/>
      <w:bookmarkEnd w:id="4"/>
      <w:bookmarkEnd w:id="5"/>
    </w:p>
    <w:p>
      <w:pPr>
        <w:rPr>
          <w:rFonts w:hint="eastAsia"/>
          <w:highlight w:val="none"/>
        </w:rPr>
      </w:pPr>
    </w:p>
    <w:p>
      <w:pPr>
        <w:pStyle w:val="14"/>
        <w:tabs>
          <w:tab w:val="right" w:leader="dot" w:pos="9746"/>
        </w:tabs>
        <w:rPr>
          <w:highlight w:val="none"/>
        </w:rPr>
      </w:pP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TOC \o "1-1" \h \z \u </w:instrText>
      </w:r>
      <w:r>
        <w:rPr>
          <w:rFonts w:hint="eastAsia" w:ascii="仿宋_GB2312" w:hAnsi="仿宋_GB2312" w:eastAsia="仿宋_GB2312" w:cs="仿宋_GB2312"/>
          <w:highlight w:val="none"/>
        </w:rPr>
        <w:fldChar w:fldCharType="separate"/>
      </w:r>
    </w:p>
    <w:p>
      <w:pPr>
        <w:pStyle w:val="14"/>
        <w:tabs>
          <w:tab w:val="right" w:leader="dot" w:pos="9746"/>
        </w:tabs>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_Toc15319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第一章 比选</w:t>
      </w:r>
      <w:r>
        <w:rPr>
          <w:rFonts w:hint="eastAsia" w:ascii="仿宋" w:hAnsi="仿宋" w:eastAsia="仿宋" w:cs="仿宋"/>
          <w:sz w:val="32"/>
          <w:szCs w:val="32"/>
          <w:highlight w:val="none"/>
          <w:lang w:val="en-US" w:eastAsia="zh-CN"/>
        </w:rPr>
        <w:t>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_Toc15319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14"/>
        <w:tabs>
          <w:tab w:val="right" w:leader="dot" w:pos="9746"/>
        </w:tabs>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_Toc9583 </w:instrText>
      </w:r>
      <w:r>
        <w:rPr>
          <w:rFonts w:hint="eastAsia" w:ascii="仿宋" w:hAnsi="仿宋" w:eastAsia="仿宋" w:cs="仿宋"/>
          <w:sz w:val="32"/>
          <w:szCs w:val="32"/>
          <w:highlight w:val="none"/>
        </w:rPr>
        <w:fldChar w:fldCharType="separate"/>
      </w:r>
      <w:r>
        <w:rPr>
          <w:rFonts w:hint="eastAsia" w:ascii="仿宋" w:hAnsi="仿宋" w:eastAsia="仿宋" w:cs="仿宋"/>
          <w:kern w:val="0"/>
          <w:sz w:val="32"/>
          <w:szCs w:val="32"/>
          <w:highlight w:val="none"/>
        </w:rPr>
        <w:t>第二章 参选人须知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_Toc9583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4</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14"/>
        <w:tabs>
          <w:tab w:val="right" w:leader="dot" w:pos="9746"/>
        </w:tabs>
        <w:adjustRightInd w:val="0"/>
        <w:snapToGrid w:val="0"/>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_Toc9884 </w:instrText>
      </w:r>
      <w:r>
        <w:rPr>
          <w:rFonts w:hint="eastAsia" w:ascii="仿宋" w:hAnsi="仿宋" w:eastAsia="仿宋" w:cs="仿宋"/>
          <w:sz w:val="32"/>
          <w:szCs w:val="32"/>
          <w:highlight w:val="none"/>
        </w:rPr>
        <w:fldChar w:fldCharType="separate"/>
      </w:r>
      <w:r>
        <w:rPr>
          <w:rFonts w:hint="eastAsia" w:ascii="仿宋" w:hAnsi="仿宋" w:eastAsia="仿宋" w:cs="仿宋"/>
          <w:bCs/>
          <w:kern w:val="0"/>
          <w:sz w:val="32"/>
          <w:szCs w:val="32"/>
          <w:highlight w:val="none"/>
        </w:rPr>
        <w:t>第三章 合同条件</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lang w:val="en-US" w:eastAsia="zh-CN"/>
        </w:rPr>
        <w:t>8</w:t>
      </w:r>
    </w:p>
    <w:p>
      <w:pPr>
        <w:pStyle w:val="14"/>
        <w:tabs>
          <w:tab w:val="right" w:leader="dot" w:pos="9746"/>
        </w:tabs>
        <w:adjustRightInd w:val="0"/>
        <w:snapToGrid w:val="0"/>
        <w:spacing w:line="360" w:lineRule="auto"/>
        <w:rPr>
          <w:rFonts w:hint="default" w:eastAsia="仿宋"/>
          <w:highlight w:val="none"/>
          <w:lang w:val="en-US" w:eastAsia="zh-CN"/>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_Toc24620 </w:instrText>
      </w:r>
      <w:r>
        <w:rPr>
          <w:rFonts w:hint="eastAsia" w:ascii="仿宋" w:hAnsi="仿宋" w:eastAsia="仿宋" w:cs="仿宋"/>
          <w:sz w:val="32"/>
          <w:szCs w:val="32"/>
          <w:highlight w:val="none"/>
        </w:rPr>
        <w:fldChar w:fldCharType="separate"/>
      </w:r>
      <w:r>
        <w:rPr>
          <w:rFonts w:hint="eastAsia" w:ascii="仿宋" w:hAnsi="仿宋" w:eastAsia="仿宋" w:cs="仿宋"/>
          <w:kern w:val="0"/>
          <w:sz w:val="32"/>
          <w:szCs w:val="32"/>
          <w:highlight w:val="none"/>
        </w:rPr>
        <w:t>第四章 参选文件格式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lang w:val="en-US" w:eastAsia="zh-CN"/>
        </w:rPr>
        <w:t>24</w:t>
      </w:r>
    </w:p>
    <w:p>
      <w:pPr>
        <w:rPr>
          <w:rFonts w:hint="eastAsia" w:ascii="仿宋_GB2312" w:hAnsi="仿宋_GB2312" w:eastAsia="仿宋_GB2312" w:cs="仿宋_GB2312"/>
          <w:highlight w:val="none"/>
        </w:rPr>
        <w:sectPr>
          <w:footerReference r:id="rId3" w:type="default"/>
          <w:type w:val="continuous"/>
          <w:pgSz w:w="11906" w:h="16838"/>
          <w:pgMar w:top="1440" w:right="1080" w:bottom="1440" w:left="1080" w:header="851" w:footer="992" w:gutter="0"/>
          <w:pgNumType w:start="1"/>
          <w:cols w:space="720" w:num="1"/>
          <w:docGrid w:type="lines" w:linePitch="312" w:charSpace="0"/>
        </w:sectPr>
      </w:pPr>
      <w:r>
        <w:rPr>
          <w:rFonts w:hint="eastAsia" w:ascii="仿宋_GB2312" w:hAnsi="仿宋_GB2312" w:eastAsia="仿宋_GB2312" w:cs="仿宋_GB2312"/>
          <w:highlight w:val="none"/>
        </w:rPr>
        <w:fldChar w:fldCharType="end"/>
      </w:r>
    </w:p>
    <w:p>
      <w:pPr>
        <w:jc w:val="center"/>
        <w:rPr>
          <w:rFonts w:hint="eastAsia" w:ascii="仿宋_GB2312" w:hAnsi="仿宋_GB2312" w:eastAsia="仿宋_GB2312" w:cs="仿宋_GB2312"/>
          <w:sz w:val="36"/>
          <w:szCs w:val="36"/>
          <w:highlight w:val="none"/>
          <w:u w:val="none"/>
          <w:lang w:eastAsia="zh-CN"/>
        </w:rPr>
      </w:pPr>
      <w:bookmarkStart w:id="6" w:name="_Toc22839"/>
      <w:bookmarkStart w:id="7" w:name="_Toc15319"/>
      <w:bookmarkStart w:id="8" w:name="_Toc5474"/>
      <w:r>
        <w:rPr>
          <w:rFonts w:hint="eastAsia" w:ascii="仿宋_GB2312" w:hAnsi="仿宋_GB2312" w:eastAsia="仿宋_GB2312" w:cs="仿宋_GB2312"/>
          <w:b/>
          <w:bCs/>
          <w:sz w:val="44"/>
          <w:szCs w:val="44"/>
          <w:highlight w:val="none"/>
          <w:u w:val="none"/>
        </w:rPr>
        <w:t>第一章 比选</w:t>
      </w:r>
      <w:bookmarkEnd w:id="6"/>
      <w:bookmarkEnd w:id="7"/>
      <w:bookmarkEnd w:id="8"/>
      <w:r>
        <w:rPr>
          <w:rFonts w:hint="eastAsia" w:ascii="仿宋_GB2312" w:hAnsi="仿宋_GB2312" w:eastAsia="仿宋_GB2312" w:cs="仿宋_GB2312"/>
          <w:b/>
          <w:bCs/>
          <w:sz w:val="44"/>
          <w:szCs w:val="44"/>
          <w:highlight w:val="none"/>
          <w:u w:val="none"/>
          <w:lang w:val="en-US" w:eastAsia="zh-CN"/>
        </w:rPr>
        <w:t>公告</w:t>
      </w:r>
    </w:p>
    <w:p>
      <w:pPr>
        <w:adjustRightInd w:val="0"/>
        <w:snapToGrid w:val="0"/>
        <w:spacing w:line="560" w:lineRule="exact"/>
        <w:ind w:left="319" w:leftChars="152" w:firstLine="320" w:firstLineChars="1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Cs/>
          <w:sz w:val="32"/>
          <w:szCs w:val="32"/>
          <w:highlight w:val="none"/>
          <w:u w:val="none"/>
        </w:rPr>
        <w:t>重庆九洲智造科技有限公司</w:t>
      </w:r>
      <w:r>
        <w:rPr>
          <w:rFonts w:hint="eastAsia" w:ascii="仿宋_GB2312" w:hAnsi="仿宋_GB2312" w:eastAsia="仿宋_GB2312" w:cs="仿宋_GB2312"/>
          <w:sz w:val="32"/>
          <w:szCs w:val="32"/>
          <w:highlight w:val="none"/>
          <w:u w:val="none"/>
        </w:rPr>
        <w:t>拟对厂区物业服务采购（编号：BXFASPLC20240314000027）进行比选，兹</w:t>
      </w:r>
      <w:r>
        <w:rPr>
          <w:rFonts w:hint="eastAsia" w:ascii="仿宋_GB2312" w:hAnsi="仿宋_GB2312" w:eastAsia="仿宋_GB2312" w:cs="仿宋_GB2312"/>
          <w:sz w:val="32"/>
          <w:szCs w:val="32"/>
          <w:highlight w:val="none"/>
          <w:u w:val="none"/>
          <w:lang w:val="en-US" w:eastAsia="zh-CN"/>
        </w:rPr>
        <w:t>面向社会公开</w:t>
      </w:r>
      <w:r>
        <w:rPr>
          <w:rFonts w:hint="eastAsia" w:ascii="仿宋_GB2312" w:hAnsi="仿宋_GB2312" w:eastAsia="仿宋_GB2312" w:cs="仿宋_GB2312"/>
          <w:sz w:val="32"/>
          <w:szCs w:val="32"/>
          <w:highlight w:val="none"/>
          <w:u w:val="none"/>
        </w:rPr>
        <w:t>邀请符合本次比选要求的参选人参选。</w:t>
      </w:r>
    </w:p>
    <w:p>
      <w:pPr>
        <w:adjustRightInd w:val="0"/>
        <w:snapToGrid w:val="0"/>
        <w:spacing w:line="560" w:lineRule="exact"/>
        <w:ind w:firstLine="643" w:firstLineChars="200"/>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b/>
          <w:bCs/>
          <w:sz w:val="32"/>
          <w:szCs w:val="32"/>
          <w:highlight w:val="none"/>
          <w:u w:val="none"/>
        </w:rPr>
        <w:t>一、比选项目：重庆九洲智造科技有限公司厂区物业服务采购</w:t>
      </w:r>
      <w:r>
        <w:rPr>
          <w:rFonts w:hint="eastAsia" w:ascii="仿宋_GB2312" w:hAnsi="仿宋_GB2312" w:eastAsia="仿宋_GB2312" w:cs="仿宋_GB2312"/>
          <w:b/>
          <w:bCs/>
          <w:sz w:val="32"/>
          <w:szCs w:val="32"/>
          <w:highlight w:val="none"/>
          <w:u w:val="none"/>
          <w:lang w:val="en-US" w:eastAsia="zh-CN"/>
        </w:rPr>
        <w:t>项目</w:t>
      </w:r>
      <w:r>
        <w:rPr>
          <w:rFonts w:hint="eastAsia" w:ascii="仿宋_GB2312" w:hAnsi="仿宋_GB2312" w:eastAsia="仿宋_GB2312" w:cs="仿宋_GB2312"/>
          <w:b/>
          <w:bCs/>
          <w:sz w:val="32"/>
          <w:szCs w:val="32"/>
          <w:highlight w:val="none"/>
          <w:u w:val="none"/>
        </w:rPr>
        <w:t>（编号：BXFASPLC20240314000027）</w:t>
      </w:r>
      <w:r>
        <w:rPr>
          <w:rFonts w:hint="eastAsia" w:ascii="仿宋_GB2312" w:hAnsi="仿宋_GB2312" w:eastAsia="仿宋_GB2312" w:cs="仿宋_GB2312"/>
          <w:b/>
          <w:bCs/>
          <w:sz w:val="32"/>
          <w:szCs w:val="32"/>
          <w:highlight w:val="none"/>
          <w:u w:val="none"/>
          <w:lang w:eastAsia="zh-CN"/>
        </w:rPr>
        <w:t>。</w:t>
      </w:r>
    </w:p>
    <w:p>
      <w:pPr>
        <w:adjustRightInd w:val="0"/>
        <w:snapToGrid w:val="0"/>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u w:val="none"/>
        </w:rPr>
        <w:t>二、</w:t>
      </w:r>
      <w:r>
        <w:rPr>
          <w:rFonts w:hint="eastAsia" w:ascii="仿宋_GB2312" w:hAnsi="仿宋_GB2312" w:eastAsia="仿宋_GB2312" w:cs="仿宋_GB2312"/>
          <w:b/>
          <w:sz w:val="32"/>
          <w:szCs w:val="32"/>
          <w:highlight w:val="none"/>
          <w:u w:val="none"/>
          <w:lang w:val="en-US" w:eastAsia="zh-CN"/>
        </w:rPr>
        <w:t>采购金额：本项目采购总价限价为人民币686200元（中选人服务期间内，服务配置不得低于最低服务内容、最低配置人数（含本为数），若须增加服务、服务人数则增加部分的费用按照中选单价及实际增加人数据实结算）。</w:t>
      </w:r>
    </w:p>
    <w:p>
      <w:pPr>
        <w:adjustRightInd w:val="0"/>
        <w:snapToGrid w:val="0"/>
        <w:spacing w:line="560" w:lineRule="exact"/>
        <w:ind w:firstLine="643" w:firstLineChars="200"/>
        <w:rPr>
          <w:rFonts w:hint="eastAsia" w:ascii="仿宋_GB2312" w:hAnsi="仿宋_GB2312" w:eastAsia="仿宋_GB2312" w:cs="仿宋_GB2312"/>
          <w:b/>
          <w:bCs w:val="0"/>
          <w:sz w:val="32"/>
          <w:szCs w:val="32"/>
          <w:highlight w:val="none"/>
          <w:u w:val="none"/>
        </w:rPr>
      </w:pPr>
      <w:r>
        <w:rPr>
          <w:rFonts w:hint="eastAsia" w:ascii="仿宋_GB2312" w:hAnsi="仿宋_GB2312" w:eastAsia="仿宋_GB2312" w:cs="仿宋_GB2312"/>
          <w:b/>
          <w:bCs w:val="0"/>
          <w:sz w:val="32"/>
          <w:szCs w:val="32"/>
          <w:highlight w:val="none"/>
          <w:u w:val="none"/>
          <w:lang w:val="en-US" w:eastAsia="zh-CN"/>
        </w:rPr>
        <w:t>三、</w:t>
      </w:r>
      <w:r>
        <w:rPr>
          <w:rFonts w:hint="eastAsia" w:ascii="仿宋_GB2312" w:hAnsi="仿宋_GB2312" w:eastAsia="仿宋_GB2312" w:cs="仿宋_GB2312"/>
          <w:b/>
          <w:bCs w:val="0"/>
          <w:sz w:val="32"/>
          <w:szCs w:val="32"/>
          <w:highlight w:val="none"/>
          <w:u w:val="none"/>
        </w:rPr>
        <w:t>比选方式：</w:t>
      </w:r>
      <w:r>
        <w:rPr>
          <w:rFonts w:hint="eastAsia" w:ascii="仿宋_GB2312" w:hAnsi="仿宋_GB2312" w:eastAsia="仿宋_GB2312" w:cs="仿宋_GB2312"/>
          <w:b/>
          <w:bCs w:val="0"/>
          <w:sz w:val="32"/>
          <w:szCs w:val="32"/>
          <w:highlight w:val="none"/>
          <w:u w:val="none"/>
          <w:lang w:val="en-US" w:eastAsia="zh-CN"/>
        </w:rPr>
        <w:t>公开</w:t>
      </w:r>
      <w:r>
        <w:rPr>
          <w:rFonts w:hint="eastAsia" w:ascii="仿宋_GB2312" w:hAnsi="仿宋_GB2312" w:eastAsia="仿宋_GB2312" w:cs="仿宋_GB2312"/>
          <w:b/>
          <w:bCs w:val="0"/>
          <w:sz w:val="32"/>
          <w:szCs w:val="32"/>
          <w:highlight w:val="none"/>
          <w:u w:val="none"/>
        </w:rPr>
        <w:t>比选。</w:t>
      </w:r>
    </w:p>
    <w:p>
      <w:pPr>
        <w:adjustRightInd w:val="0"/>
        <w:snapToGrid w:val="0"/>
        <w:spacing w:line="560" w:lineRule="exact"/>
        <w:ind w:firstLine="643" w:firstLineChars="200"/>
        <w:rPr>
          <w:rFonts w:hint="eastAsia" w:ascii="仿宋_GB2312" w:hAnsi="仿宋_GB2312" w:eastAsia="仿宋_GB2312" w:cs="仿宋_GB2312"/>
          <w:b/>
          <w:sz w:val="32"/>
          <w:szCs w:val="32"/>
          <w:highlight w:val="none"/>
          <w:u w:val="none"/>
        </w:rPr>
      </w:pPr>
      <w:r>
        <w:rPr>
          <w:rFonts w:hint="eastAsia" w:ascii="仿宋_GB2312" w:hAnsi="仿宋_GB2312" w:eastAsia="仿宋_GB2312" w:cs="仿宋_GB2312"/>
          <w:b/>
          <w:sz w:val="32"/>
          <w:szCs w:val="32"/>
          <w:highlight w:val="none"/>
          <w:u w:val="none"/>
          <w:lang w:val="en-US" w:eastAsia="zh-CN"/>
        </w:rPr>
        <w:t>四</w:t>
      </w:r>
      <w:r>
        <w:rPr>
          <w:rFonts w:hint="eastAsia" w:ascii="仿宋_GB2312" w:hAnsi="仿宋_GB2312" w:eastAsia="仿宋_GB2312" w:cs="仿宋_GB2312"/>
          <w:b/>
          <w:bCs/>
          <w:sz w:val="32"/>
          <w:szCs w:val="32"/>
          <w:highlight w:val="none"/>
          <w:u w:val="none"/>
        </w:rPr>
        <w:t>、</w:t>
      </w:r>
      <w:r>
        <w:rPr>
          <w:rFonts w:hint="eastAsia" w:ascii="仿宋_GB2312" w:hAnsi="仿宋_GB2312" w:eastAsia="仿宋_GB2312" w:cs="仿宋_GB2312"/>
          <w:b/>
          <w:sz w:val="32"/>
          <w:szCs w:val="32"/>
          <w:highlight w:val="none"/>
          <w:u w:val="none"/>
        </w:rPr>
        <w:t>项目概况及比选范围：</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bCs/>
          <w:sz w:val="32"/>
          <w:szCs w:val="32"/>
          <w:highlight w:val="none"/>
          <w:u w:val="none"/>
        </w:rPr>
        <w:t>项目概况：</w:t>
      </w:r>
      <w:r>
        <w:rPr>
          <w:rFonts w:hint="eastAsia" w:ascii="仿宋_GB2312" w:hAnsi="仿宋_GB2312" w:eastAsia="仿宋_GB2312" w:cs="仿宋_GB2312"/>
          <w:sz w:val="32"/>
          <w:szCs w:val="32"/>
          <w:highlight w:val="none"/>
          <w:u w:val="none"/>
        </w:rPr>
        <w:t>厂区物业服务采购（编号：BXFASPLC20240314000027）</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Cs/>
          <w:sz w:val="32"/>
          <w:szCs w:val="32"/>
          <w:highlight w:val="none"/>
        </w:rPr>
        <w:t>厂区物业服务应当包含保洁、安保、绿化带养护、餐饮配送</w:t>
      </w:r>
      <w:r>
        <w:rPr>
          <w:rFonts w:hint="eastAsia" w:ascii="仿宋_GB2312" w:hAnsi="仿宋_GB2312" w:eastAsia="仿宋_GB2312" w:cs="仿宋_GB2312"/>
          <w:bCs/>
          <w:sz w:val="32"/>
          <w:szCs w:val="32"/>
          <w:highlight w:val="none"/>
          <w:lang w:eastAsia="zh-CN"/>
        </w:rPr>
        <w:t>。</w:t>
      </w:r>
    </w:p>
    <w:p>
      <w:pPr>
        <w:adjustRightInd w:val="0"/>
        <w:snapToGrid w:val="0"/>
        <w:spacing w:line="560" w:lineRule="exact"/>
        <w:ind w:firstLine="640" w:firstLineChars="20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服务人数（最低配置人数）及内容</w:t>
      </w:r>
      <w:r>
        <w:rPr>
          <w:rFonts w:hint="eastAsia" w:ascii="仿宋_GB2312" w:hAnsi="仿宋_GB2312" w:eastAsia="仿宋_GB2312" w:cs="仿宋_GB2312"/>
          <w:bCs/>
          <w:sz w:val="32"/>
          <w:szCs w:val="32"/>
          <w:highlight w:val="none"/>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352"/>
        <w:gridCol w:w="887"/>
        <w:gridCol w:w="1096"/>
        <w:gridCol w:w="3459"/>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00" w:type="pct"/>
            <w:gridSpan w:val="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color w:val="000000"/>
                <w:kern w:val="0"/>
                <w:sz w:val="36"/>
                <w:szCs w:val="36"/>
                <w:highlight w:val="none"/>
                <w:u w:val="none"/>
                <w:lang w:val="en-US" w:eastAsia="zh-CN" w:bidi="ar"/>
              </w:rPr>
              <w:t>物业服务需求表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73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工作内容</w:t>
            </w:r>
          </w:p>
        </w:tc>
        <w:tc>
          <w:tcPr>
            <w:tcW w:w="125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项目负责人</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负责对接联系；项目管理计划编制；项目工作会议组织及员工培训管理；工作督查；客户意见处置跟进，客户满意度调查。</w:t>
            </w:r>
          </w:p>
        </w:tc>
        <w:tc>
          <w:tcPr>
            <w:tcW w:w="125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男女不限，年龄50岁以下，身体健康，身高1.70米以上；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具有较强的管理能力及沟通协调能力，具备物业管理经验。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1.厂区内白班3人；12h/天，6天/周，周末轮休；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2.室内公共区域(过道、会议室、楼梯间、卫生间、茶水间、休息区)日常清洁；室外公共区日常清洁。</w:t>
            </w:r>
          </w:p>
        </w:tc>
        <w:tc>
          <w:tcPr>
            <w:tcW w:w="125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男女不限，年龄60岁以下，身体健康；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有较强的亲和能力；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吃苦耐劳，服从上级领导安排，有敬业精神。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安保</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1.厂区内白班2人，厂区内夜班2人,1人轮休；12h/天，6天/周，周末轮休；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2.负责出入口人员、物资、车辆进出安全管理工作；消防报警信息的核实、处理；重点区域、重点事件、可疑人员巡逻，消防、监控信息管理、跟进；每日各种突发事件的应急处理、报告等。</w:t>
            </w:r>
          </w:p>
        </w:tc>
        <w:tc>
          <w:tcPr>
            <w:tcW w:w="125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男：身高1.70米以上，年龄30-55岁；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具有较强的组织管理和沟通协调能力；                              3</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有一定的消防知识；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工作中品行诚实，态度诚恳，服务意识强。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绿化养护</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厂区内</w:t>
            </w:r>
          </w:p>
        </w:tc>
        <w:tc>
          <w:tcPr>
            <w:tcW w:w="5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5600平方米</w:t>
            </w:r>
          </w:p>
        </w:tc>
        <w:tc>
          <w:tcPr>
            <w:tcW w:w="345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浇水</w:t>
            </w:r>
            <w:r>
              <w:rPr>
                <w:rFonts w:hint="eastAsia" w:ascii="宋体" w:hAnsi="宋体" w:cs="宋体"/>
                <w:i w:val="0"/>
                <w:iCs w:val="0"/>
                <w:color w:val="000000"/>
                <w:kern w:val="0"/>
                <w:sz w:val="22"/>
                <w:szCs w:val="22"/>
                <w:highlight w:val="none"/>
                <w:u w:val="none"/>
                <w:lang w:val="en-US" w:eastAsia="zh-CN" w:bidi="ar"/>
              </w:rPr>
              <w:t>（平日每周一次；旱季每天一次）</w:t>
            </w:r>
            <w:r>
              <w:rPr>
                <w:rFonts w:hint="eastAsia" w:ascii="宋体" w:hAnsi="宋体" w:eastAsia="宋体" w:cs="宋体"/>
                <w:i w:val="0"/>
                <w:iCs w:val="0"/>
                <w:color w:val="000000"/>
                <w:kern w:val="0"/>
                <w:sz w:val="22"/>
                <w:szCs w:val="22"/>
                <w:highlight w:val="none"/>
                <w:u w:val="none"/>
                <w:lang w:val="en-US" w:eastAsia="zh-CN" w:bidi="ar"/>
              </w:rPr>
              <w:t>、施肥</w:t>
            </w:r>
            <w:r>
              <w:rPr>
                <w:rFonts w:hint="eastAsia" w:ascii="宋体" w:hAnsi="宋体" w:cs="宋体"/>
                <w:i w:val="0"/>
                <w:iCs w:val="0"/>
                <w:color w:val="000000"/>
                <w:kern w:val="0"/>
                <w:sz w:val="22"/>
                <w:szCs w:val="22"/>
                <w:highlight w:val="none"/>
                <w:u w:val="none"/>
                <w:lang w:val="en-US" w:eastAsia="zh-CN" w:bidi="ar"/>
              </w:rPr>
              <w:t>（每季度一次）</w:t>
            </w:r>
            <w:r>
              <w:rPr>
                <w:rFonts w:hint="eastAsia" w:ascii="宋体" w:hAnsi="宋体" w:eastAsia="宋体" w:cs="宋体"/>
                <w:i w:val="0"/>
                <w:iCs w:val="0"/>
                <w:color w:val="000000"/>
                <w:kern w:val="0"/>
                <w:sz w:val="22"/>
                <w:szCs w:val="22"/>
                <w:highlight w:val="none"/>
                <w:u w:val="none"/>
                <w:lang w:val="en-US" w:eastAsia="zh-CN" w:bidi="ar"/>
              </w:rPr>
              <w:t>、整形修剪</w:t>
            </w:r>
            <w:r>
              <w:rPr>
                <w:rFonts w:hint="eastAsia" w:ascii="宋体" w:hAnsi="宋体" w:cs="宋体"/>
                <w:i w:val="0"/>
                <w:iCs w:val="0"/>
                <w:color w:val="000000"/>
                <w:kern w:val="0"/>
                <w:sz w:val="22"/>
                <w:szCs w:val="22"/>
                <w:highlight w:val="none"/>
                <w:u w:val="none"/>
                <w:lang w:val="en-US" w:eastAsia="zh-CN" w:bidi="ar"/>
              </w:rPr>
              <w:t>（每月一次）</w:t>
            </w:r>
            <w:r>
              <w:rPr>
                <w:rFonts w:hint="eastAsia" w:ascii="宋体" w:hAnsi="宋体" w:eastAsia="宋体" w:cs="宋体"/>
                <w:i w:val="0"/>
                <w:iCs w:val="0"/>
                <w:color w:val="000000"/>
                <w:kern w:val="0"/>
                <w:sz w:val="22"/>
                <w:szCs w:val="22"/>
                <w:highlight w:val="none"/>
                <w:u w:val="none"/>
                <w:lang w:val="en-US" w:eastAsia="zh-CN" w:bidi="ar"/>
              </w:rPr>
              <w:t>、病虫害防治、中耕除草</w:t>
            </w:r>
            <w:r>
              <w:rPr>
                <w:rFonts w:hint="eastAsia" w:ascii="宋体" w:hAnsi="宋体" w:cs="宋体"/>
                <w:i w:val="0"/>
                <w:iCs w:val="0"/>
                <w:color w:val="000000"/>
                <w:kern w:val="0"/>
                <w:sz w:val="22"/>
                <w:szCs w:val="22"/>
                <w:highlight w:val="none"/>
                <w:u w:val="none"/>
                <w:lang w:val="en-US" w:eastAsia="zh-CN" w:bidi="ar"/>
              </w:rPr>
              <w:t>（每周一次）</w:t>
            </w:r>
            <w:r>
              <w:rPr>
                <w:rFonts w:hint="eastAsia" w:ascii="宋体" w:hAnsi="宋体" w:eastAsia="宋体" w:cs="宋体"/>
                <w:i w:val="0"/>
                <w:iCs w:val="0"/>
                <w:color w:val="000000"/>
                <w:kern w:val="0"/>
                <w:sz w:val="22"/>
                <w:szCs w:val="22"/>
                <w:highlight w:val="none"/>
                <w:u w:val="none"/>
                <w:lang w:val="en-US" w:eastAsia="zh-CN" w:bidi="ar"/>
              </w:rPr>
              <w:t>、扶正、防护与涂白</w:t>
            </w:r>
            <w:r>
              <w:rPr>
                <w:rFonts w:hint="eastAsia" w:ascii="宋体" w:hAnsi="宋体" w:cs="宋体"/>
                <w:i w:val="0"/>
                <w:iCs w:val="0"/>
                <w:color w:val="000000"/>
                <w:kern w:val="0"/>
                <w:sz w:val="22"/>
                <w:szCs w:val="22"/>
                <w:highlight w:val="none"/>
                <w:u w:val="none"/>
                <w:lang w:val="en-US" w:eastAsia="zh-CN" w:bidi="ar"/>
              </w:rPr>
              <w:t>（每月一次）</w:t>
            </w:r>
            <w:r>
              <w:rPr>
                <w:rFonts w:hint="eastAsia" w:ascii="宋体" w:hAnsi="宋体" w:eastAsia="宋体" w:cs="宋体"/>
                <w:i w:val="0"/>
                <w:iCs w:val="0"/>
                <w:color w:val="000000"/>
                <w:kern w:val="0"/>
                <w:sz w:val="22"/>
                <w:szCs w:val="22"/>
                <w:highlight w:val="none"/>
                <w:u w:val="none"/>
                <w:lang w:val="en-US" w:eastAsia="zh-CN" w:bidi="ar"/>
              </w:rPr>
              <w:t>、切边、培土、复壮、防灾处理、绿化垃圾的转运和处理等所有绿化管理工作；园区清扫保洁、人机配合冲洗；垃圾日产日清及无害化处理等相关环卫工作。</w:t>
            </w:r>
          </w:p>
        </w:tc>
        <w:tc>
          <w:tcPr>
            <w:tcW w:w="125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男性60周岁以下，女性55周岁以下；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具有一年以上绿化服务工作经历，熟悉本岗位工作方法和流程；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有较强的亲和能力，有吃苦耐劳精神，责任心强。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生活垃圾清运</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550" w:type="pct"/>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车/月</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1.将厂房内已收集生活垃圾集中清运和处理；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2.每周2次，每月8次。</w:t>
            </w:r>
          </w:p>
        </w:tc>
        <w:tc>
          <w:tcPr>
            <w:tcW w:w="1259" w:type="pct"/>
            <w:noWrap w:val="0"/>
            <w:vAlign w:val="center"/>
          </w:tcPr>
          <w:p>
            <w:pPr>
              <w:jc w:val="left"/>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四害消杀</w:t>
            </w:r>
          </w:p>
        </w:tc>
        <w:tc>
          <w:tcPr>
            <w:tcW w:w="445" w:type="pct"/>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c>
          <w:tcPr>
            <w:tcW w:w="550" w:type="pct"/>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次</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1.采用国家批准生产使用的环保类四害消杀药品；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2.消杀频率一年4次。</w:t>
            </w:r>
          </w:p>
        </w:tc>
        <w:tc>
          <w:tcPr>
            <w:tcW w:w="1259" w:type="pct"/>
            <w:noWrap w:val="0"/>
            <w:vAlign w:val="center"/>
          </w:tcPr>
          <w:p>
            <w:pP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餐饮</w:t>
            </w:r>
          </w:p>
        </w:tc>
        <w:tc>
          <w:tcPr>
            <w:tcW w:w="445" w:type="pct"/>
            <w:noWrap/>
            <w:vAlign w:val="center"/>
          </w:tcPr>
          <w:p>
            <w:pPr>
              <w:jc w:val="center"/>
              <w:rPr>
                <w:rFonts w:hint="eastAsia" w:ascii="宋体" w:hAnsi="宋体" w:eastAsia="宋体" w:cs="宋体"/>
                <w:i w:val="0"/>
                <w:iCs w:val="0"/>
                <w:color w:val="000000"/>
                <w:sz w:val="22"/>
                <w:szCs w:val="22"/>
                <w:highlight w:val="none"/>
                <w:u w:val="none"/>
              </w:rPr>
            </w:pPr>
          </w:p>
        </w:tc>
        <w:tc>
          <w:tcPr>
            <w:tcW w:w="550" w:type="pct"/>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员工自购</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1.提供中午餐、晚餐，提供多种菜品供员工选择。员工自行消费购买。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2.甲方可提前1-2天告知服务方就餐人数。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3.甲方提供用餐场地、电力。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4.乙方提供餐具，食品电加热设备。</w:t>
            </w:r>
          </w:p>
        </w:tc>
        <w:tc>
          <w:tcPr>
            <w:tcW w:w="1259" w:type="pct"/>
            <w:noWrap w:val="0"/>
            <w:vAlign w:val="center"/>
          </w:tcPr>
          <w:p>
            <w:pPr>
              <w:jc w:val="left"/>
              <w:rPr>
                <w:rFonts w:hint="eastAsia" w:ascii="宋体" w:hAnsi="宋体" w:eastAsia="宋体" w:cs="宋体"/>
                <w:i w:val="0"/>
                <w:iCs w:val="0"/>
                <w:color w:val="000000"/>
                <w:sz w:val="22"/>
                <w:szCs w:val="22"/>
                <w:highlight w:val="none"/>
                <w:u w:val="none"/>
              </w:rPr>
            </w:pPr>
          </w:p>
        </w:tc>
      </w:tr>
    </w:tbl>
    <w:p>
      <w:pPr>
        <w:adjustRightInd w:val="0"/>
        <w:snapToGrid w:val="0"/>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、定选方式：</w:t>
      </w:r>
      <w:r>
        <w:rPr>
          <w:rFonts w:hint="default" w:ascii="仿宋_GB2312" w:hAnsi="仿宋_GB2312" w:eastAsia="仿宋_GB2312" w:cs="仿宋_GB2312"/>
          <w:b/>
          <w:bCs/>
          <w:sz w:val="32"/>
          <w:szCs w:val="32"/>
          <w:highlight w:val="none"/>
          <w:lang w:val="en-US" w:eastAsia="zh-CN"/>
        </w:rPr>
        <w:t>在满足</w:t>
      </w:r>
      <w:r>
        <w:rPr>
          <w:rFonts w:hint="eastAsia" w:ascii="仿宋_GB2312" w:hAnsi="仿宋_GB2312" w:eastAsia="仿宋_GB2312" w:cs="仿宋_GB2312"/>
          <w:b/>
          <w:bCs/>
          <w:sz w:val="32"/>
          <w:szCs w:val="32"/>
          <w:highlight w:val="none"/>
          <w:lang w:val="en-US" w:eastAsia="zh-CN"/>
        </w:rPr>
        <w:t>服务要求的前提下，综合评分最高中选（1家中选）</w:t>
      </w:r>
      <w:r>
        <w:rPr>
          <w:rFonts w:hint="eastAsia" w:ascii="仿宋_GB2312" w:hAnsi="仿宋_GB2312" w:eastAsia="仿宋_GB2312" w:cs="仿宋_GB2312"/>
          <w:b/>
          <w:bCs/>
          <w:sz w:val="32"/>
          <w:szCs w:val="32"/>
          <w:highlight w:val="none"/>
        </w:rPr>
        <w:t>。</w:t>
      </w:r>
    </w:p>
    <w:p>
      <w:pPr>
        <w:adjustRightInd w:val="0"/>
        <w:snapToGrid w:val="0"/>
        <w:spacing w:line="56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sz w:val="32"/>
          <w:szCs w:val="32"/>
          <w:highlight w:val="none"/>
        </w:rPr>
        <w:t>、参选文件递交</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参选文件递交截止时间：</w:t>
      </w:r>
      <w:r>
        <w:rPr>
          <w:rFonts w:hint="eastAsia" w:ascii="仿宋_GB2312" w:hAnsi="仿宋_GB2312" w:eastAsia="仿宋_GB2312" w:cs="仿宋_GB2312"/>
          <w:b w:val="0"/>
          <w:bCs/>
          <w:color w:val="auto"/>
          <w:sz w:val="32"/>
          <w:szCs w:val="32"/>
          <w:highlight w:val="none"/>
        </w:rPr>
        <w:t>2024年</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25</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val="en-US" w:eastAsia="zh-CN"/>
        </w:rPr>
        <w:t>上午10:00</w:t>
      </w:r>
      <w:r>
        <w:rPr>
          <w:rFonts w:hint="eastAsia" w:ascii="仿宋_GB2312" w:hAnsi="仿宋_GB2312" w:eastAsia="仿宋_GB2312" w:cs="仿宋_GB2312"/>
          <w:b w:val="0"/>
          <w:bCs/>
          <w:color w:val="auto"/>
          <w:sz w:val="32"/>
          <w:szCs w:val="32"/>
          <w:highlight w:val="none"/>
        </w:rPr>
        <w:t>时（北京时间）</w:t>
      </w:r>
      <w:r>
        <w:rPr>
          <w:rFonts w:hint="eastAsia" w:ascii="仿宋_GB2312" w:hAnsi="仿宋_GB2312" w:eastAsia="仿宋_GB2312" w:cs="仿宋_GB2312"/>
          <w:b w:val="0"/>
          <w:bCs/>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收件地址：</w:t>
      </w:r>
      <w:r>
        <w:rPr>
          <w:rFonts w:hint="eastAsia" w:ascii="仿宋_GB2312" w:hAnsi="仿宋_GB2312" w:eastAsia="仿宋_GB2312" w:cs="仿宋_GB2312"/>
          <w:b w:val="0"/>
          <w:bCs/>
          <w:sz w:val="32"/>
          <w:szCs w:val="32"/>
          <w:highlight w:val="none"/>
          <w:lang w:val="en-US" w:eastAsia="zh-CN"/>
        </w:rPr>
        <w:t>重庆市渝北区观月大道观月小区23栋8楼</w:t>
      </w:r>
      <w:r>
        <w:rPr>
          <w:rFonts w:hint="eastAsia" w:ascii="仿宋_GB2312" w:hAnsi="仿宋_GB2312" w:eastAsia="仿宋_GB2312" w:cs="仿宋_GB2312"/>
          <w:b w:val="0"/>
          <w:bCs/>
          <w:sz w:val="32"/>
          <w:szCs w:val="32"/>
          <w:highlight w:val="none"/>
        </w:rPr>
        <w:t xml:space="preserve"> </w:t>
      </w:r>
    </w:p>
    <w:p>
      <w:pPr>
        <w:adjustRightInd w:val="0"/>
        <w:snapToGrid w:val="0"/>
        <w:spacing w:line="560" w:lineRule="exact"/>
        <w:ind w:firstLine="640" w:firstLineChars="200"/>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rPr>
        <w:t>收件单位：</w:t>
      </w:r>
      <w:r>
        <w:rPr>
          <w:rFonts w:hint="eastAsia" w:ascii="仿宋_GB2312" w:hAnsi="仿宋_GB2312" w:eastAsia="仿宋_GB2312" w:cs="仿宋_GB2312"/>
          <w:b w:val="0"/>
          <w:bCs/>
          <w:sz w:val="32"/>
          <w:szCs w:val="32"/>
          <w:highlight w:val="none"/>
          <w:lang w:val="en-US" w:eastAsia="zh-CN"/>
        </w:rPr>
        <w:t>重庆九洲智造科技有限公司财务部</w:t>
      </w:r>
    </w:p>
    <w:p>
      <w:pPr>
        <w:adjustRightInd w:val="0"/>
        <w:snapToGrid w:val="0"/>
        <w:spacing w:line="560" w:lineRule="exact"/>
        <w:ind w:firstLine="640" w:firstLineChars="200"/>
        <w:rPr>
          <w:rFonts w:hint="default" w:ascii="仿宋_GB2312" w:hAnsi="仿宋_GB2312" w:eastAsia="仿宋_GB2312" w:cs="仿宋_GB2312"/>
          <w:b w:val="0"/>
          <w:bCs/>
          <w:color w:val="FF0000"/>
          <w:sz w:val="32"/>
          <w:szCs w:val="32"/>
          <w:highlight w:val="none"/>
          <w:lang w:val="en-US" w:eastAsia="zh-CN"/>
        </w:rPr>
      </w:pPr>
      <w:r>
        <w:rPr>
          <w:rFonts w:hint="eastAsia" w:ascii="仿宋_GB2312" w:hAnsi="仿宋_GB2312" w:eastAsia="仿宋_GB2312" w:cs="仿宋_GB2312"/>
          <w:b w:val="0"/>
          <w:bCs/>
          <w:sz w:val="32"/>
          <w:szCs w:val="32"/>
          <w:highlight w:val="none"/>
        </w:rPr>
        <w:t>收件人：</w:t>
      </w:r>
      <w:r>
        <w:rPr>
          <w:rFonts w:hint="eastAsia" w:ascii="仿宋_GB2312" w:hAnsi="仿宋_GB2312" w:eastAsia="仿宋_GB2312" w:cs="仿宋_GB2312"/>
          <w:b w:val="0"/>
          <w:bCs/>
          <w:sz w:val="32"/>
          <w:szCs w:val="32"/>
          <w:highlight w:val="none"/>
          <w:lang w:val="en-US" w:eastAsia="zh-CN"/>
        </w:rPr>
        <w:t>张洋波</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18883996263</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文件必须在截止时间前送达，逾期送达或未送达指定地点的参选文件视为自动弃权。若因不可抗力因素影响，纸质参选文件无法按时送达的，可在参选文件递交截止时间前以PDF文档（盖章版）加密形式，通过邮件发送至比选人邮箱</w:t>
      </w:r>
      <w:r>
        <w:rPr>
          <w:rFonts w:hint="eastAsia" w:ascii="仿宋_GB2312" w:hAnsi="仿宋_GB2312" w:eastAsia="仿宋_GB2312" w:cs="仿宋_GB2312"/>
          <w:b w:val="0"/>
          <w:bCs w:val="0"/>
          <w:snapToGrid/>
          <w:color w:val="auto"/>
          <w:kern w:val="2"/>
          <w:sz w:val="32"/>
          <w:szCs w:val="32"/>
          <w:highlight w:val="none"/>
          <w:lang w:val="en-US" w:eastAsia="zh-CN"/>
        </w:rPr>
        <w:t>zhangyangbo@jezetek.cc</w:t>
      </w:r>
      <w:r>
        <w:rPr>
          <w:rFonts w:hint="eastAsia" w:ascii="仿宋_GB2312" w:hAnsi="仿宋_GB2312" w:eastAsia="仿宋_GB2312" w:cs="仿宋_GB2312"/>
          <w:sz w:val="32"/>
          <w:szCs w:val="32"/>
          <w:highlight w:val="none"/>
        </w:rPr>
        <w:t>，并在开选时将密码提供给比选人。</w:t>
      </w:r>
    </w:p>
    <w:p>
      <w:pPr>
        <w:numPr>
          <w:ilvl w:val="0"/>
          <w:numId w:val="0"/>
        </w:numPr>
        <w:adjustRightInd w:val="0"/>
        <w:snapToGrid w:val="0"/>
        <w:spacing w:line="560" w:lineRule="exact"/>
        <w:ind w:firstLine="643" w:firstLineChars="200"/>
        <w:rPr>
          <w:rFonts w:hint="default"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评选时间：</w:t>
      </w:r>
      <w:r>
        <w:rPr>
          <w:rFonts w:hint="eastAsia" w:ascii="仿宋_GB2312" w:hAnsi="仿宋_GB2312" w:eastAsia="仿宋_GB2312" w:cs="仿宋_GB2312"/>
          <w:b/>
          <w:bCs/>
          <w:color w:val="auto"/>
          <w:sz w:val="32"/>
          <w:szCs w:val="32"/>
          <w:highlight w:val="none"/>
        </w:rPr>
        <w:t>2024年</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25</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b/>
          <w:bCs/>
          <w:color w:val="auto"/>
          <w:sz w:val="32"/>
          <w:szCs w:val="32"/>
          <w:highlight w:val="none"/>
          <w:lang w:val="en-US" w:eastAsia="zh-CN"/>
        </w:rPr>
        <w:t>上午10:00时</w:t>
      </w:r>
    </w:p>
    <w:p>
      <w:pPr>
        <w:numPr>
          <w:ilvl w:val="0"/>
          <w:numId w:val="0"/>
        </w:numPr>
        <w:adjustRightInd w:val="0"/>
        <w:snapToGrid w:val="0"/>
        <w:spacing w:line="560" w:lineRule="exact"/>
        <w:ind w:firstLine="643" w:firstLineChars="200"/>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评选地点：</w:t>
      </w:r>
      <w:r>
        <w:rPr>
          <w:rFonts w:hint="eastAsia" w:ascii="仿宋_GB2312" w:hAnsi="仿宋_GB2312" w:eastAsia="仿宋_GB2312" w:cs="仿宋_GB2312"/>
          <w:b/>
          <w:sz w:val="32"/>
          <w:szCs w:val="32"/>
          <w:highlight w:val="none"/>
          <w:lang w:val="en-US" w:eastAsia="zh-CN"/>
        </w:rPr>
        <w:t>重庆市渝北区观月大道观月小区23栋3楼会议室</w:t>
      </w:r>
    </w:p>
    <w:p>
      <w:pPr>
        <w:pStyle w:val="37"/>
        <w:adjustRightInd w:val="0"/>
        <w:snapToGrid w:val="0"/>
        <w:spacing w:line="560" w:lineRule="exact"/>
        <w:ind w:firstLine="643"/>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九</w:t>
      </w:r>
      <w:r>
        <w:rPr>
          <w:rFonts w:hint="eastAsia" w:ascii="仿宋_GB2312" w:hAnsi="仿宋_GB2312" w:eastAsia="仿宋_GB2312" w:cs="仿宋_GB2312"/>
          <w:b/>
          <w:sz w:val="32"/>
          <w:szCs w:val="32"/>
          <w:highlight w:val="none"/>
        </w:rPr>
        <w:t>、联系方式</w:t>
      </w:r>
    </w:p>
    <w:p>
      <w:pPr>
        <w:pStyle w:val="37"/>
        <w:adjustRightInd w:val="0"/>
        <w:snapToGrid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王影</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b w:val="0"/>
          <w:bCs/>
          <w:color w:val="auto"/>
          <w:sz w:val="32"/>
          <w:szCs w:val="32"/>
          <w:highlight w:val="none"/>
          <w:lang w:val="en-US" w:eastAsia="zh-CN"/>
        </w:rPr>
        <w:t>15683887662</w:t>
      </w:r>
      <w:r>
        <w:rPr>
          <w:rFonts w:hint="eastAsia" w:ascii="仿宋_GB2312" w:hAnsi="仿宋_GB2312" w:eastAsia="仿宋_GB2312" w:cs="仿宋_GB2312"/>
          <w:sz w:val="32"/>
          <w:szCs w:val="32"/>
          <w:highlight w:val="none"/>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联系邮箱：</w:t>
      </w:r>
      <w:r>
        <w:rPr>
          <w:rFonts w:hint="eastAsia" w:ascii="仿宋_GB2312" w:hAnsi="仿宋_GB2312" w:eastAsia="仿宋_GB2312" w:cs="仿宋_GB2312"/>
          <w:b w:val="0"/>
          <w:bCs w:val="0"/>
          <w:snapToGrid/>
          <w:color w:val="auto"/>
          <w:kern w:val="2"/>
          <w:sz w:val="32"/>
          <w:szCs w:val="32"/>
          <w:highlight w:val="none"/>
          <w:lang w:val="en-US" w:eastAsia="zh-CN"/>
        </w:rPr>
        <w:t>wangying@jezetek.cc</w:t>
      </w:r>
    </w:p>
    <w:p>
      <w:pPr>
        <w:adjustRightInd w:val="0"/>
        <w:snapToGrid w:val="0"/>
        <w:spacing w:line="560" w:lineRule="exact"/>
        <w:ind w:left="63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九、廉政监督邮箱：</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"mailto:scjzsjb@jiuzhoutech.com"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scjzsjb@jiuzhoutech.com</w:t>
      </w:r>
      <w:r>
        <w:rPr>
          <w:rFonts w:hint="eastAsia" w:ascii="仿宋_GB2312" w:hAnsi="仿宋_GB2312" w:eastAsia="仿宋_GB2312" w:cs="仿宋_GB2312"/>
          <w:sz w:val="32"/>
          <w:szCs w:val="32"/>
          <w:highlight w:val="none"/>
        </w:rPr>
        <w:fldChar w:fldCharType="end"/>
      </w:r>
    </w:p>
    <w:p>
      <w:pPr>
        <w:pStyle w:val="37"/>
        <w:adjustRightInd w:val="0"/>
        <w:snapToGrid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p>
    <w:p>
      <w:pPr>
        <w:pStyle w:val="37"/>
        <w:adjustRightInd w:val="0"/>
        <w:snapToGrid w:val="0"/>
        <w:spacing w:line="560" w:lineRule="exact"/>
        <w:ind w:firstLine="640"/>
        <w:rPr>
          <w:rFonts w:hint="eastAsia" w:ascii="仿宋_GB2312" w:hAnsi="仿宋_GB2312" w:eastAsia="仿宋_GB2312" w:cs="仿宋_GB2312"/>
          <w:sz w:val="32"/>
          <w:szCs w:val="32"/>
          <w:highlight w:val="none"/>
        </w:rPr>
      </w:pPr>
    </w:p>
    <w:p>
      <w:pPr>
        <w:adjustRightInd w:val="0"/>
        <w:snapToGrid w:val="0"/>
        <w:spacing w:line="560" w:lineRule="exact"/>
        <w:ind w:firstLine="5120" w:firstLineChars="1600"/>
        <w:rPr>
          <w:rFonts w:hint="eastAsia" w:ascii="仿宋_GB2312" w:hAnsi="仿宋_GB2312" w:eastAsia="仿宋_GB2312" w:cs="仿宋_GB2312"/>
          <w:sz w:val="32"/>
          <w:szCs w:val="32"/>
          <w:highlight w:val="none"/>
        </w:rPr>
      </w:pPr>
      <w:bookmarkStart w:id="9" w:name="_Toc319791934"/>
      <w:bookmarkStart w:id="10" w:name="_Toc157235899"/>
      <w:bookmarkStart w:id="11" w:name="_Toc170621200"/>
      <w:bookmarkStart w:id="12" w:name="_Toc187120136"/>
      <w:bookmarkStart w:id="13" w:name="_Toc170621332"/>
      <w:r>
        <w:rPr>
          <w:rFonts w:hint="eastAsia" w:ascii="仿宋_GB2312" w:hAnsi="仿宋_GB2312" w:eastAsia="仿宋_GB2312" w:cs="仿宋_GB2312"/>
          <w:sz w:val="32"/>
          <w:szCs w:val="32"/>
          <w:highlight w:val="none"/>
        </w:rPr>
        <w:t>重庆九洲智造科技有限公司</w:t>
      </w:r>
    </w:p>
    <w:p>
      <w:pPr>
        <w:adjustRightInd w:val="0"/>
        <w:snapToGrid w:val="0"/>
        <w:spacing w:line="560" w:lineRule="exact"/>
        <w:ind w:right="480" w:firstLine="6400" w:firstLineChars="2000"/>
        <w:rPr>
          <w:rFonts w:hint="eastAsia" w:ascii="仿宋_GB2312" w:hAnsi="仿宋_GB2312" w:eastAsia="仿宋_GB2312" w:cs="仿宋_GB2312"/>
          <w:color w:val="auto"/>
          <w:sz w:val="32"/>
          <w:szCs w:val="32"/>
          <w:highlight w:val="none"/>
          <w:lang w:val="en-US" w:eastAsia="zh-CN"/>
        </w:rPr>
      </w:pPr>
      <w:bookmarkStart w:id="14" w:name="_Hlk525744557"/>
      <w:r>
        <w:rPr>
          <w:rFonts w:hint="eastAsia" w:ascii="仿宋_GB2312" w:hAnsi="仿宋_GB2312" w:eastAsia="仿宋_GB2312" w:cs="仿宋_GB2312"/>
          <w:color w:val="auto"/>
          <w:sz w:val="32"/>
          <w:szCs w:val="32"/>
          <w:highlight w:val="none"/>
        </w:rPr>
        <w:t>2024年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p>
    <w:bookmarkEnd w:id="14"/>
    <w:p>
      <w:pPr>
        <w:pStyle w:val="2"/>
        <w:spacing w:line="276" w:lineRule="auto"/>
        <w:jc w:val="center"/>
        <w:rPr>
          <w:rFonts w:hint="eastAsia" w:ascii="仿宋_GB2312" w:hAnsi="仿宋_GB2312" w:eastAsia="仿宋_GB2312" w:cs="仿宋_GB2312"/>
          <w:kern w:val="0"/>
          <w:highlight w:val="none"/>
        </w:rPr>
      </w:pPr>
      <w:r>
        <w:rPr>
          <w:rFonts w:hint="eastAsia" w:ascii="仿宋_GB2312" w:hAnsi="仿宋_GB2312" w:eastAsia="仿宋_GB2312" w:cs="仿宋_GB2312"/>
          <w:highlight w:val="none"/>
          <w:shd w:val="clear" w:color="auto" w:fill="F8FCFF"/>
        </w:rPr>
        <w:br w:type="page"/>
      </w:r>
      <w:bookmarkStart w:id="15" w:name="_Toc9583"/>
      <w:bookmarkStart w:id="16" w:name="_Toc524961476"/>
      <w:bookmarkStart w:id="17" w:name="_Toc524975711"/>
      <w:bookmarkStart w:id="18" w:name="_Toc524975665"/>
      <w:bookmarkStart w:id="19" w:name="_Toc10254"/>
      <w:bookmarkStart w:id="20" w:name="_Toc28579"/>
      <w:r>
        <w:rPr>
          <w:rFonts w:hint="eastAsia" w:ascii="仿宋_GB2312" w:hAnsi="仿宋_GB2312" w:eastAsia="仿宋_GB2312" w:cs="仿宋_GB2312"/>
          <w:kern w:val="0"/>
          <w:highlight w:val="none"/>
        </w:rPr>
        <w:t>第二章 参选人须知</w:t>
      </w:r>
      <w:bookmarkEnd w:id="9"/>
      <w:bookmarkEnd w:id="10"/>
      <w:bookmarkEnd w:id="11"/>
      <w:bookmarkEnd w:id="12"/>
      <w:bookmarkEnd w:id="13"/>
      <w:bookmarkEnd w:id="15"/>
      <w:bookmarkEnd w:id="16"/>
      <w:bookmarkEnd w:id="17"/>
      <w:bookmarkEnd w:id="18"/>
      <w:bookmarkEnd w:id="19"/>
      <w:bookmarkEnd w:id="20"/>
    </w:p>
    <w:p>
      <w:pPr>
        <w:pStyle w:val="4"/>
        <w:adjustRightInd w:val="0"/>
        <w:snapToGrid w:val="0"/>
        <w:spacing w:before="0" w:after="0" w:line="560" w:lineRule="exact"/>
        <w:jc w:val="center"/>
        <w:rPr>
          <w:rFonts w:ascii="仿宋_GB2312" w:hAnsi="仿宋_GB2312" w:eastAsia="仿宋_GB2312" w:cs="仿宋_GB2312"/>
          <w:kern w:val="44"/>
          <w:highlight w:val="none"/>
        </w:rPr>
      </w:pPr>
      <w:bookmarkStart w:id="21" w:name="_Toc187120137"/>
      <w:bookmarkStart w:id="22" w:name="_Toc319145202"/>
      <w:bookmarkStart w:id="23" w:name="_Toc524975714"/>
      <w:bookmarkStart w:id="24" w:name="_Toc524975668"/>
      <w:bookmarkStart w:id="25" w:name="_Toc157235900"/>
      <w:bookmarkStart w:id="26" w:name="_Toc170621201"/>
      <w:bookmarkStart w:id="27" w:name="_Toc170621333"/>
      <w:r>
        <w:rPr>
          <w:rFonts w:hint="eastAsia" w:ascii="仿宋_GB2312" w:hAnsi="仿宋_GB2312" w:eastAsia="仿宋_GB2312" w:cs="仿宋_GB2312"/>
          <w:kern w:val="44"/>
          <w:sz w:val="36"/>
          <w:szCs w:val="36"/>
          <w:highlight w:val="none"/>
        </w:rPr>
        <w:t>第一节  总则</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1.项目概况</w:t>
      </w:r>
      <w:bookmarkEnd w:id="21"/>
      <w:bookmarkEnd w:id="22"/>
      <w:bookmarkEnd w:id="23"/>
      <w:bookmarkEnd w:id="24"/>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eastAsia="zh-CN"/>
        </w:rPr>
      </w:pPr>
      <w:bookmarkStart w:id="28" w:name="_Toc524975670"/>
      <w:bookmarkStart w:id="29" w:name="_Toc187120139"/>
      <w:bookmarkStart w:id="30" w:name="_Toc524975716"/>
      <w:bookmarkStart w:id="31" w:name="_Toc319145203"/>
      <w:r>
        <w:rPr>
          <w:rFonts w:hint="eastAsia" w:ascii="仿宋_GB2312" w:hAnsi="仿宋_GB2312" w:eastAsia="仿宋_GB2312" w:cs="仿宋_GB2312"/>
          <w:sz w:val="32"/>
          <w:szCs w:val="32"/>
          <w:highlight w:val="none"/>
        </w:rPr>
        <w:t>1.1 项目概况：厂区物业服务采购（编号：BXFASPLC20240314000027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包含保洁、安保、绿化带养护、餐饮配送</w:t>
      </w:r>
      <w:r>
        <w:rPr>
          <w:rFonts w:hint="eastAsia" w:ascii="仿宋_GB2312" w:hAnsi="仿宋_GB2312" w:eastAsia="仿宋_GB2312" w:cs="仿宋_GB2312"/>
          <w:sz w:val="32"/>
          <w:szCs w:val="32"/>
          <w:highlight w:val="none"/>
          <w:lang w:val="en-US" w:eastAsia="zh-CN"/>
        </w:rPr>
        <w:t>等服务</w:t>
      </w:r>
      <w:r>
        <w:rPr>
          <w:rFonts w:hint="eastAsia" w:ascii="仿宋_GB2312" w:hAnsi="仿宋_GB2312" w:eastAsia="仿宋_GB2312" w:cs="仿宋_GB2312"/>
          <w:sz w:val="32"/>
          <w:szCs w:val="32"/>
          <w:highlight w:val="none"/>
          <w:lang w:eastAsia="zh-CN"/>
        </w:rPr>
        <w:t>。</w:t>
      </w:r>
    </w:p>
    <w:p>
      <w:pPr>
        <w:adjustRightInd w:val="0"/>
        <w:snapToGrid w:val="0"/>
        <w:spacing w:line="56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1.2 比选内容：</w:t>
      </w:r>
      <w:r>
        <w:rPr>
          <w:rFonts w:hint="eastAsia" w:ascii="仿宋_GB2312" w:hAnsi="仿宋_GB2312" w:eastAsia="仿宋_GB2312" w:cs="仿宋_GB2312"/>
          <w:bCs/>
          <w:sz w:val="32"/>
          <w:szCs w:val="32"/>
          <w:highlight w:val="none"/>
          <w:lang w:val="en-US" w:eastAsia="zh-CN"/>
        </w:rPr>
        <w:t>详见</w:t>
      </w:r>
      <w:r>
        <w:rPr>
          <w:rFonts w:hint="eastAsia" w:ascii="仿宋_GB2312" w:hAnsi="仿宋_GB2312" w:eastAsia="仿宋_GB2312" w:cs="仿宋_GB2312"/>
          <w:bCs/>
          <w:sz w:val="32"/>
          <w:szCs w:val="32"/>
          <w:highlight w:val="none"/>
        </w:rPr>
        <w:t>参选报价表</w:t>
      </w:r>
      <w:r>
        <w:rPr>
          <w:rFonts w:hint="eastAsia" w:ascii="仿宋_GB2312" w:hAnsi="仿宋_GB2312" w:eastAsia="仿宋_GB2312" w:cs="仿宋_GB2312"/>
          <w:bCs/>
          <w:sz w:val="32"/>
          <w:szCs w:val="32"/>
          <w:highlight w:val="none"/>
          <w:lang w:val="en-US" w:eastAsia="zh-CN"/>
        </w:rPr>
        <w:t>及16.3.3 评选规则。</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highlight w:val="none"/>
        </w:rPr>
        <w:t xml:space="preserve">1.3 </w:t>
      </w:r>
      <w:r>
        <w:rPr>
          <w:rFonts w:hint="eastAsia" w:ascii="仿宋_GB2312" w:hAnsi="仿宋_GB2312" w:eastAsia="仿宋_GB2312" w:cs="仿宋_GB2312"/>
          <w:bCs/>
          <w:sz w:val="32"/>
          <w:szCs w:val="32"/>
          <w:highlight w:val="none"/>
          <w:lang w:val="en-US" w:eastAsia="zh-CN"/>
        </w:rPr>
        <w:t>服务</w:t>
      </w:r>
      <w:r>
        <w:rPr>
          <w:rFonts w:hint="eastAsia" w:ascii="仿宋_GB2312" w:hAnsi="仿宋_GB2312" w:eastAsia="仿宋_GB2312" w:cs="仿宋_GB2312"/>
          <w:bCs/>
          <w:sz w:val="32"/>
          <w:szCs w:val="32"/>
          <w:highlight w:val="none"/>
        </w:rPr>
        <w:t>地点：</w:t>
      </w:r>
      <w:r>
        <w:rPr>
          <w:rFonts w:hint="eastAsia" w:ascii="仿宋_GB2312" w:hAnsi="仿宋_GB2312" w:eastAsia="仿宋_GB2312" w:cs="仿宋_GB2312"/>
          <w:b w:val="0"/>
          <w:bCs w:val="0"/>
          <w:snapToGrid/>
          <w:color w:val="auto"/>
          <w:kern w:val="2"/>
          <w:sz w:val="32"/>
          <w:szCs w:val="32"/>
          <w:highlight w:val="none"/>
          <w:lang w:val="en-US" w:eastAsia="zh-CN"/>
        </w:rPr>
        <w:t>重庆市渝北区两路寸滩保税港区功能区G区瑞月南路101号</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 xml:space="preserve">1.4 </w:t>
      </w:r>
      <w:r>
        <w:rPr>
          <w:rFonts w:hint="eastAsia" w:ascii="仿宋_GB2312" w:hAnsi="仿宋_GB2312" w:eastAsia="仿宋_GB2312" w:cs="仿宋_GB2312"/>
          <w:bCs/>
          <w:sz w:val="32"/>
          <w:szCs w:val="32"/>
          <w:highlight w:val="none"/>
          <w:lang w:val="en-US" w:eastAsia="zh-CN"/>
        </w:rPr>
        <w:t>服务期限</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一年。</w:t>
      </w:r>
    </w:p>
    <w:p>
      <w:pPr>
        <w:adjustRightInd w:val="0"/>
        <w:snapToGrid w:val="0"/>
        <w:spacing w:line="560" w:lineRule="exact"/>
        <w:ind w:firstLine="640" w:firstLineChars="20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 xml:space="preserve">1.5 </w:t>
      </w:r>
      <w:r>
        <w:rPr>
          <w:rFonts w:hint="eastAsia" w:ascii="仿宋_GB2312" w:hAnsi="仿宋_GB2312" w:eastAsia="仿宋_GB2312" w:cs="仿宋_GB2312"/>
          <w:bCs/>
          <w:sz w:val="32"/>
          <w:szCs w:val="32"/>
          <w:highlight w:val="none"/>
          <w:lang w:val="en-US" w:eastAsia="zh-CN"/>
        </w:rPr>
        <w:t>服务要求</w:t>
      </w:r>
      <w:r>
        <w:rPr>
          <w:rFonts w:hint="eastAsia" w:ascii="仿宋_GB2312" w:hAnsi="仿宋_GB2312" w:eastAsia="仿宋_GB2312" w:cs="仿宋_GB2312"/>
          <w:bCs/>
          <w:sz w:val="32"/>
          <w:szCs w:val="32"/>
          <w:highlight w:val="none"/>
        </w:rPr>
        <w:t>：详见“第三章 合同条件”</w:t>
      </w:r>
      <w:r>
        <w:rPr>
          <w:rFonts w:hint="eastAsia" w:ascii="仿宋_GB2312" w:hAnsi="仿宋_GB2312" w:eastAsia="仿宋_GB2312" w:cs="仿宋_GB2312"/>
          <w:bCs/>
          <w:sz w:val="32"/>
          <w:szCs w:val="32"/>
          <w:highlight w:val="none"/>
          <w:lang w:eastAsia="zh-CN"/>
        </w:rPr>
        <w:t>。</w:t>
      </w:r>
    </w:p>
    <w:p>
      <w:pPr>
        <w:adjustRightInd w:val="0"/>
        <w:snapToGrid w:val="0"/>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1.6 参选文件有效期：从提交参选文件截止之日起180个日历天。</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2.参与本次参选的要求</w:t>
      </w:r>
    </w:p>
    <w:p>
      <w:pPr>
        <w:adjustRightInd w:val="0"/>
        <w:snapToGrid w:val="0"/>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2.1参选人资格要求</w:t>
      </w:r>
    </w:p>
    <w:p>
      <w:pPr>
        <w:pStyle w:val="37"/>
        <w:adjustRightInd w:val="0"/>
        <w:snapToGrid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（1）具备能够独立承担民事责任能力的企业法人资格；</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（2）参选人经营范围符合比选项目要求；</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（3）具有良好的商业信誉和健全的财务会计制度；</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（4）具有履行合同所必须的</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能力；</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（5）具有依法缴纳税收和社会保障资金的良好记录；</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（6）参加本次参选前三年内，在经营活动中没有重大违法记录；</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（7）遵守有关的国家法律、法令和条例；</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（8）按比选文件要求交纳参选保证金；</w:t>
      </w:r>
    </w:p>
    <w:p>
      <w:pPr>
        <w:pStyle w:val="37"/>
        <w:adjustRightInd w:val="0"/>
        <w:snapToGrid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（9）本次项目不允许联合体参选；</w:t>
      </w:r>
    </w:p>
    <w:p>
      <w:pPr>
        <w:pStyle w:val="37"/>
        <w:adjustRightInd w:val="0"/>
        <w:snapToGrid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（10）法律、行政法规规定的其他条件。</w:t>
      </w:r>
    </w:p>
    <w:p>
      <w:pPr>
        <w:adjustRightInd w:val="0"/>
        <w:snapToGrid w:val="0"/>
        <w:spacing w:line="560" w:lineRule="exact"/>
        <w:ind w:firstLine="643"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44"/>
          <w:sz w:val="32"/>
          <w:szCs w:val="32"/>
          <w:highlight w:val="none"/>
        </w:rPr>
        <w:t>2.2 参选保证金交纳</w:t>
      </w:r>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2.2.1 </w:t>
      </w:r>
      <w:r>
        <w:rPr>
          <w:rFonts w:hint="eastAsia" w:ascii="仿宋_GB2312" w:hAnsi="仿宋_GB2312" w:eastAsia="仿宋_GB2312" w:cs="仿宋_GB2312"/>
          <w:color w:val="auto"/>
          <w:sz w:val="32"/>
          <w:szCs w:val="32"/>
          <w:highlight w:val="none"/>
          <w:shd w:val="clear" w:color="auto" w:fill="auto"/>
        </w:rPr>
        <w:t>参选保证金金额：人民币</w:t>
      </w:r>
      <w:r>
        <w:rPr>
          <w:rFonts w:hint="eastAsia" w:ascii="仿宋_GB2312" w:hAnsi="仿宋_GB2312" w:eastAsia="仿宋_GB2312" w:cs="仿宋_GB2312"/>
          <w:color w:val="auto"/>
          <w:sz w:val="32"/>
          <w:szCs w:val="32"/>
          <w:highlight w:val="none"/>
          <w:shd w:val="clear" w:color="auto" w:fill="auto"/>
          <w:lang w:val="en-US" w:eastAsia="zh-CN"/>
        </w:rPr>
        <w:t>1500</w:t>
      </w:r>
      <w:r>
        <w:rPr>
          <w:rFonts w:hint="eastAsia" w:ascii="仿宋_GB2312" w:hAnsi="仿宋_GB2312" w:eastAsia="仿宋_GB2312" w:cs="仿宋_GB2312"/>
          <w:color w:val="auto"/>
          <w:sz w:val="32"/>
          <w:szCs w:val="32"/>
          <w:highlight w:val="none"/>
          <w:shd w:val="clear" w:color="auto" w:fill="auto"/>
        </w:rPr>
        <w:t>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2.2.2 参选保证金通过参选人的基本账户</w:t>
      </w:r>
      <w:r>
        <w:rPr>
          <w:rFonts w:hint="eastAsia" w:ascii="仿宋_GB2312" w:hAnsi="仿宋_GB2312" w:eastAsia="仿宋_GB2312" w:cs="仿宋_GB2312"/>
          <w:color w:val="auto"/>
          <w:sz w:val="32"/>
          <w:szCs w:val="32"/>
          <w:highlight w:val="none"/>
        </w:rPr>
        <w:t>于2024年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上午10:0</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时</w:t>
      </w:r>
      <w:r>
        <w:rPr>
          <w:rFonts w:hint="eastAsia" w:ascii="仿宋_GB2312" w:hAnsi="仿宋_GB2312" w:eastAsia="仿宋_GB2312" w:cs="仿宋_GB2312"/>
          <w:color w:val="auto"/>
          <w:sz w:val="32"/>
          <w:szCs w:val="32"/>
          <w:highlight w:val="none"/>
        </w:rPr>
        <w:t>前以银行转账提交至公司对公账户</w:t>
      </w:r>
      <w:r>
        <w:rPr>
          <w:rFonts w:hint="eastAsia" w:ascii="仿宋_GB2312" w:hAnsi="仿宋_GB2312" w:eastAsia="仿宋_GB2312" w:cs="仿宋_GB2312"/>
          <w:sz w:val="32"/>
          <w:szCs w:val="32"/>
          <w:highlight w:val="none"/>
        </w:rPr>
        <w:t>，并提供银行转账凭证，在签订合同后将退还至原账户。</w:t>
      </w:r>
    </w:p>
    <w:p>
      <w:pPr>
        <w:adjustRightInd w:val="0"/>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公司名称：重庆九洲智造科技有限公司</w:t>
      </w:r>
    </w:p>
    <w:p>
      <w:pPr>
        <w:adjustRightInd w:val="0"/>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开户银行：中国工商银行股份有限公司重庆保税港支行 </w:t>
      </w:r>
    </w:p>
    <w:p>
      <w:pPr>
        <w:adjustRightInd w:val="0"/>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银行账号：3100</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0322</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0910</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0137</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365</w:t>
      </w:r>
    </w:p>
    <w:p>
      <w:pPr>
        <w:autoSpaceDE w:val="0"/>
        <w:autoSpaceDN w:val="0"/>
        <w:adjustRightInd w:val="0"/>
        <w:snapToGrid w:val="0"/>
        <w:spacing w:line="560" w:lineRule="exact"/>
        <w:ind w:firstLine="640" w:firstLineChars="200"/>
        <w:textAlignment w:val="bottom"/>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2.2.3 下列情况发生时，参选保证金将被没收，参选人将被列入采购黑名单，今后不再向其采购：</w:t>
      </w:r>
    </w:p>
    <w:p>
      <w:pPr>
        <w:autoSpaceDE w:val="0"/>
        <w:autoSpaceDN w:val="0"/>
        <w:adjustRightInd w:val="0"/>
        <w:snapToGrid w:val="0"/>
        <w:spacing w:line="560" w:lineRule="exact"/>
        <w:ind w:firstLine="640" w:firstLineChars="200"/>
        <w:textAlignment w:val="bottom"/>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（1）在评选之日后到参选有效期满前，参选人擅自撤回参选的；</w:t>
      </w:r>
    </w:p>
    <w:p>
      <w:pPr>
        <w:autoSpaceDE w:val="0"/>
        <w:autoSpaceDN w:val="0"/>
        <w:adjustRightInd w:val="0"/>
        <w:snapToGrid w:val="0"/>
        <w:spacing w:line="560" w:lineRule="exact"/>
        <w:ind w:firstLine="640" w:firstLineChars="200"/>
        <w:textAlignment w:val="bottom"/>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（2）中选人无正当理由不按本文件相关条款规定与比选人签订合同；</w:t>
      </w:r>
    </w:p>
    <w:p>
      <w:pPr>
        <w:autoSpaceDE w:val="0"/>
        <w:autoSpaceDN w:val="0"/>
        <w:adjustRightInd w:val="0"/>
        <w:snapToGrid w:val="0"/>
        <w:spacing w:line="560" w:lineRule="exact"/>
        <w:ind w:firstLine="640" w:firstLineChars="200"/>
        <w:textAlignment w:val="bottom"/>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（3）参选人在参选过程中有违反有关法律法规的行为。</w:t>
      </w:r>
    </w:p>
    <w:p>
      <w:pPr>
        <w:pStyle w:val="37"/>
        <w:adjustRightInd w:val="0"/>
        <w:snapToGrid w:val="0"/>
        <w:spacing w:line="560" w:lineRule="exact"/>
        <w:ind w:firstLine="643"/>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2.3 付款方式</w:t>
      </w:r>
      <w:r>
        <w:rPr>
          <w:rFonts w:hint="eastAsia" w:ascii="仿宋_GB2312" w:hAnsi="仿宋_GB2312" w:eastAsia="仿宋_GB2312" w:cs="仿宋_GB2312"/>
          <w:b/>
          <w:bCs/>
          <w:sz w:val="32"/>
          <w:szCs w:val="32"/>
          <w:highlight w:val="none"/>
          <w:lang w:val="en-US" w:eastAsia="zh-CN"/>
        </w:rPr>
        <w:t>及考核</w:t>
      </w:r>
    </w:p>
    <w:p>
      <w:pPr>
        <w:pStyle w:val="37"/>
        <w:adjustRightInd w:val="0"/>
        <w:snapToGrid w:val="0"/>
        <w:spacing w:line="560" w:lineRule="exact"/>
        <w:ind w:firstLine="643"/>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详见“</w:t>
      </w:r>
      <w:r>
        <w:rPr>
          <w:rFonts w:hint="eastAsia" w:ascii="仿宋_GB2312" w:hAnsi="仿宋_GB2312" w:eastAsia="仿宋_GB2312" w:cs="仿宋_GB2312"/>
          <w:b w:val="0"/>
          <w:bCs w:val="0"/>
          <w:sz w:val="32"/>
          <w:szCs w:val="32"/>
          <w:highlight w:val="none"/>
        </w:rPr>
        <w:t>第三章 合同条件</w:t>
      </w:r>
      <w:r>
        <w:rPr>
          <w:rFonts w:hint="eastAsia" w:ascii="仿宋_GB2312" w:hAnsi="仿宋_GB2312" w:eastAsia="仿宋_GB2312" w:cs="仿宋_GB2312"/>
          <w:b w:val="0"/>
          <w:bCs w:val="0"/>
          <w:sz w:val="32"/>
          <w:szCs w:val="32"/>
          <w:highlight w:val="none"/>
          <w:lang w:val="en-US" w:eastAsia="zh-CN"/>
        </w:rPr>
        <w:t>”</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3.参选人合格条件</w:t>
      </w:r>
      <w:bookmarkEnd w:id="25"/>
      <w:bookmarkEnd w:id="26"/>
      <w:bookmarkEnd w:id="27"/>
      <w:bookmarkEnd w:id="28"/>
      <w:bookmarkEnd w:id="29"/>
      <w:bookmarkEnd w:id="30"/>
      <w:bookmarkEnd w:id="31"/>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bookmarkStart w:id="32" w:name="_Toc170621202"/>
      <w:bookmarkStart w:id="33" w:name="_Toc170621334"/>
      <w:bookmarkStart w:id="34" w:name="_Toc157235901"/>
      <w:bookmarkStart w:id="35" w:name="_Toc187120140"/>
      <w:bookmarkStart w:id="36" w:name="_Toc319145204"/>
      <w:r>
        <w:rPr>
          <w:rFonts w:hint="eastAsia" w:ascii="仿宋_GB2312" w:hAnsi="仿宋_GB2312" w:eastAsia="仿宋_GB2312" w:cs="仿宋_GB2312"/>
          <w:sz w:val="32"/>
          <w:szCs w:val="32"/>
          <w:highlight w:val="none"/>
        </w:rPr>
        <w:t>合格的参选人应具备以下条件：</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）遵守国家有关的法律、法规、规章和其他政策制度；</w:t>
      </w:r>
    </w:p>
    <w:p>
      <w:pPr>
        <w:tabs>
          <w:tab w:val="left" w:pos="7665"/>
        </w:tabs>
        <w:adjustRightInd w:val="0"/>
        <w:snapToGrid w:val="0"/>
        <w:spacing w:line="560" w:lineRule="exact"/>
        <w:ind w:firstLine="640"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）符合比选</w:t>
      </w:r>
      <w:r>
        <w:rPr>
          <w:rFonts w:hint="eastAsia" w:ascii="仿宋_GB2312" w:hAnsi="仿宋_GB2312" w:eastAsia="仿宋_GB2312" w:cs="仿宋_GB2312"/>
          <w:sz w:val="32"/>
          <w:szCs w:val="32"/>
          <w:highlight w:val="none"/>
          <w:lang w:val="en-US" w:eastAsia="zh-CN"/>
        </w:rPr>
        <w:t>公告</w:t>
      </w:r>
      <w:r>
        <w:rPr>
          <w:rFonts w:hint="eastAsia" w:ascii="仿宋_GB2312" w:hAnsi="仿宋_GB2312" w:eastAsia="仿宋_GB2312" w:cs="仿宋_GB2312"/>
          <w:sz w:val="32"/>
          <w:szCs w:val="32"/>
          <w:highlight w:val="none"/>
        </w:rPr>
        <w:t>规定的参选人资格条件</w:t>
      </w:r>
      <w:r>
        <w:rPr>
          <w:rFonts w:hint="eastAsia" w:ascii="仿宋_GB2312" w:hAnsi="仿宋_GB2312" w:eastAsia="仿宋_GB2312" w:cs="仿宋_GB2312"/>
          <w:spacing w:val="-4"/>
          <w:sz w:val="32"/>
          <w:szCs w:val="32"/>
          <w:highlight w:val="none"/>
        </w:rPr>
        <w:t>；</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参选人的注册资本不低于200万元（含本为数），</w:t>
      </w:r>
      <w:r>
        <w:rPr>
          <w:rFonts w:hint="eastAsia" w:ascii="方正仿宋_GB2312" w:hAnsi="方正仿宋_GB2312" w:eastAsia="方正仿宋_GB2312" w:cs="方正仿宋_GB2312"/>
          <w:color w:val="auto"/>
          <w:sz w:val="32"/>
          <w:szCs w:val="32"/>
          <w:highlight w:val="none"/>
          <w:lang w:val="en-US" w:eastAsia="zh-CN"/>
        </w:rPr>
        <w:t>提供营业执照复印件</w:t>
      </w:r>
      <w:r>
        <w:rPr>
          <w:rFonts w:hint="eastAsia" w:ascii="仿宋_GB2312" w:hAnsi="仿宋_GB2312" w:eastAsia="仿宋_GB2312" w:cs="仿宋_GB2312"/>
          <w:sz w:val="32"/>
          <w:szCs w:val="32"/>
          <w:highlight w:val="none"/>
          <w:lang w:val="en-US" w:eastAsia="zh-CN"/>
        </w:rPr>
        <w:t>；</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参选人参选前一年内（202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年），在经营活动中无亏损情况，提供公司</w:t>
      </w:r>
      <w:r>
        <w:rPr>
          <w:rFonts w:hint="eastAsia" w:ascii="仿宋_GB2312" w:hAnsi="仿宋_GB2312" w:eastAsia="仿宋_GB2312" w:cs="仿宋_GB2312"/>
          <w:sz w:val="32"/>
          <w:szCs w:val="32"/>
          <w:highlight w:val="none"/>
          <w:lang w:val="en-US" w:eastAsia="zh-CN"/>
        </w:rPr>
        <w:t>2022年及2023年两年的财务审计报告，若2023年审计报告未出，提供盖章版年度财务报表。</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（5）参选人营业执照范围须全部涵盖物业管理、餐饮服务、城市绿化管理的相关服务内容，提供营业执照复印件；</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（6）参选人具有食品经营许可证，经营项目至少应包含“热食类食品制售”，提供食品经营许可证的复印件；</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（7）至少具有1个合同金额不低于100万元的业绩（含本为数），服务内容为物业服务类似项目业绩，提供合同的复印件（体现金额、服务内容）。</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4.参选费用</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参选人编制参选文件、现场考察、递交参选文件等比选过程中所涉及的一切费用，不论结果如何，比选人不负任何责任，均由参选人自己承担。</w:t>
      </w:r>
    </w:p>
    <w:p>
      <w:pPr>
        <w:pStyle w:val="4"/>
        <w:adjustRightInd w:val="0"/>
        <w:snapToGrid w:val="0"/>
        <w:spacing w:before="0" w:after="0" w:line="560" w:lineRule="exact"/>
        <w:jc w:val="center"/>
        <w:rPr>
          <w:rFonts w:ascii="仿宋_GB2312" w:hAnsi="仿宋_GB2312" w:eastAsia="仿宋_GB2312" w:cs="仿宋_GB2312"/>
          <w:kern w:val="44"/>
          <w:highlight w:val="none"/>
        </w:rPr>
      </w:pPr>
      <w:bookmarkStart w:id="37" w:name="_Toc524975671"/>
      <w:bookmarkStart w:id="38" w:name="_Toc524975717"/>
      <w:r>
        <w:rPr>
          <w:rFonts w:hint="eastAsia" w:ascii="仿宋_GB2312" w:hAnsi="仿宋_GB2312" w:eastAsia="仿宋_GB2312" w:cs="仿宋_GB2312"/>
          <w:kern w:val="44"/>
          <w:sz w:val="36"/>
          <w:szCs w:val="36"/>
          <w:highlight w:val="none"/>
        </w:rPr>
        <w:t>第二节  比选文件</w:t>
      </w:r>
    </w:p>
    <w:bookmarkEnd w:id="32"/>
    <w:bookmarkEnd w:id="33"/>
    <w:bookmarkEnd w:id="34"/>
    <w:bookmarkEnd w:id="35"/>
    <w:bookmarkEnd w:id="36"/>
    <w:bookmarkEnd w:id="37"/>
    <w:bookmarkEnd w:id="38"/>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bookmarkStart w:id="39" w:name="_Toc319145205"/>
      <w:bookmarkStart w:id="40" w:name="_Toc524975672"/>
      <w:bookmarkStart w:id="41" w:name="_Toc157235902"/>
      <w:bookmarkStart w:id="42" w:name="_Toc170621203"/>
      <w:bookmarkStart w:id="43" w:name="_Toc187120141"/>
      <w:bookmarkStart w:id="44" w:name="_Toc170621335"/>
      <w:bookmarkStart w:id="45" w:name="_Toc524975718"/>
      <w:r>
        <w:rPr>
          <w:rFonts w:hint="eastAsia" w:ascii="仿宋_GB2312" w:hAnsi="仿宋_GB2312" w:eastAsia="仿宋_GB2312" w:cs="仿宋_GB2312"/>
          <w:kern w:val="44"/>
          <w:highlight w:val="none"/>
        </w:rPr>
        <w:t>5.比选文件的</w:t>
      </w:r>
      <w:bookmarkEnd w:id="39"/>
      <w:bookmarkEnd w:id="40"/>
      <w:bookmarkEnd w:id="41"/>
      <w:bookmarkEnd w:id="42"/>
      <w:bookmarkEnd w:id="43"/>
      <w:bookmarkEnd w:id="44"/>
      <w:bookmarkEnd w:id="45"/>
      <w:r>
        <w:rPr>
          <w:rFonts w:hint="eastAsia" w:ascii="仿宋_GB2312" w:hAnsi="仿宋_GB2312" w:eastAsia="仿宋_GB2312" w:cs="仿宋_GB2312"/>
          <w:kern w:val="44"/>
          <w:highlight w:val="none"/>
        </w:rPr>
        <w:t>构成</w:t>
      </w:r>
    </w:p>
    <w:p>
      <w:pPr>
        <w:tabs>
          <w:tab w:val="left" w:pos="7665"/>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比选文件是参选人准备参选文件和参选的依据，同时也是评选的重要依据。比选文件用以阐明比选项目所需的资质、技术、服务及报价等要求、评选程序等。本比选文件包括以下内容：</w:t>
      </w:r>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（1）比选</w:t>
      </w:r>
      <w:r>
        <w:rPr>
          <w:rFonts w:hint="eastAsia" w:ascii="仿宋_GB2312" w:hAnsi="仿宋_GB2312" w:eastAsia="仿宋_GB2312" w:cs="仿宋_GB2312"/>
          <w:sz w:val="32"/>
          <w:szCs w:val="32"/>
          <w:highlight w:val="none"/>
          <w:lang w:val="en-US" w:eastAsia="zh-CN"/>
        </w:rPr>
        <w:t>公告</w:t>
      </w:r>
      <w:r>
        <w:rPr>
          <w:rFonts w:hint="eastAsia" w:ascii="仿宋_GB2312" w:hAnsi="仿宋_GB2312" w:eastAsia="仿宋_GB2312" w:cs="仿宋_GB2312"/>
          <w:sz w:val="32"/>
          <w:szCs w:val="32"/>
          <w:highlight w:val="none"/>
        </w:rPr>
        <w:t>；</w:t>
      </w:r>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（2）参选人须知；</w:t>
      </w:r>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（3）合同条件；</w:t>
      </w:r>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（4）参选文件格式；</w:t>
      </w:r>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（5）构成比选文件的其他材料。</w:t>
      </w:r>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根据本章第6条、第7条对比选文件所作的答疑、澄清或修改等，构成比选文件的组成部分。</w:t>
      </w:r>
      <w:bookmarkStart w:id="46" w:name="_Toc524975719"/>
      <w:bookmarkStart w:id="47" w:name="_Toc524975673"/>
    </w:p>
    <w:p>
      <w:pPr>
        <w:tabs>
          <w:tab w:val="left" w:pos="720"/>
        </w:tabs>
        <w:adjustRightInd w:val="0"/>
        <w:snapToGrid w:val="0"/>
        <w:spacing w:line="560" w:lineRule="exact"/>
        <w:ind w:left="420" w:leftChars="200" w:firstLine="321" w:firstLineChars="100"/>
        <w:rPr>
          <w:rFonts w:hint="eastAsia" w:ascii="仿宋_GB2312" w:hAnsi="仿宋_GB2312" w:eastAsia="仿宋_GB2312" w:cs="仿宋_GB2312"/>
          <w:b/>
          <w:bCs/>
          <w:kern w:val="44"/>
          <w:sz w:val="32"/>
          <w:szCs w:val="32"/>
          <w:highlight w:val="none"/>
        </w:rPr>
      </w:pPr>
      <w:r>
        <w:rPr>
          <w:rFonts w:hint="eastAsia" w:ascii="仿宋_GB2312" w:hAnsi="仿宋_GB2312" w:eastAsia="仿宋_GB2312" w:cs="仿宋_GB2312"/>
          <w:b/>
          <w:bCs/>
          <w:kern w:val="44"/>
          <w:sz w:val="32"/>
          <w:szCs w:val="32"/>
          <w:highlight w:val="none"/>
        </w:rPr>
        <w:t>6.比选文件的答疑</w:t>
      </w:r>
      <w:bookmarkEnd w:id="46"/>
      <w:bookmarkEnd w:id="47"/>
      <w:bookmarkStart w:id="48" w:name="_Toc524975674"/>
      <w:bookmarkStart w:id="49" w:name="_Toc524975720"/>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参选人对比选文件有异议的，应当在参选文件递交截止时间3日前，以书面形式（须加盖公章）向比选人提出需要答疑的问题。</w:t>
      </w:r>
    </w:p>
    <w:p>
      <w:pPr>
        <w:tabs>
          <w:tab w:val="left" w:pos="72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问题答疑人：</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王  影    </w:t>
      </w:r>
      <w:r>
        <w:rPr>
          <w:rFonts w:hint="eastAsia" w:ascii="仿宋_GB2312" w:hAnsi="仿宋_GB2312" w:eastAsia="仿宋_GB2312" w:cs="仿宋_GB2312"/>
          <w:b w:val="0"/>
          <w:bCs/>
          <w:color w:val="auto"/>
          <w:sz w:val="32"/>
          <w:szCs w:val="32"/>
          <w:highlight w:val="none"/>
          <w:lang w:val="en-US" w:eastAsia="zh-CN"/>
        </w:rPr>
        <w:t>15683887662</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snapToGrid/>
          <w:color w:val="auto"/>
          <w:kern w:val="2"/>
          <w:sz w:val="32"/>
          <w:szCs w:val="32"/>
          <w:highlight w:val="none"/>
          <w:lang w:val="en-US" w:eastAsia="zh-CN"/>
        </w:rPr>
        <w:t>wangying@jezetek.cc</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刘文新    13881179263    liuwenxin</w:t>
      </w:r>
      <w:r>
        <w:rPr>
          <w:rFonts w:hint="eastAsia" w:ascii="仿宋_GB2312" w:hAnsi="仿宋_GB2312" w:eastAsia="仿宋_GB2312" w:cs="仿宋_GB2312"/>
          <w:b w:val="0"/>
          <w:bCs w:val="0"/>
          <w:snapToGrid/>
          <w:color w:val="auto"/>
          <w:kern w:val="2"/>
          <w:sz w:val="32"/>
          <w:szCs w:val="32"/>
          <w:highlight w:val="none"/>
          <w:lang w:val="en-US" w:eastAsia="zh-CN"/>
        </w:rPr>
        <w:t>@jezetek.cc</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7.比选文件的澄清和修改</w:t>
      </w:r>
      <w:bookmarkEnd w:id="48"/>
      <w:bookmarkEnd w:id="49"/>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7.1 比选文件发出后，在提交参选文件截止时间前，参选人若对比选文件有任何疑问，应在获得比选文件2日内以书面形式向比选人人提出澄清要求，送至</w:t>
      </w:r>
      <w:r>
        <w:rPr>
          <w:rFonts w:hint="eastAsia" w:ascii="仿宋_GB2312" w:hAnsi="仿宋_GB2312" w:eastAsia="仿宋_GB2312" w:cs="仿宋_GB2312"/>
          <w:sz w:val="32"/>
          <w:szCs w:val="32"/>
          <w:highlight w:val="none"/>
          <w:lang w:val="en-US" w:eastAsia="zh-CN"/>
        </w:rPr>
        <w:t>重庆九洲智造科技有限公司综合运营部。</w:t>
      </w:r>
      <w:r>
        <w:rPr>
          <w:rFonts w:hint="eastAsia" w:ascii="仿宋_GB2312" w:hAnsi="仿宋_GB2312" w:eastAsia="仿宋_GB2312" w:cs="仿宋_GB2312"/>
          <w:sz w:val="32"/>
          <w:szCs w:val="32"/>
          <w:highlight w:val="none"/>
        </w:rPr>
        <w:t>比选人将对比选文件进行必要的</w:t>
      </w:r>
      <w:r>
        <w:rPr>
          <w:rFonts w:hint="eastAsia" w:ascii="仿宋_GB2312" w:hAnsi="仿宋_GB2312" w:eastAsia="仿宋_GB2312" w:cs="仿宋_GB2312"/>
          <w:kern w:val="44"/>
          <w:sz w:val="32"/>
          <w:szCs w:val="32"/>
          <w:highlight w:val="none"/>
        </w:rPr>
        <w:t>澄清或修改</w:t>
      </w:r>
      <w:r>
        <w:rPr>
          <w:rFonts w:hint="eastAsia" w:ascii="仿宋_GB2312" w:hAnsi="仿宋_GB2312" w:eastAsia="仿宋_GB2312" w:cs="仿宋_GB2312"/>
          <w:sz w:val="32"/>
          <w:szCs w:val="32"/>
          <w:highlight w:val="none"/>
        </w:rPr>
        <w:t>。</w:t>
      </w:r>
    </w:p>
    <w:p>
      <w:pPr>
        <w:adjustRightInd w:val="0"/>
        <w:snapToGrid w:val="0"/>
        <w:spacing w:line="560" w:lineRule="exact"/>
        <w:ind w:left="420"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w:t>
      </w:r>
      <w:r>
        <w:rPr>
          <w:rFonts w:hint="eastAsia" w:ascii="仿宋_GB2312" w:hAnsi="仿宋_GB2312" w:eastAsia="仿宋_GB2312" w:cs="仿宋_GB2312"/>
          <w:sz w:val="32"/>
          <w:szCs w:val="32"/>
          <w:highlight w:val="none"/>
          <w:lang w:val="en-US" w:eastAsia="zh-CN"/>
        </w:rPr>
        <w:t>重庆九洲智造科技有限公司综合运营部</w:t>
      </w:r>
    </w:p>
    <w:p>
      <w:pPr>
        <w:adjustRightInd w:val="0"/>
        <w:snapToGrid w:val="0"/>
        <w:spacing w:line="560" w:lineRule="exact"/>
        <w:ind w:left="420" w:firstLine="42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    址：</w:t>
      </w:r>
      <w:r>
        <w:rPr>
          <w:rFonts w:hint="eastAsia" w:ascii="仿宋_GB2312" w:hAnsi="仿宋_GB2312" w:eastAsia="仿宋_GB2312" w:cs="仿宋_GB2312"/>
          <w:sz w:val="32"/>
          <w:szCs w:val="32"/>
          <w:highlight w:val="none"/>
          <w:lang w:val="en-US" w:eastAsia="zh-CN"/>
        </w:rPr>
        <w:t>重庆市渝北区观月大道观月小区23栋8楼</w:t>
      </w:r>
    </w:p>
    <w:p>
      <w:pPr>
        <w:adjustRightInd w:val="0"/>
        <w:snapToGrid w:val="0"/>
        <w:spacing w:line="560" w:lineRule="exact"/>
        <w:ind w:left="420" w:firstLine="42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 系 人：</w:t>
      </w:r>
      <w:r>
        <w:rPr>
          <w:rFonts w:hint="eastAsia" w:ascii="仿宋_GB2312" w:hAnsi="仿宋_GB2312" w:eastAsia="仿宋_GB2312" w:cs="仿宋_GB2312"/>
          <w:sz w:val="32"/>
          <w:szCs w:val="32"/>
          <w:highlight w:val="none"/>
          <w:lang w:val="en-US" w:eastAsia="zh-CN"/>
        </w:rPr>
        <w:t>王影</w:t>
      </w:r>
    </w:p>
    <w:p>
      <w:pPr>
        <w:adjustRightInd w:val="0"/>
        <w:snapToGrid w:val="0"/>
        <w:spacing w:line="560" w:lineRule="exact"/>
        <w:ind w:left="420"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    话：</w:t>
      </w:r>
      <w:r>
        <w:rPr>
          <w:rFonts w:hint="eastAsia" w:ascii="仿宋_GB2312" w:hAnsi="仿宋_GB2312" w:eastAsia="仿宋_GB2312" w:cs="仿宋_GB2312"/>
          <w:b w:val="0"/>
          <w:bCs/>
          <w:color w:val="auto"/>
          <w:sz w:val="32"/>
          <w:szCs w:val="32"/>
          <w:highlight w:val="none"/>
          <w:lang w:val="en-US" w:eastAsia="zh-CN"/>
        </w:rPr>
        <w:t>15683887662</w:t>
      </w:r>
    </w:p>
    <w:p>
      <w:pPr>
        <w:adjustRightInd w:val="0"/>
        <w:snapToGrid w:val="0"/>
        <w:spacing w:line="560" w:lineRule="exact"/>
        <w:ind w:left="420" w:firstLine="42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邮    编：</w:t>
      </w:r>
      <w:r>
        <w:rPr>
          <w:rFonts w:hint="eastAsia" w:ascii="仿宋_GB2312" w:hAnsi="仿宋_GB2312" w:eastAsia="仿宋_GB2312" w:cs="仿宋_GB2312"/>
          <w:sz w:val="32"/>
          <w:szCs w:val="32"/>
          <w:highlight w:val="none"/>
          <w:lang w:val="en-US" w:eastAsia="zh-CN"/>
        </w:rPr>
        <w:t>401126</w:t>
      </w:r>
    </w:p>
    <w:p>
      <w:pPr>
        <w:adjustRightInd w:val="0"/>
        <w:snapToGrid w:val="0"/>
        <w:spacing w:line="560" w:lineRule="exact"/>
        <w:ind w:left="420"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    箱：</w:t>
      </w:r>
      <w:r>
        <w:rPr>
          <w:rFonts w:hint="eastAsia" w:ascii="仿宋_GB2312" w:hAnsi="仿宋_GB2312" w:eastAsia="仿宋_GB2312" w:cs="仿宋_GB2312"/>
          <w:b w:val="0"/>
          <w:bCs w:val="0"/>
          <w:snapToGrid/>
          <w:color w:val="auto"/>
          <w:kern w:val="2"/>
          <w:sz w:val="32"/>
          <w:szCs w:val="32"/>
          <w:highlight w:val="none"/>
          <w:lang w:val="en-US" w:eastAsia="zh-CN"/>
        </w:rPr>
        <w:t>wangying@jezetek.cc</w:t>
      </w:r>
      <w:r>
        <w:rPr>
          <w:rFonts w:hint="eastAsia" w:ascii="仿宋_GB2312" w:hAnsi="仿宋_GB2312" w:eastAsia="仿宋_GB2312" w:cs="仿宋_GB2312"/>
          <w:sz w:val="32"/>
          <w:szCs w:val="32"/>
          <w:highlight w:val="none"/>
        </w:rPr>
        <w:t> </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7.2 比选文件的澄清或修改将以书面形式发送给所有参选人，比选文件的修改内容作为比选文件的组成部分。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7.3 比选文件的澄清、修改、补充等内容均以书面形式明确的内容为准，当比选文件与比选文件的澄清、修改、补充等在同一内容的表述上不一致时，以最后发出的书面文件为准。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7.4 为使参选人在编制参选文件时有充分的时间对比选文件的澄清、修改内容进行研究，比选人将酌情延长提交参选文件的截止时间，具体时间将在比选文件的修改、补充通知中予以明确。</w:t>
      </w:r>
    </w:p>
    <w:p>
      <w:pPr>
        <w:spacing w:before="156" w:beforeLines="50"/>
        <w:jc w:val="center"/>
        <w:rPr>
          <w:rFonts w:hint="eastAsia" w:ascii="仿宋_GB2312" w:hAnsi="仿宋_GB2312" w:eastAsia="仿宋_GB2312" w:cs="仿宋_GB2312"/>
          <w:b/>
          <w:bCs/>
          <w:kern w:val="44"/>
          <w:sz w:val="36"/>
          <w:szCs w:val="36"/>
          <w:highlight w:val="none"/>
        </w:rPr>
      </w:pPr>
      <w:bookmarkStart w:id="50" w:name="_Toc319145206"/>
      <w:bookmarkStart w:id="51" w:name="_Toc524975676"/>
      <w:bookmarkStart w:id="52" w:name="_Toc524975722"/>
      <w:r>
        <w:rPr>
          <w:rFonts w:hint="eastAsia" w:ascii="仿宋_GB2312" w:hAnsi="仿宋_GB2312" w:eastAsia="仿宋_GB2312" w:cs="仿宋_GB2312"/>
          <w:b/>
          <w:bCs/>
          <w:kern w:val="44"/>
          <w:sz w:val="36"/>
          <w:szCs w:val="36"/>
          <w:highlight w:val="none"/>
        </w:rPr>
        <w:t>第三节  参选文件</w:t>
      </w:r>
    </w:p>
    <w:bookmarkEnd w:id="50"/>
    <w:bookmarkEnd w:id="51"/>
    <w:bookmarkEnd w:id="52"/>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bookmarkStart w:id="53" w:name="_Toc157235904"/>
      <w:bookmarkStart w:id="54" w:name="_Toc170621205"/>
      <w:bookmarkStart w:id="55" w:name="_Toc524975677"/>
      <w:bookmarkStart w:id="56" w:name="_Toc319145207"/>
      <w:bookmarkStart w:id="57" w:name="_Toc187120143"/>
      <w:bookmarkStart w:id="58" w:name="_Toc170621337"/>
      <w:bookmarkStart w:id="59" w:name="_Toc524975723"/>
      <w:r>
        <w:rPr>
          <w:rFonts w:hint="eastAsia" w:ascii="仿宋_GB2312" w:hAnsi="仿宋_GB2312" w:eastAsia="仿宋_GB2312" w:cs="仿宋_GB2312"/>
          <w:kern w:val="44"/>
          <w:highlight w:val="none"/>
        </w:rPr>
        <w:t>8.参选文件编制</w:t>
      </w:r>
      <w:bookmarkEnd w:id="53"/>
      <w:bookmarkEnd w:id="54"/>
      <w:bookmarkEnd w:id="55"/>
      <w:bookmarkEnd w:id="56"/>
      <w:bookmarkEnd w:id="57"/>
      <w:bookmarkEnd w:id="58"/>
      <w:bookmarkEnd w:id="59"/>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 参选人的参选文件应用中文编制。</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8.2 参选人应根据本比选文件的规定提交参选文件，参选文件应至少包括第四章“参选文件格式”的各项内容，并提供相应的证明文件。</w:t>
      </w:r>
    </w:p>
    <w:p>
      <w:pPr>
        <w:tabs>
          <w:tab w:val="left" w:pos="144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8.3 参选文件应用不褪色的墨水书写或打印，由参选人的法定代表人或委托代理人签字，</w:t>
      </w:r>
      <w:r>
        <w:rPr>
          <w:rFonts w:hint="eastAsia" w:ascii="仿宋_GB2312" w:hAnsi="仿宋_GB2312" w:eastAsia="仿宋_GB2312" w:cs="仿宋_GB2312"/>
          <w:b/>
          <w:bCs/>
          <w:sz w:val="32"/>
          <w:szCs w:val="32"/>
          <w:highlight w:val="none"/>
        </w:rPr>
        <w:t>参选文件每页加盖单位鲜章，整套参选文件应加盖骑缝章。</w:t>
      </w:r>
    </w:p>
    <w:p>
      <w:pPr>
        <w:tabs>
          <w:tab w:val="left" w:pos="144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比选文件第四章“参选文件格式”中要求参选人“法定代表人或委托代理人”签字的，如法定代表人亲自参选而不委托代理人参选的，由法定代表人签字；如法定代表人授权委托代理人参选，由委托代理人签字，所有要求签字的地方由本人亲笔手写签字。</w:t>
      </w:r>
    </w:p>
    <w:p>
      <w:pPr>
        <w:tabs>
          <w:tab w:val="left" w:pos="1440"/>
        </w:tab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8.4 参选文件统一使用A4幅面纸印制，书写清楚工整，行间无涂改、插字和增删，并逐页编码。</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8.5 参选文件要求按规定格式和内容填报，其中</w:t>
      </w:r>
      <w:r>
        <w:rPr>
          <w:rFonts w:hint="eastAsia" w:ascii="仿宋_GB2312" w:hAnsi="仿宋_GB2312" w:eastAsia="仿宋_GB2312" w:cs="仿宋_GB2312"/>
          <w:b/>
          <w:bCs/>
          <w:sz w:val="32"/>
          <w:szCs w:val="32"/>
          <w:highlight w:val="none"/>
          <w:u w:val="single"/>
        </w:rPr>
        <w:t>正本1份，副本</w:t>
      </w:r>
      <w:r>
        <w:rPr>
          <w:rFonts w:hint="eastAsia" w:ascii="仿宋_GB2312" w:hAnsi="仿宋_GB2312" w:eastAsia="仿宋_GB2312" w:cs="仿宋_GB2312"/>
          <w:b/>
          <w:bCs/>
          <w:sz w:val="32"/>
          <w:szCs w:val="32"/>
          <w:highlight w:val="none"/>
          <w:u w:val="single"/>
          <w:lang w:val="en-US" w:eastAsia="zh-CN"/>
        </w:rPr>
        <w:t>5</w:t>
      </w:r>
      <w:r>
        <w:rPr>
          <w:rFonts w:hint="eastAsia" w:ascii="仿宋_GB2312" w:hAnsi="仿宋_GB2312" w:eastAsia="仿宋_GB2312" w:cs="仿宋_GB2312"/>
          <w:b/>
          <w:bCs/>
          <w:sz w:val="32"/>
          <w:szCs w:val="32"/>
          <w:highlight w:val="none"/>
          <w:u w:val="single"/>
        </w:rPr>
        <w:t>份，电子版本1份（包含正本纸质文件的全部内容，以U盘形式密封提交）</w:t>
      </w:r>
      <w:r>
        <w:rPr>
          <w:rFonts w:hint="eastAsia" w:ascii="仿宋_GB2312" w:hAnsi="仿宋_GB2312" w:eastAsia="仿宋_GB2312" w:cs="仿宋_GB2312"/>
          <w:sz w:val="32"/>
          <w:szCs w:val="32"/>
          <w:highlight w:val="none"/>
        </w:rPr>
        <w:t>，当正副本不一致时，以正本为准。</w:t>
      </w:r>
    </w:p>
    <w:p>
      <w:pPr>
        <w:pStyle w:val="4"/>
        <w:adjustRightInd w:val="0"/>
        <w:snapToGrid w:val="0"/>
        <w:spacing w:before="0" w:after="0" w:line="560" w:lineRule="exact"/>
        <w:ind w:firstLine="643"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kern w:val="44"/>
          <w:highlight w:val="none"/>
        </w:rPr>
        <w:t>9.比选报价</w:t>
      </w:r>
    </w:p>
    <w:p>
      <w:pPr>
        <w:pStyle w:val="1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 xml:space="preserve"> 参选人应按第四章“参选文件格式”的要求填写。</w:t>
      </w:r>
    </w:p>
    <w:p>
      <w:pPr>
        <w:pStyle w:val="1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除本比选文件中另有规定外，计量单位为我国法定计量单位。</w:t>
      </w:r>
    </w:p>
    <w:p>
      <w:pPr>
        <w:pStyle w:val="1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参选报价使用人民币结算。</w:t>
      </w:r>
    </w:p>
    <w:p>
      <w:pPr>
        <w:pStyle w:val="1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 参选报价为人民币含税包干价，报价包含为实施和完成项目所产生的咨询、服务、差旅、劳务、管理、保险、利润、税金等所有从工作开始至结束的全部相关费用。</w:t>
      </w:r>
    </w:p>
    <w:p>
      <w:pPr>
        <w:pStyle w:val="10"/>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9.5为保证本项目物业服务质量，本物业服务项目各岗位人员基本工资不得低于重庆市最低工资标准。（重庆市最低月工资标准为2100元）</w:t>
      </w:r>
    </w:p>
    <w:p>
      <w:pPr>
        <w:adjustRightInd w:val="0"/>
        <w:snapToGrid w:val="0"/>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10.参选文件密封和标注</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参选文件应密封完好，封口处应加盖单位公章，以PDF文档（盖章版）形式递交的需加密。未按要求进行密封或加密的参选文件，比选人将否决其参选。</w:t>
      </w:r>
    </w:p>
    <w:p>
      <w:pPr>
        <w:adjustRightInd w:val="0"/>
        <w:snapToGrid w:val="0"/>
        <w:spacing w:line="560" w:lineRule="exact"/>
        <w:ind w:firstLine="643" w:firstLineChars="200"/>
        <w:rPr>
          <w:rFonts w:hint="eastAsia" w:ascii="仿宋_GB2312" w:hAnsi="仿宋_GB2312" w:eastAsia="仿宋_GB2312" w:cs="仿宋_GB2312"/>
          <w:kern w:val="44"/>
          <w:sz w:val="32"/>
          <w:szCs w:val="32"/>
          <w:highlight w:val="none"/>
        </w:rPr>
      </w:pPr>
      <w:bookmarkStart w:id="60" w:name="_Toc524975724"/>
      <w:bookmarkStart w:id="61" w:name="_Toc524975678"/>
      <w:bookmarkStart w:id="62" w:name="_Toc319145208"/>
      <w:r>
        <w:rPr>
          <w:rFonts w:hint="eastAsia" w:ascii="仿宋_GB2312" w:hAnsi="仿宋_GB2312" w:eastAsia="仿宋_GB2312" w:cs="仿宋_GB2312"/>
          <w:b/>
          <w:bCs/>
          <w:kern w:val="44"/>
          <w:sz w:val="32"/>
          <w:szCs w:val="32"/>
          <w:highlight w:val="none"/>
        </w:rPr>
        <w:t>11.参选文件的递交</w:t>
      </w:r>
      <w:bookmarkEnd w:id="60"/>
      <w:bookmarkEnd w:id="61"/>
      <w:bookmarkEnd w:id="62"/>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参选文件应该在规定的地点和截止时间前提交，逾期送达</w:t>
      </w:r>
      <w:r>
        <w:rPr>
          <w:rFonts w:hint="eastAsia" w:ascii="仿宋_GB2312" w:hAnsi="仿宋_GB2312" w:eastAsia="仿宋_GB2312" w:cs="仿宋_GB2312"/>
          <w:bCs/>
          <w:kern w:val="44"/>
          <w:sz w:val="32"/>
          <w:szCs w:val="32"/>
          <w:highlight w:val="none"/>
        </w:rPr>
        <w:t>或者未送达指定地点</w:t>
      </w:r>
      <w:r>
        <w:rPr>
          <w:rFonts w:hint="eastAsia" w:ascii="仿宋_GB2312" w:hAnsi="仿宋_GB2312" w:eastAsia="仿宋_GB2312" w:cs="仿宋_GB2312"/>
          <w:sz w:val="32"/>
          <w:szCs w:val="32"/>
          <w:highlight w:val="none"/>
        </w:rPr>
        <w:t>的参选文件将被拒收。</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bookmarkStart w:id="63" w:name="_Toc524975679"/>
      <w:bookmarkStart w:id="64" w:name="_Toc524975725"/>
      <w:r>
        <w:rPr>
          <w:rFonts w:hint="eastAsia" w:ascii="仿宋_GB2312" w:hAnsi="仿宋_GB2312" w:eastAsia="仿宋_GB2312" w:cs="仿宋_GB2312"/>
          <w:kern w:val="44"/>
          <w:highlight w:val="none"/>
        </w:rPr>
        <w:t>12.参选文件的修改与撤回</w:t>
      </w:r>
      <w:bookmarkEnd w:id="63"/>
      <w:bookmarkEnd w:id="64"/>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12.1 参选人递交参选文件以后，可以在规定的比选截止时间之前，以书面形式向比选人递交修改或撤回其参选文件的通知，参选人的修改的内容应经法定代表人或委托代理人签字，并加盖参选人单位公章。</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12.2 修改的内容，应按照本比选文件要求签字盖章、密封，并在密封袋上标注“修改”字样。修改的内容作为参选文件的组成部分。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12.3 比选截止时间以后，参选人不得撤回参选文件。</w:t>
      </w:r>
    </w:p>
    <w:p>
      <w:pPr>
        <w:adjustRightInd w:val="0"/>
        <w:snapToGrid w:val="0"/>
        <w:spacing w:line="56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13.参选文件的澄清</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在对参选文件进行评选时，评选小组可以要求参选人澄清其参选文件。评选小组的澄清要求和参选人的答复均应采用书面形式，经澄清的问题需由参选人盖章确认后作为参选文件的组成部分。</w:t>
      </w:r>
    </w:p>
    <w:p>
      <w:pPr>
        <w:pStyle w:val="4"/>
        <w:adjustRightInd w:val="0"/>
        <w:snapToGrid w:val="0"/>
        <w:spacing w:before="0" w:after="0" w:line="560" w:lineRule="exact"/>
        <w:ind w:firstLine="643" w:firstLineChars="200"/>
        <w:rPr>
          <w:rFonts w:hint="eastAsia" w:ascii="仿宋_GB2312" w:hAnsi="仿宋_GB2312" w:eastAsia="仿宋_GB2312" w:cs="仿宋_GB2312"/>
          <w:highlight w:val="none"/>
        </w:rPr>
      </w:pPr>
      <w:bookmarkStart w:id="65" w:name="_Toc183682361"/>
      <w:bookmarkStart w:id="66" w:name="_Toc308164801"/>
      <w:bookmarkStart w:id="67" w:name="_Toc217446051"/>
      <w:bookmarkStart w:id="68" w:name="_Toc183582224"/>
      <w:r>
        <w:rPr>
          <w:rFonts w:hint="eastAsia" w:ascii="仿宋_GB2312" w:hAnsi="仿宋_GB2312" w:eastAsia="仿宋_GB2312" w:cs="仿宋_GB2312"/>
          <w:kern w:val="44"/>
          <w:highlight w:val="none"/>
        </w:rPr>
        <w:t>14.</w:t>
      </w:r>
      <w:r>
        <w:rPr>
          <w:rFonts w:hint="eastAsia" w:ascii="仿宋_GB2312" w:hAnsi="仿宋_GB2312" w:eastAsia="仿宋_GB2312" w:cs="仿宋_GB2312"/>
          <w:highlight w:val="none"/>
        </w:rPr>
        <w:t>参选有效期</w:t>
      </w:r>
      <w:bookmarkEnd w:id="65"/>
      <w:bookmarkEnd w:id="66"/>
      <w:bookmarkEnd w:id="67"/>
      <w:bookmarkEnd w:id="68"/>
      <w:r>
        <w:rPr>
          <w:rFonts w:hint="eastAsia" w:ascii="仿宋_GB2312" w:hAnsi="仿宋_GB2312" w:eastAsia="仿宋_GB2312" w:cs="仿宋_GB2312"/>
          <w:highlight w:val="none"/>
        </w:rPr>
        <w:t xml:space="preserve"> </w:t>
      </w:r>
    </w:p>
    <w:p>
      <w:pPr>
        <w:tabs>
          <w:tab w:val="left" w:pos="7665"/>
        </w:tabs>
        <w:adjustRightInd w:val="0"/>
        <w:snapToGrid w:val="0"/>
        <w:spacing w:line="560" w:lineRule="exact"/>
        <w:ind w:firstLine="640" w:firstLineChars="200"/>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sz w:val="32"/>
          <w:szCs w:val="32"/>
          <w:highlight w:val="none"/>
        </w:rPr>
        <w:t>本项目参选有效期为参选截止时间届满后</w:t>
      </w:r>
      <w:r>
        <w:rPr>
          <w:rFonts w:hint="eastAsia" w:ascii="仿宋_GB2312" w:hAnsi="仿宋_GB2312" w:eastAsia="仿宋_GB2312" w:cs="仿宋_GB2312"/>
          <w:sz w:val="32"/>
          <w:szCs w:val="32"/>
          <w:highlight w:val="none"/>
          <w:u w:val="single"/>
        </w:rPr>
        <w:t>180</w:t>
      </w:r>
      <w:r>
        <w:rPr>
          <w:rFonts w:hint="eastAsia" w:ascii="仿宋_GB2312" w:hAnsi="仿宋_GB2312" w:eastAsia="仿宋_GB2312" w:cs="仿宋_GB2312"/>
          <w:sz w:val="32"/>
          <w:szCs w:val="32"/>
          <w:highlight w:val="none"/>
        </w:rPr>
        <w:t>天。参选人参选文件中必须载明参选有效期，参选文件中载明的参选有效期可以长于比选文件规定的期限，但不得短于比选文件规定的期限。否则，其参选文件将作为无效参选处理。</w:t>
      </w:r>
    </w:p>
    <w:p>
      <w:pPr>
        <w:pStyle w:val="4"/>
        <w:adjustRightInd w:val="0"/>
        <w:snapToGrid w:val="0"/>
        <w:spacing w:before="0" w:after="0" w:line="560" w:lineRule="exact"/>
        <w:jc w:val="center"/>
        <w:rPr>
          <w:rFonts w:ascii="仿宋_GB2312" w:hAnsi="仿宋_GB2312" w:eastAsia="仿宋_GB2312" w:cs="仿宋_GB2312"/>
          <w:kern w:val="44"/>
          <w:highlight w:val="none"/>
        </w:rPr>
      </w:pPr>
      <w:r>
        <w:rPr>
          <w:rFonts w:hint="eastAsia" w:ascii="仿宋_GB2312" w:hAnsi="仿宋_GB2312" w:eastAsia="仿宋_GB2312" w:cs="仿宋_GB2312"/>
          <w:kern w:val="44"/>
          <w:sz w:val="36"/>
          <w:szCs w:val="36"/>
          <w:highlight w:val="none"/>
        </w:rPr>
        <w:t>第四节  评选</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15.评选要求</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15.1 评选：按本文件中规定的时间和地点评选。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15.2 评选工作由比选人组建的评选小组按照“评选方法”进行评选，评选活动遵循公平、公正、科学和择优的原则。</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bookmarkStart w:id="69" w:name="_Toc524975681"/>
      <w:bookmarkStart w:id="70" w:name="_Toc524975727"/>
      <w:r>
        <w:rPr>
          <w:rFonts w:hint="eastAsia" w:ascii="仿宋_GB2312" w:hAnsi="仿宋_GB2312" w:eastAsia="仿宋_GB2312" w:cs="仿宋_GB2312"/>
          <w:sz w:val="32"/>
          <w:szCs w:val="32"/>
          <w:highlight w:val="none"/>
        </w:rPr>
        <w:t>15.3 评选方法：在</w:t>
      </w:r>
      <w:r>
        <w:rPr>
          <w:rFonts w:hint="eastAsia" w:ascii="仿宋_GB2312" w:hAnsi="仿宋_GB2312" w:eastAsia="仿宋_GB2312" w:cs="仿宋_GB2312"/>
          <w:sz w:val="32"/>
          <w:szCs w:val="32"/>
          <w:highlight w:val="none"/>
          <w:lang w:val="en-US" w:eastAsia="zh-CN"/>
        </w:rPr>
        <w:t>满足服务要求</w:t>
      </w:r>
      <w:r>
        <w:rPr>
          <w:rFonts w:hint="eastAsia" w:ascii="仿宋_GB2312" w:hAnsi="仿宋_GB2312" w:eastAsia="仿宋_GB2312" w:cs="仿宋_GB2312"/>
          <w:sz w:val="32"/>
          <w:szCs w:val="32"/>
          <w:highlight w:val="none"/>
        </w:rPr>
        <w:t>的前提下，综合评分最高中选（1家中选）。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15.4 在参选文件的评选以及签署合同的过程中，参选人向比选人和评选小组施加影响的任何行为，都将会导致比选人否决其参选或被取消中选资格。</w:t>
      </w:r>
    </w:p>
    <w:p>
      <w:pPr>
        <w:pStyle w:val="3"/>
        <w:adjustRightInd w:val="0"/>
        <w:snapToGrid w:val="0"/>
        <w:spacing w:before="0" w:after="0" w:line="560" w:lineRule="exact"/>
        <w:ind w:firstLine="643" w:firstLineChars="200"/>
        <w:rPr>
          <w:rFonts w:hint="eastAsia" w:ascii="仿宋_GB2312" w:hAnsi="仿宋_GB2312" w:eastAsia="仿宋_GB2312" w:cs="仿宋_GB2312"/>
          <w:bCs w:val="0"/>
          <w:highlight w:val="none"/>
          <w:lang w:val="zh-CN"/>
        </w:rPr>
      </w:pPr>
      <w:r>
        <w:rPr>
          <w:rFonts w:hint="eastAsia" w:ascii="仿宋_GB2312" w:hAnsi="仿宋_GB2312" w:eastAsia="仿宋_GB2312" w:cs="仿宋_GB2312"/>
          <w:bCs w:val="0"/>
          <w:highlight w:val="none"/>
        </w:rPr>
        <w:t>16.</w:t>
      </w:r>
      <w:r>
        <w:rPr>
          <w:rFonts w:hint="eastAsia" w:ascii="仿宋_GB2312" w:hAnsi="仿宋_GB2312" w:eastAsia="仿宋_GB2312" w:cs="仿宋_GB2312"/>
          <w:bCs w:val="0"/>
          <w:highlight w:val="none"/>
          <w:lang w:val="zh-CN"/>
        </w:rPr>
        <w:t>评选程序</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16.1 本评选程序分为初步评选、详细评选、确定中选人。</w:t>
      </w:r>
    </w:p>
    <w:p>
      <w:pPr>
        <w:adjustRightInd w:val="0"/>
        <w:snapToGrid w:val="0"/>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16.2 初步评选</w:t>
      </w:r>
    </w:p>
    <w:p>
      <w:pPr>
        <w:adjustRightInd w:val="0"/>
        <w:snapToGrid w:val="0"/>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评审小组按照比选文件要求对参选文件进行初步评选。</w:t>
      </w:r>
      <w:r>
        <w:rPr>
          <w:rFonts w:hint="eastAsia" w:ascii="仿宋_GB2312" w:hAnsi="仿宋_GB2312" w:eastAsia="仿宋_GB2312" w:cs="仿宋_GB2312"/>
          <w:bCs/>
          <w:sz w:val="32"/>
          <w:szCs w:val="32"/>
          <w:highlight w:val="none"/>
        </w:rPr>
        <w:t>经初步评选，</w:t>
      </w:r>
      <w:r>
        <w:rPr>
          <w:rFonts w:hint="eastAsia" w:ascii="仿宋_GB2312" w:hAnsi="仿宋_GB2312" w:eastAsia="仿宋_GB2312" w:cs="仿宋_GB2312"/>
          <w:sz w:val="32"/>
          <w:szCs w:val="32"/>
          <w:highlight w:val="none"/>
        </w:rPr>
        <w:t>参选人或参选文件存在下列情形之一的，比选人将否决其参选：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（1）不符合比选文件中规定资格要求的；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（2）参选文件未按照比选文件要求装订、密封或加密的；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（3）参选文件无法定代表人或委托代理人的签字，未加盖单位公章的；有委托代理人签字或盖章的，但法定代表人授权委托书原件未随参选文件一并提交的；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（4）参选文件未按规定的格式填写，内容不全或字迹模糊，无法辨认的；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（5）逾期送达或未送达指定地点的参选文件的；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（6）参选人提交两份以上不同内容的参选文件，或在一份参选文件中有两个或多个报价，且未声明哪一个为最终报价的（按比选文件规定提交备选参选</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案的除外）；</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（7）参选人报价超出比选人最高限价或低于成本价的；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（8）参选人未按规定交纳参选保证金的；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（9）未对比选文件做实质响应的；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（10）参选文件内容低于</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标准要求的；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（11）不按评选小组要求澄清的；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（12）参选人存在虚假陈述、弄虚作假、串通比选或其他违法行为的。</w:t>
      </w:r>
    </w:p>
    <w:p>
      <w:pPr>
        <w:adjustRightInd w:val="0"/>
        <w:snapToGrid w:val="0"/>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16.3 详细评选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16.3.1 参选文件经初步评选通过后，评选小组按本比选文件的规定进行详细评选。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16.3.2 参选文件出现计算或表达错误的，修正原则如下：</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（1）参选文件的大小写金额不一致的，以大写金额为准；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（2）总价金额与按单价汇总金额不一致的，以单价汇总金额计算结果为准；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（3）单价金额小数点有明显错位的，应以总价为准，并修改单价；</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（4）对不同文字文本参选文件的解释发生异议的，以中文文本为准；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（5）按上述修正原则及方法调整或修正参选报价，参选人同意后，调整后的参选报价对参选人起约束作用。如果参选人不接受修正后的报价，比选人将否决其参选。</w:t>
      </w:r>
    </w:p>
    <w:p>
      <w:pPr>
        <w:adjustRightInd w:val="0"/>
        <w:snapToGrid w:val="0"/>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16.3.3 评选规则：</w:t>
      </w:r>
    </w:p>
    <w:p>
      <w:pPr>
        <w:adjustRightInd w:val="0"/>
        <w:snapToGrid w:val="0"/>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（1）评选前准备附表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713"/>
        <w:gridCol w:w="2225"/>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jc w:val="center"/>
        </w:trPr>
        <w:tc>
          <w:tcPr>
            <w:tcW w:w="434" w:type="pct"/>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编号</w:t>
            </w:r>
          </w:p>
        </w:tc>
        <w:tc>
          <w:tcPr>
            <w:tcW w:w="860" w:type="pct"/>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分类</w:t>
            </w:r>
          </w:p>
        </w:tc>
        <w:tc>
          <w:tcPr>
            <w:tcW w:w="1117" w:type="pct"/>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评审因素</w:t>
            </w:r>
          </w:p>
        </w:tc>
        <w:tc>
          <w:tcPr>
            <w:tcW w:w="2587" w:type="pct"/>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434" w:type="pct"/>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860"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资格评审标准</w:t>
            </w:r>
          </w:p>
        </w:tc>
        <w:tc>
          <w:tcPr>
            <w:tcW w:w="111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资格条件</w:t>
            </w:r>
          </w:p>
        </w:tc>
        <w:tc>
          <w:tcPr>
            <w:tcW w:w="258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restart"/>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860" w:type="pct"/>
            <w:vMerge w:val="restar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符合性评审标准</w:t>
            </w:r>
          </w:p>
        </w:tc>
        <w:tc>
          <w:tcPr>
            <w:tcW w:w="111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参选人经营范围</w:t>
            </w:r>
          </w:p>
        </w:tc>
        <w:tc>
          <w:tcPr>
            <w:tcW w:w="258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4" w:type="pct"/>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c>
          <w:tcPr>
            <w:tcW w:w="860" w:type="pct"/>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c>
          <w:tcPr>
            <w:tcW w:w="111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参选文件签字盖章</w:t>
            </w:r>
          </w:p>
        </w:tc>
        <w:tc>
          <w:tcPr>
            <w:tcW w:w="258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法定代表人或其委托代理人签字、盖章完整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4" w:type="pct"/>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c>
          <w:tcPr>
            <w:tcW w:w="860" w:type="pct"/>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c>
          <w:tcPr>
            <w:tcW w:w="111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参选文件格式</w:t>
            </w:r>
          </w:p>
        </w:tc>
        <w:tc>
          <w:tcPr>
            <w:tcW w:w="258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34" w:type="pct"/>
            <w:vMerge w:val="continue"/>
            <w:noWrap w:val="0"/>
            <w:vAlign w:val="center"/>
          </w:tcPr>
          <w:p>
            <w:pPr>
              <w:spacing w:line="460" w:lineRule="exact"/>
              <w:rPr>
                <w:rFonts w:hint="eastAsia"/>
                <w:bCs/>
                <w:szCs w:val="21"/>
                <w:highlight w:val="none"/>
              </w:rPr>
            </w:pPr>
          </w:p>
        </w:tc>
        <w:tc>
          <w:tcPr>
            <w:tcW w:w="860" w:type="pct"/>
            <w:vMerge w:val="continue"/>
            <w:noWrap w:val="0"/>
            <w:vAlign w:val="center"/>
          </w:tcPr>
          <w:p>
            <w:pPr>
              <w:spacing w:line="460" w:lineRule="exact"/>
              <w:rPr>
                <w:rFonts w:hint="eastAsia"/>
                <w:bCs/>
                <w:szCs w:val="21"/>
                <w:highlight w:val="none"/>
              </w:rPr>
            </w:pPr>
          </w:p>
        </w:tc>
        <w:tc>
          <w:tcPr>
            <w:tcW w:w="111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参选报价</w:t>
            </w:r>
          </w:p>
        </w:tc>
        <w:tc>
          <w:tcPr>
            <w:tcW w:w="258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报价完整且只有一个有效报价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4" w:type="pct"/>
            <w:vMerge w:val="continue"/>
            <w:noWrap w:val="0"/>
            <w:vAlign w:val="center"/>
          </w:tcPr>
          <w:p>
            <w:pPr>
              <w:spacing w:line="460" w:lineRule="exact"/>
              <w:rPr>
                <w:rFonts w:hint="eastAsia"/>
                <w:bCs/>
                <w:szCs w:val="21"/>
                <w:highlight w:val="none"/>
              </w:rPr>
            </w:pPr>
          </w:p>
        </w:tc>
        <w:tc>
          <w:tcPr>
            <w:tcW w:w="860" w:type="pct"/>
            <w:vMerge w:val="continue"/>
            <w:noWrap w:val="0"/>
            <w:vAlign w:val="center"/>
          </w:tcPr>
          <w:p>
            <w:pPr>
              <w:spacing w:line="460" w:lineRule="exact"/>
              <w:rPr>
                <w:rFonts w:hint="eastAsia"/>
                <w:bCs/>
                <w:szCs w:val="21"/>
                <w:highlight w:val="none"/>
              </w:rPr>
            </w:pPr>
          </w:p>
        </w:tc>
        <w:tc>
          <w:tcPr>
            <w:tcW w:w="111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参选有效期</w:t>
            </w:r>
          </w:p>
        </w:tc>
        <w:tc>
          <w:tcPr>
            <w:tcW w:w="258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评选日后180日历天有效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34" w:type="pct"/>
            <w:vMerge w:val="continue"/>
            <w:noWrap w:val="0"/>
            <w:vAlign w:val="center"/>
          </w:tcPr>
          <w:p>
            <w:pPr>
              <w:spacing w:line="460" w:lineRule="exact"/>
              <w:rPr>
                <w:rFonts w:hint="eastAsia"/>
                <w:bCs/>
                <w:szCs w:val="21"/>
                <w:highlight w:val="none"/>
              </w:rPr>
            </w:pPr>
          </w:p>
        </w:tc>
        <w:tc>
          <w:tcPr>
            <w:tcW w:w="860" w:type="pct"/>
            <w:vMerge w:val="continue"/>
            <w:noWrap w:val="0"/>
            <w:vAlign w:val="center"/>
          </w:tcPr>
          <w:p>
            <w:pPr>
              <w:spacing w:line="460" w:lineRule="exact"/>
              <w:rPr>
                <w:rFonts w:hint="eastAsia"/>
                <w:bCs/>
                <w:szCs w:val="21"/>
                <w:highlight w:val="none"/>
              </w:rPr>
            </w:pPr>
          </w:p>
        </w:tc>
        <w:tc>
          <w:tcPr>
            <w:tcW w:w="111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参选保证金</w:t>
            </w:r>
          </w:p>
        </w:tc>
        <w:tc>
          <w:tcPr>
            <w:tcW w:w="2587" w:type="pc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已交纳</w:t>
            </w:r>
          </w:p>
        </w:tc>
      </w:tr>
    </w:tbl>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综合评分法：按照以下评分规则进行综合评分。</w:t>
      </w:r>
    </w:p>
    <w:tbl>
      <w:tblPr>
        <w:tblStyle w:val="16"/>
        <w:tblW w:w="4991" w:type="pct"/>
        <w:tblInd w:w="0" w:type="dxa"/>
        <w:tblLayout w:type="fixed"/>
        <w:tblCellMar>
          <w:top w:w="0" w:type="dxa"/>
          <w:left w:w="108" w:type="dxa"/>
          <w:bottom w:w="0" w:type="dxa"/>
          <w:right w:w="108" w:type="dxa"/>
        </w:tblCellMar>
      </w:tblPr>
      <w:tblGrid>
        <w:gridCol w:w="706"/>
        <w:gridCol w:w="1130"/>
        <w:gridCol w:w="1650"/>
        <w:gridCol w:w="5224"/>
        <w:gridCol w:w="1234"/>
      </w:tblGrid>
      <w:tr>
        <w:tblPrEx>
          <w:tblCellMar>
            <w:top w:w="0" w:type="dxa"/>
            <w:left w:w="108" w:type="dxa"/>
            <w:bottom w:w="0" w:type="dxa"/>
            <w:right w:w="108" w:type="dxa"/>
          </w:tblCellMar>
        </w:tblPrEx>
        <w:trPr>
          <w:trHeight w:val="500" w:hRule="atLeast"/>
        </w:trPr>
        <w:tc>
          <w:tcPr>
            <w:tcW w:w="35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4024"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评审内容</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分值</w:t>
            </w:r>
          </w:p>
        </w:tc>
      </w:tr>
      <w:tr>
        <w:tblPrEx>
          <w:tblCellMar>
            <w:top w:w="0" w:type="dxa"/>
            <w:left w:w="108" w:type="dxa"/>
            <w:bottom w:w="0" w:type="dxa"/>
            <w:right w:w="108" w:type="dxa"/>
          </w:tblCellMar>
        </w:tblPrEx>
        <w:trPr>
          <w:trHeight w:val="500" w:hRule="atLeast"/>
        </w:trPr>
        <w:tc>
          <w:tcPr>
            <w:tcW w:w="35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经济部分权重</w:t>
            </w:r>
            <w:r>
              <w:rPr>
                <w:rFonts w:hint="eastAsia" w:ascii="宋体" w:hAnsi="宋体" w:cs="宋体"/>
                <w:color w:val="000000"/>
                <w:kern w:val="0"/>
                <w:szCs w:val="21"/>
                <w:highlight w:val="none"/>
                <w:lang w:val="en-US" w:eastAsia="zh-CN" w:bidi="ar"/>
              </w:rPr>
              <w:t>（60分）</w:t>
            </w: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参选报价评分</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采用合理低价法计算，即以全部参选人</w:t>
            </w:r>
            <w:r>
              <w:rPr>
                <w:rFonts w:hint="eastAsia" w:ascii="宋体" w:hAnsi="宋体" w:eastAsia="宋体" w:cs="宋体"/>
                <w:color w:val="000000"/>
                <w:kern w:val="0"/>
                <w:szCs w:val="21"/>
                <w:highlight w:val="none"/>
                <w:lang w:bidi="ar"/>
              </w:rPr>
              <w:t>有效报价的算术平均</w:t>
            </w:r>
            <w:r>
              <w:rPr>
                <w:rFonts w:hint="eastAsia" w:ascii="宋体" w:hAnsi="宋体" w:eastAsia="宋体" w:cs="宋体"/>
                <w:color w:val="000000"/>
                <w:kern w:val="0"/>
                <w:szCs w:val="21"/>
                <w:highlight w:val="none"/>
                <w:lang w:val="en-US" w:eastAsia="zh-CN" w:bidi="ar"/>
              </w:rPr>
              <w:t>值</w:t>
            </w:r>
            <w:r>
              <w:rPr>
                <w:rFonts w:hint="eastAsia" w:ascii="宋体" w:hAnsi="宋体" w:eastAsia="宋体" w:cs="宋体"/>
                <w:color w:val="000000"/>
                <w:kern w:val="0"/>
                <w:szCs w:val="21"/>
                <w:highlight w:val="none"/>
                <w:lang w:bidi="ar"/>
              </w:rPr>
              <w:t>为评</w:t>
            </w:r>
            <w:r>
              <w:rPr>
                <w:rFonts w:hint="eastAsia" w:ascii="宋体" w:hAnsi="宋体" w:cs="宋体"/>
                <w:color w:val="000000"/>
                <w:kern w:val="0"/>
                <w:szCs w:val="21"/>
                <w:highlight w:val="none"/>
                <w:lang w:val="en-US" w:eastAsia="zh-CN" w:bidi="ar"/>
              </w:rPr>
              <w:t>选</w:t>
            </w:r>
            <w:r>
              <w:rPr>
                <w:rFonts w:hint="eastAsia" w:ascii="宋体" w:hAnsi="宋体" w:eastAsia="宋体" w:cs="宋体"/>
                <w:color w:val="000000"/>
                <w:kern w:val="0"/>
                <w:szCs w:val="21"/>
                <w:highlight w:val="none"/>
                <w:lang w:bidi="ar"/>
              </w:rPr>
              <w:t>基准价，按照下列公式计算每个</w:t>
            </w:r>
            <w:r>
              <w:rPr>
                <w:rFonts w:hint="eastAsia" w:ascii="宋体" w:hAnsi="宋体" w:eastAsia="宋体" w:cs="宋体"/>
                <w:color w:val="000000"/>
                <w:kern w:val="0"/>
                <w:szCs w:val="21"/>
                <w:highlight w:val="none"/>
                <w:lang w:val="en-US" w:eastAsia="zh-CN" w:bidi="ar"/>
              </w:rPr>
              <w:t>参选</w:t>
            </w:r>
            <w:r>
              <w:rPr>
                <w:rFonts w:hint="eastAsia" w:ascii="宋体" w:hAnsi="宋体" w:eastAsia="宋体" w:cs="宋体"/>
                <w:color w:val="000000"/>
                <w:kern w:val="0"/>
                <w:szCs w:val="21"/>
                <w:highlight w:val="none"/>
                <w:lang w:bidi="ar"/>
              </w:rPr>
              <w:t>人的</w:t>
            </w:r>
            <w:r>
              <w:rPr>
                <w:rFonts w:hint="eastAsia" w:ascii="宋体" w:hAnsi="宋体" w:eastAsia="宋体" w:cs="宋体"/>
                <w:color w:val="000000"/>
                <w:kern w:val="0"/>
                <w:szCs w:val="21"/>
                <w:highlight w:val="none"/>
                <w:lang w:val="en-US" w:eastAsia="zh-CN" w:bidi="ar"/>
              </w:rPr>
              <w:t>参选报价</w:t>
            </w:r>
            <w:r>
              <w:rPr>
                <w:rFonts w:hint="eastAsia" w:ascii="宋体" w:hAnsi="宋体" w:eastAsia="宋体" w:cs="宋体"/>
                <w:color w:val="000000"/>
                <w:kern w:val="0"/>
                <w:szCs w:val="21"/>
                <w:highlight w:val="none"/>
                <w:lang w:bidi="ar"/>
              </w:rPr>
              <w:t>得分。</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1.评</w:t>
            </w:r>
            <w:r>
              <w:rPr>
                <w:rFonts w:hint="eastAsia" w:ascii="宋体" w:hAnsi="宋体" w:cs="宋体"/>
                <w:color w:val="000000"/>
                <w:kern w:val="0"/>
                <w:szCs w:val="21"/>
                <w:highlight w:val="none"/>
                <w:lang w:val="en-US" w:eastAsia="zh-CN" w:bidi="ar"/>
              </w:rPr>
              <w:t>选</w:t>
            </w:r>
            <w:r>
              <w:rPr>
                <w:rFonts w:hint="eastAsia" w:ascii="宋体" w:hAnsi="宋体" w:eastAsia="宋体" w:cs="宋体"/>
                <w:color w:val="000000"/>
                <w:kern w:val="0"/>
                <w:szCs w:val="21"/>
                <w:highlight w:val="none"/>
                <w:lang w:bidi="ar"/>
              </w:rPr>
              <w:t>基准价计算方法:</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有效的</w:t>
            </w:r>
            <w:r>
              <w:rPr>
                <w:rFonts w:hint="eastAsia" w:ascii="宋体" w:hAnsi="宋体" w:cs="宋体"/>
                <w:color w:val="000000"/>
                <w:kern w:val="0"/>
                <w:szCs w:val="21"/>
                <w:highlight w:val="none"/>
                <w:lang w:val="en-US" w:eastAsia="zh-CN" w:bidi="ar"/>
              </w:rPr>
              <w:t>参</w:t>
            </w:r>
            <w:r>
              <w:rPr>
                <w:rFonts w:hint="eastAsia" w:ascii="宋体" w:hAnsi="宋体" w:eastAsia="宋体" w:cs="宋体"/>
                <w:color w:val="000000"/>
                <w:kern w:val="0"/>
                <w:szCs w:val="21"/>
                <w:highlight w:val="none"/>
                <w:lang w:bidi="ar"/>
              </w:rPr>
              <w:t>选报价中的算术平均价为评</w:t>
            </w:r>
            <w:r>
              <w:rPr>
                <w:rFonts w:hint="eastAsia" w:ascii="宋体" w:hAnsi="宋体" w:cs="宋体"/>
                <w:color w:val="000000"/>
                <w:kern w:val="0"/>
                <w:szCs w:val="21"/>
                <w:highlight w:val="none"/>
                <w:lang w:val="en-US" w:eastAsia="zh-CN" w:bidi="ar"/>
              </w:rPr>
              <w:t>选</w:t>
            </w:r>
            <w:r>
              <w:rPr>
                <w:rFonts w:hint="eastAsia" w:ascii="宋体" w:hAnsi="宋体" w:eastAsia="宋体" w:cs="宋体"/>
                <w:color w:val="000000"/>
                <w:kern w:val="0"/>
                <w:szCs w:val="21"/>
                <w:highlight w:val="none"/>
                <w:lang w:bidi="ar"/>
              </w:rPr>
              <w:t>基准价。</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w:t>
            </w:r>
            <w:r>
              <w:rPr>
                <w:rFonts w:hint="eastAsia" w:ascii="宋体" w:hAnsi="宋体" w:cs="宋体"/>
                <w:color w:val="000000"/>
                <w:kern w:val="0"/>
                <w:szCs w:val="21"/>
                <w:highlight w:val="none"/>
                <w:lang w:val="en-US" w:eastAsia="zh-CN" w:bidi="ar"/>
              </w:rPr>
              <w:t>参</w:t>
            </w:r>
            <w:r>
              <w:rPr>
                <w:rFonts w:hint="eastAsia" w:ascii="宋体" w:hAnsi="宋体" w:eastAsia="宋体" w:cs="宋体"/>
                <w:color w:val="000000"/>
                <w:kern w:val="0"/>
                <w:szCs w:val="21"/>
                <w:highlight w:val="none"/>
                <w:lang w:bidi="ar"/>
              </w:rPr>
              <w:t>选报价的偏差率计算公式：</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偏差率=(</w:t>
            </w:r>
            <w:r>
              <w:rPr>
                <w:rFonts w:hint="eastAsia" w:ascii="宋体" w:hAnsi="宋体" w:eastAsia="宋体" w:cs="宋体"/>
                <w:color w:val="000000"/>
                <w:kern w:val="0"/>
                <w:szCs w:val="21"/>
                <w:highlight w:val="none"/>
                <w:lang w:val="en-US" w:eastAsia="zh-CN" w:bidi="ar"/>
              </w:rPr>
              <w:t>参</w:t>
            </w:r>
            <w:r>
              <w:rPr>
                <w:rFonts w:hint="eastAsia" w:ascii="宋体" w:hAnsi="宋体" w:eastAsia="宋体" w:cs="宋体"/>
                <w:color w:val="000000"/>
                <w:kern w:val="0"/>
                <w:szCs w:val="21"/>
                <w:highlight w:val="none"/>
                <w:lang w:bidi="ar"/>
              </w:rPr>
              <w:t>选人报价-评</w:t>
            </w:r>
            <w:r>
              <w:rPr>
                <w:rFonts w:hint="eastAsia" w:ascii="宋体" w:hAnsi="宋体" w:cs="宋体"/>
                <w:color w:val="000000"/>
                <w:kern w:val="0"/>
                <w:szCs w:val="21"/>
                <w:highlight w:val="none"/>
                <w:lang w:val="en-US" w:eastAsia="zh-CN" w:bidi="ar"/>
              </w:rPr>
              <w:t>选</w:t>
            </w:r>
            <w:r>
              <w:rPr>
                <w:rFonts w:hint="eastAsia" w:ascii="宋体" w:hAnsi="宋体" w:eastAsia="宋体" w:cs="宋体"/>
                <w:color w:val="000000"/>
                <w:kern w:val="0"/>
                <w:szCs w:val="21"/>
                <w:highlight w:val="none"/>
                <w:lang w:bidi="ar"/>
              </w:rPr>
              <w:t>基准价)／评</w:t>
            </w:r>
            <w:r>
              <w:rPr>
                <w:rFonts w:hint="eastAsia" w:ascii="宋体" w:hAnsi="宋体" w:cs="宋体"/>
                <w:color w:val="000000"/>
                <w:kern w:val="0"/>
                <w:szCs w:val="21"/>
                <w:highlight w:val="none"/>
                <w:lang w:val="en-US" w:eastAsia="zh-CN" w:bidi="ar"/>
              </w:rPr>
              <w:t>选</w:t>
            </w:r>
            <w:r>
              <w:rPr>
                <w:rFonts w:hint="eastAsia" w:ascii="宋体" w:hAnsi="宋体" w:eastAsia="宋体" w:cs="宋体"/>
                <w:color w:val="000000"/>
                <w:kern w:val="0"/>
                <w:szCs w:val="21"/>
                <w:highlight w:val="none"/>
                <w:lang w:bidi="ar"/>
              </w:rPr>
              <w:t>基准价×1OO％</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w:t>
            </w:r>
            <w:r>
              <w:rPr>
                <w:rFonts w:hint="eastAsia" w:ascii="宋体" w:hAnsi="宋体" w:eastAsia="宋体" w:cs="宋体"/>
                <w:color w:val="000000"/>
                <w:kern w:val="0"/>
                <w:szCs w:val="21"/>
                <w:highlight w:val="none"/>
                <w:lang w:val="en-US" w:eastAsia="zh-CN" w:bidi="ar"/>
              </w:rPr>
              <w:t>参</w:t>
            </w:r>
            <w:r>
              <w:rPr>
                <w:rFonts w:hint="eastAsia" w:ascii="宋体" w:hAnsi="宋体" w:eastAsia="宋体" w:cs="宋体"/>
                <w:color w:val="000000"/>
                <w:kern w:val="0"/>
                <w:szCs w:val="21"/>
                <w:highlight w:val="none"/>
                <w:lang w:bidi="ar"/>
              </w:rPr>
              <w:t>选人的</w:t>
            </w:r>
            <w:r>
              <w:rPr>
                <w:rFonts w:hint="eastAsia" w:ascii="宋体" w:hAnsi="宋体" w:eastAsia="宋体" w:cs="宋体"/>
                <w:color w:val="000000"/>
                <w:kern w:val="0"/>
                <w:szCs w:val="21"/>
                <w:highlight w:val="none"/>
                <w:lang w:val="en-US" w:eastAsia="zh-CN" w:bidi="ar"/>
              </w:rPr>
              <w:t>参</w:t>
            </w:r>
            <w:r>
              <w:rPr>
                <w:rFonts w:hint="eastAsia" w:ascii="宋体" w:hAnsi="宋体" w:eastAsia="宋体" w:cs="宋体"/>
                <w:color w:val="000000"/>
                <w:kern w:val="0"/>
                <w:szCs w:val="21"/>
                <w:highlight w:val="none"/>
                <w:lang w:bidi="ar"/>
              </w:rPr>
              <w:t>选报价得分：</w:t>
            </w:r>
          </w:p>
          <w:p>
            <w:pPr>
              <w:widowControl/>
              <w:jc w:val="left"/>
              <w:textAlignment w:val="center"/>
              <w:rPr>
                <w:rFonts w:hint="eastAsia" w:ascii="宋体" w:hAnsi="宋体" w:cs="宋体"/>
                <w:color w:val="000000"/>
                <w:szCs w:val="21"/>
                <w:highlight w:val="none"/>
              </w:rPr>
            </w:pPr>
            <w:r>
              <w:rPr>
                <w:rFonts w:hint="eastAsia" w:ascii="宋体" w:hAnsi="宋体" w:eastAsia="宋体" w:cs="宋体"/>
                <w:color w:val="000000"/>
                <w:kern w:val="0"/>
                <w:szCs w:val="21"/>
                <w:highlight w:val="none"/>
                <w:lang w:val="en-US" w:eastAsia="zh-CN" w:bidi="ar"/>
              </w:rPr>
              <w:t>参</w:t>
            </w:r>
            <w:r>
              <w:rPr>
                <w:rFonts w:hint="eastAsia" w:ascii="宋体" w:hAnsi="宋体" w:eastAsia="宋体" w:cs="宋体"/>
                <w:color w:val="000000"/>
                <w:kern w:val="0"/>
                <w:szCs w:val="21"/>
                <w:highlight w:val="none"/>
                <w:lang w:bidi="ar"/>
              </w:rPr>
              <w:t>选人的报价与评</w:t>
            </w:r>
            <w:r>
              <w:rPr>
                <w:rFonts w:hint="eastAsia" w:ascii="宋体" w:hAnsi="宋体" w:cs="宋体"/>
                <w:color w:val="000000"/>
                <w:kern w:val="0"/>
                <w:szCs w:val="21"/>
                <w:highlight w:val="none"/>
                <w:lang w:val="en-US" w:eastAsia="zh-CN" w:bidi="ar"/>
              </w:rPr>
              <w:t>选</w:t>
            </w:r>
            <w:r>
              <w:rPr>
                <w:rFonts w:hint="eastAsia" w:ascii="宋体" w:hAnsi="宋体" w:eastAsia="宋体" w:cs="宋体"/>
                <w:color w:val="000000"/>
                <w:kern w:val="0"/>
                <w:szCs w:val="21"/>
                <w:highlight w:val="none"/>
                <w:lang w:bidi="ar"/>
              </w:rPr>
              <w:t>基准价相同时，得满分60分；在此基础上，</w:t>
            </w:r>
            <w:r>
              <w:rPr>
                <w:rFonts w:hint="eastAsia" w:ascii="宋体" w:hAnsi="宋体" w:cs="宋体"/>
                <w:color w:val="000000"/>
                <w:kern w:val="0"/>
                <w:szCs w:val="21"/>
                <w:highlight w:val="none"/>
                <w:lang w:val="en-US" w:eastAsia="zh-CN" w:bidi="ar"/>
              </w:rPr>
              <w:t>参</w:t>
            </w:r>
            <w:r>
              <w:rPr>
                <w:rFonts w:hint="eastAsia" w:ascii="宋体" w:hAnsi="宋体" w:eastAsia="宋体" w:cs="宋体"/>
                <w:color w:val="000000"/>
                <w:kern w:val="0"/>
                <w:szCs w:val="21"/>
                <w:highlight w:val="none"/>
                <w:lang w:bidi="ar"/>
              </w:rPr>
              <w:t>选总报价与评</w:t>
            </w:r>
            <w:r>
              <w:rPr>
                <w:rFonts w:hint="eastAsia" w:ascii="宋体" w:hAnsi="宋体" w:cs="宋体"/>
                <w:color w:val="000000"/>
                <w:kern w:val="0"/>
                <w:szCs w:val="21"/>
                <w:highlight w:val="none"/>
                <w:lang w:val="en-US" w:eastAsia="zh-CN" w:bidi="ar"/>
              </w:rPr>
              <w:t>选</w:t>
            </w:r>
            <w:r>
              <w:rPr>
                <w:rFonts w:hint="eastAsia" w:ascii="宋体" w:hAnsi="宋体" w:eastAsia="宋体" w:cs="宋体"/>
                <w:color w:val="000000"/>
                <w:kern w:val="0"/>
                <w:szCs w:val="21"/>
                <w:highlight w:val="none"/>
                <w:lang w:bidi="ar"/>
              </w:rPr>
              <w:t>基准价相比，每增加1%扣</w:t>
            </w:r>
            <w:r>
              <w:rPr>
                <w:rFonts w:hint="eastAsia" w:ascii="宋体" w:hAnsi="宋体" w:eastAsia="宋体" w:cs="宋体"/>
                <w:color w:val="000000"/>
                <w:kern w:val="0"/>
                <w:szCs w:val="21"/>
                <w:highlight w:val="none"/>
                <w:lang w:val="en-US" w:eastAsia="zh-CN" w:bidi="ar"/>
              </w:rPr>
              <w:t>0.</w:t>
            </w:r>
            <w:r>
              <w:rPr>
                <w:rFonts w:hint="eastAsia" w:ascii="宋体" w:hAnsi="宋体" w:eastAsia="宋体" w:cs="宋体"/>
                <w:color w:val="000000"/>
                <w:kern w:val="0"/>
                <w:szCs w:val="21"/>
                <w:highlight w:val="none"/>
                <w:lang w:bidi="ar"/>
              </w:rPr>
              <w:t>2分，每减少1%扣</w:t>
            </w:r>
            <w:r>
              <w:rPr>
                <w:rFonts w:hint="eastAsia" w:ascii="宋体" w:hAnsi="宋体" w:eastAsia="宋体" w:cs="宋体"/>
                <w:color w:val="000000"/>
                <w:kern w:val="0"/>
                <w:szCs w:val="21"/>
                <w:highlight w:val="none"/>
                <w:lang w:val="en-US" w:eastAsia="zh-CN" w:bidi="ar"/>
              </w:rPr>
              <w:t>0.</w:t>
            </w:r>
            <w:r>
              <w:rPr>
                <w:rFonts w:hint="eastAsia" w:ascii="宋体" w:hAnsi="宋体" w:eastAsia="宋体" w:cs="宋体"/>
                <w:color w:val="000000"/>
                <w:kern w:val="0"/>
                <w:szCs w:val="21"/>
                <w:highlight w:val="none"/>
                <w:lang w:bidi="ar"/>
              </w:rPr>
              <w:t>1分。扣完为止。</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满分</w:t>
            </w:r>
            <w:r>
              <w:rPr>
                <w:rFonts w:hint="eastAsia" w:ascii="宋体" w:hAnsi="宋体" w:cs="宋体"/>
                <w:color w:val="000000"/>
                <w:kern w:val="0"/>
                <w:szCs w:val="21"/>
                <w:highlight w:val="none"/>
                <w:lang w:val="en-US" w:eastAsia="zh-CN" w:bidi="ar"/>
              </w:rPr>
              <w:t>60</w:t>
            </w:r>
            <w:r>
              <w:rPr>
                <w:rFonts w:hint="eastAsia" w:ascii="宋体" w:hAnsi="宋体" w:cs="宋体"/>
                <w:color w:val="000000"/>
                <w:kern w:val="0"/>
                <w:szCs w:val="21"/>
                <w:highlight w:val="none"/>
                <w:lang w:bidi="ar"/>
              </w:rPr>
              <w:t>分</w:t>
            </w:r>
          </w:p>
        </w:tc>
      </w:tr>
      <w:tr>
        <w:tblPrEx>
          <w:tblCellMar>
            <w:top w:w="0" w:type="dxa"/>
            <w:left w:w="108" w:type="dxa"/>
            <w:bottom w:w="0" w:type="dxa"/>
            <w:right w:w="108" w:type="dxa"/>
          </w:tblCellMar>
        </w:tblPrEx>
        <w:trPr>
          <w:trHeight w:val="500" w:hRule="atLeast"/>
        </w:trPr>
        <w:tc>
          <w:tcPr>
            <w:tcW w:w="35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56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技术部分权重</w:t>
            </w:r>
            <w:r>
              <w:rPr>
                <w:rFonts w:hint="eastAsia" w:ascii="宋体" w:hAnsi="宋体" w:cs="宋体"/>
                <w:color w:val="000000"/>
                <w:kern w:val="0"/>
                <w:szCs w:val="21"/>
                <w:highlight w:val="none"/>
                <w:lang w:val="en-US" w:eastAsia="zh-CN" w:bidi="ar"/>
              </w:rPr>
              <w:t>（10分）</w:t>
            </w: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技术要求评分</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物业服务方案：</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1.方案中具有安保、保洁服务相关内容：优得2.5分，良得1.5分，一般得1分，未提供得0分；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2.方案中具有绿化养护服务相关内容：优得2.5分，良得1.5分，一般得1分，未提供得0分；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3.方案中具有餐饮服务相关内容：优得2.5分，良得1.5分，一般得1分，未提供得0分；</w:t>
            </w:r>
          </w:p>
          <w:p>
            <w:pPr>
              <w:widowControl/>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4.方案中具有应急预案相关内容：优得2.5分，良得1.5分，一般得1分，未提供得0分；</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满分</w:t>
            </w:r>
            <w:r>
              <w:rPr>
                <w:rFonts w:hint="eastAsia" w:ascii="宋体" w:hAnsi="宋体" w:cs="宋体"/>
                <w:color w:val="000000"/>
                <w:kern w:val="0"/>
                <w:szCs w:val="21"/>
                <w:highlight w:val="none"/>
                <w:lang w:val="en-US" w:eastAsia="zh-CN" w:bidi="ar"/>
              </w:rPr>
              <w:t>10</w:t>
            </w:r>
            <w:r>
              <w:rPr>
                <w:rFonts w:hint="eastAsia" w:ascii="宋体" w:hAnsi="宋体" w:cs="宋体"/>
                <w:color w:val="000000"/>
                <w:kern w:val="0"/>
                <w:szCs w:val="21"/>
                <w:highlight w:val="none"/>
                <w:lang w:bidi="ar"/>
              </w:rPr>
              <w:t>分</w:t>
            </w:r>
          </w:p>
        </w:tc>
      </w:tr>
      <w:tr>
        <w:tblPrEx>
          <w:tblCellMar>
            <w:top w:w="0" w:type="dxa"/>
            <w:left w:w="108" w:type="dxa"/>
            <w:bottom w:w="0" w:type="dxa"/>
            <w:right w:w="108" w:type="dxa"/>
          </w:tblCellMar>
        </w:tblPrEx>
        <w:trPr>
          <w:trHeight w:val="681" w:hRule="atLeast"/>
        </w:trPr>
        <w:tc>
          <w:tcPr>
            <w:tcW w:w="35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56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商务服务部分权重</w:t>
            </w:r>
            <w:r>
              <w:rPr>
                <w:rFonts w:hint="eastAsia" w:ascii="宋体" w:hAnsi="宋体" w:cs="宋体"/>
                <w:color w:val="000000"/>
                <w:kern w:val="0"/>
                <w:szCs w:val="21"/>
                <w:highlight w:val="none"/>
                <w:lang w:val="en-US" w:eastAsia="zh-CN" w:bidi="ar"/>
              </w:rPr>
              <w:t>（30分）</w:t>
            </w: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体系认证证书（6分）</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1.具有有效的ISO9001质量管理体系认证得1分；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2.具有有效的ISO14001环境管理体系认证得1分；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3.具有有效的职业健康安全管理体系认证得1分；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4.具有有效的物业服务组织质量管理体系分级认证证书，体系等级为四星级及以上得1分；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5.具有有效的诚信管理体系认证得1分；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6.具有食品安全管理体系认证证书得1分。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（注：以上证书的认证范围必须包含市政园林绿化施工和管护或城市绿化管理或绿化服务相关内容，否则不得分。提供以上证书复印件加盖参选单位公章。</w:t>
            </w:r>
          </w:p>
          <w:p>
            <w:pPr>
              <w:widowControl/>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val="en-US" w:eastAsia="zh-CN" w:bidi="ar"/>
              </w:rPr>
              <w:t>注：ISO9001质量管理体系认证</w:t>
            </w:r>
            <w:r>
              <w:rPr>
                <w:rFonts w:hint="eastAsia" w:ascii="宋体" w:hAnsi="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val="en-US" w:eastAsia="zh-CN" w:bidi="ar"/>
              </w:rPr>
              <w:t>ISO14001环境管理体系认证</w:t>
            </w:r>
            <w:r>
              <w:rPr>
                <w:rFonts w:hint="eastAsia" w:ascii="宋体" w:hAnsi="宋体" w:cs="宋体"/>
                <w:color w:val="000000"/>
                <w:kern w:val="0"/>
                <w:szCs w:val="21"/>
                <w:highlight w:val="none"/>
                <w:lang w:val="en-US" w:eastAsia="zh-CN" w:bidi="ar"/>
              </w:rPr>
              <w:t>及</w:t>
            </w:r>
            <w:r>
              <w:rPr>
                <w:rFonts w:hint="eastAsia" w:ascii="宋体" w:hAnsi="宋体" w:eastAsia="宋体" w:cs="宋体"/>
                <w:color w:val="000000"/>
                <w:kern w:val="0"/>
                <w:szCs w:val="21"/>
                <w:highlight w:val="none"/>
                <w:lang w:val="en-US" w:eastAsia="zh-CN" w:bidi="ar"/>
              </w:rPr>
              <w:t>职业健康安全管理体系认证证书的认证范围必须包含</w:t>
            </w:r>
            <w:r>
              <w:rPr>
                <w:rFonts w:hint="eastAsia" w:ascii="宋体" w:hAnsi="宋体" w:cs="宋体"/>
                <w:color w:val="000000"/>
                <w:kern w:val="0"/>
                <w:szCs w:val="21"/>
                <w:highlight w:val="none"/>
                <w:lang w:val="en-US" w:eastAsia="zh-CN" w:bidi="ar"/>
              </w:rPr>
              <w:t>物业管理服务、</w:t>
            </w:r>
            <w:r>
              <w:rPr>
                <w:rFonts w:hint="eastAsia" w:ascii="宋体" w:hAnsi="宋体" w:eastAsia="宋体" w:cs="宋体"/>
                <w:color w:val="000000"/>
                <w:kern w:val="0"/>
                <w:szCs w:val="21"/>
                <w:highlight w:val="none"/>
                <w:lang w:val="en-US" w:eastAsia="zh-CN" w:bidi="ar"/>
              </w:rPr>
              <w:t>市政园林绿化施工和管护或城市绿化管理或绿化服务</w:t>
            </w:r>
            <w:r>
              <w:rPr>
                <w:rFonts w:hint="eastAsia" w:ascii="宋体" w:hAnsi="宋体" w:cs="宋体"/>
                <w:color w:val="000000"/>
                <w:kern w:val="0"/>
                <w:szCs w:val="21"/>
                <w:highlight w:val="none"/>
                <w:lang w:val="en-US" w:eastAsia="zh-CN" w:bidi="ar"/>
              </w:rPr>
              <w:t>、道路清扫保洁服务</w:t>
            </w:r>
            <w:r>
              <w:rPr>
                <w:rFonts w:hint="eastAsia" w:ascii="宋体" w:hAnsi="宋体" w:eastAsia="宋体" w:cs="宋体"/>
                <w:color w:val="000000"/>
                <w:kern w:val="0"/>
                <w:szCs w:val="21"/>
                <w:highlight w:val="none"/>
                <w:lang w:val="en-US" w:eastAsia="zh-CN" w:bidi="ar"/>
              </w:rPr>
              <w:t>相关内容</w:t>
            </w:r>
            <w:r>
              <w:rPr>
                <w:rFonts w:hint="eastAsia" w:ascii="宋体" w:hAnsi="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val="en-US" w:eastAsia="zh-CN" w:bidi="ar"/>
              </w:rPr>
              <w:t>诚信管理体系认证证书的认证范围必须包含</w:t>
            </w:r>
            <w:r>
              <w:rPr>
                <w:rFonts w:hint="eastAsia" w:ascii="宋体" w:hAnsi="宋体" w:cs="宋体"/>
                <w:color w:val="000000"/>
                <w:kern w:val="0"/>
                <w:szCs w:val="21"/>
                <w:highlight w:val="none"/>
                <w:lang w:val="en-US" w:eastAsia="zh-CN" w:bidi="ar"/>
              </w:rPr>
              <w:t>物业管理、</w:t>
            </w:r>
            <w:r>
              <w:rPr>
                <w:rFonts w:hint="eastAsia" w:ascii="宋体" w:hAnsi="宋体" w:eastAsia="宋体" w:cs="宋体"/>
                <w:color w:val="000000"/>
                <w:kern w:val="0"/>
                <w:szCs w:val="21"/>
                <w:highlight w:val="none"/>
                <w:lang w:val="en-US" w:eastAsia="zh-CN" w:bidi="ar"/>
              </w:rPr>
              <w:t>园林绿化施工或城市绿化管理或绿化服务</w:t>
            </w:r>
            <w:r>
              <w:rPr>
                <w:rFonts w:hint="eastAsia" w:ascii="宋体" w:hAnsi="宋体" w:cs="宋体"/>
                <w:color w:val="000000"/>
                <w:kern w:val="0"/>
                <w:szCs w:val="21"/>
                <w:highlight w:val="none"/>
                <w:lang w:val="en-US" w:eastAsia="zh-CN" w:bidi="ar"/>
              </w:rPr>
              <w:t>、餐饮服务</w:t>
            </w:r>
            <w:r>
              <w:rPr>
                <w:rFonts w:hint="eastAsia" w:ascii="宋体" w:hAnsi="宋体" w:eastAsia="宋体" w:cs="宋体"/>
                <w:color w:val="000000"/>
                <w:kern w:val="0"/>
                <w:szCs w:val="21"/>
                <w:highlight w:val="none"/>
                <w:lang w:val="en-US" w:eastAsia="zh-CN" w:bidi="ar"/>
              </w:rPr>
              <w:t>相关内容否则不得分。提供以上证书复印件加盖参选单位公章。</w:t>
            </w:r>
            <w:r>
              <w:rPr>
                <w:rFonts w:hint="eastAsia" w:ascii="宋体" w:hAnsi="宋体" w:cs="宋体"/>
                <w:color w:val="000000"/>
                <w:kern w:val="0"/>
                <w:szCs w:val="21"/>
                <w:highlight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满分</w:t>
            </w: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分</w:t>
            </w:r>
          </w:p>
        </w:tc>
      </w:tr>
      <w:tr>
        <w:tblPrEx>
          <w:tblCellMar>
            <w:top w:w="0" w:type="dxa"/>
            <w:left w:w="108" w:type="dxa"/>
            <w:bottom w:w="0" w:type="dxa"/>
            <w:right w:w="108" w:type="dxa"/>
          </w:tblCellMar>
        </w:tblPrEx>
        <w:trPr>
          <w:trHeight w:val="780" w:hRule="atLeast"/>
        </w:trPr>
        <w:tc>
          <w:tcPr>
            <w:tcW w:w="35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Cs w:val="21"/>
                <w:highlight w:val="none"/>
              </w:rPr>
            </w:pPr>
          </w:p>
        </w:tc>
        <w:tc>
          <w:tcPr>
            <w:tcW w:w="56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Cs w:val="21"/>
                <w:highlight w:val="none"/>
              </w:rPr>
            </w:pP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服务相关资格证书（9分）</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1.具有有效的劳务派遣经营许可证得1.5分；</w:t>
            </w:r>
          </w:p>
          <w:p>
            <w:pPr>
              <w:widowControl/>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2.具有有效的自行招用保安员单位备案证得1.5分；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3.具有有效的城市生活垃圾经营性清扫、收集、运输、处置服务许可证得1.5分；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4.具有有效的二级或B级以上有害生物防治服务企业资质证书得1.5分；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5.具有有效的</w:t>
            </w:r>
            <w:r>
              <w:rPr>
                <w:rFonts w:hint="default" w:ascii="宋体" w:hAnsi="宋体" w:eastAsia="宋体" w:cs="宋体"/>
                <w:color w:val="000000"/>
                <w:kern w:val="0"/>
                <w:szCs w:val="21"/>
                <w:highlight w:val="none"/>
                <w:lang w:val="en-US" w:eastAsia="zh-CN" w:bidi="ar"/>
              </w:rPr>
              <w:t>食品经营许可证</w:t>
            </w:r>
            <w:r>
              <w:rPr>
                <w:rFonts w:hint="eastAsia" w:ascii="宋体" w:hAnsi="宋体" w:eastAsia="宋体" w:cs="宋体"/>
                <w:color w:val="000000"/>
                <w:kern w:val="0"/>
                <w:szCs w:val="21"/>
                <w:highlight w:val="none"/>
                <w:lang w:val="en-US" w:eastAsia="zh-CN" w:bidi="ar"/>
              </w:rPr>
              <w:t>，每个</w:t>
            </w:r>
            <w:r>
              <w:rPr>
                <w:rFonts w:hint="eastAsia" w:ascii="宋体" w:hAnsi="宋体" w:cs="宋体"/>
                <w:color w:val="000000"/>
                <w:kern w:val="0"/>
                <w:szCs w:val="21"/>
                <w:highlight w:val="none"/>
                <w:lang w:val="en-US" w:eastAsia="zh-CN" w:bidi="ar"/>
              </w:rPr>
              <w:t>经营项目</w:t>
            </w:r>
            <w:r>
              <w:rPr>
                <w:rFonts w:hint="eastAsia" w:ascii="宋体" w:hAnsi="宋体" w:eastAsia="宋体" w:cs="宋体"/>
                <w:color w:val="000000"/>
                <w:kern w:val="0"/>
                <w:szCs w:val="21"/>
                <w:highlight w:val="none"/>
                <w:lang w:val="en-US" w:eastAsia="zh-CN" w:bidi="ar"/>
              </w:rPr>
              <w:t>得1</w:t>
            </w:r>
            <w:r>
              <w:rPr>
                <w:rFonts w:hint="eastAsia" w:ascii="宋体" w:hAnsi="宋体" w:cs="宋体"/>
                <w:color w:val="000000"/>
                <w:kern w:val="0"/>
                <w:szCs w:val="21"/>
                <w:highlight w:val="none"/>
                <w:lang w:val="en-US" w:eastAsia="zh-CN" w:bidi="ar"/>
              </w:rPr>
              <w:t>.5</w:t>
            </w:r>
            <w:r>
              <w:rPr>
                <w:rFonts w:hint="eastAsia" w:ascii="宋体" w:hAnsi="宋体" w:eastAsia="宋体" w:cs="宋体"/>
                <w:color w:val="000000"/>
                <w:kern w:val="0"/>
                <w:szCs w:val="21"/>
                <w:highlight w:val="none"/>
                <w:lang w:val="en-US" w:eastAsia="zh-CN" w:bidi="ar"/>
              </w:rPr>
              <w:t>分（最多得3分，不包含资格条件要求的</w:t>
            </w:r>
            <w:r>
              <w:rPr>
                <w:rFonts w:hint="eastAsia" w:ascii="宋体" w:hAnsi="宋体" w:cs="宋体"/>
                <w:color w:val="000000"/>
                <w:kern w:val="0"/>
                <w:szCs w:val="21"/>
                <w:highlight w:val="none"/>
                <w:lang w:val="en-US" w:eastAsia="zh-CN" w:bidi="ar"/>
              </w:rPr>
              <w:t>经营项目；同一法人下的不同经营主体的相同经营项目，不重复计算</w:t>
            </w:r>
            <w:r>
              <w:rPr>
                <w:rFonts w:hint="eastAsia" w:ascii="宋体" w:hAnsi="宋体" w:eastAsia="宋体" w:cs="宋体"/>
                <w:color w:val="000000"/>
                <w:kern w:val="0"/>
                <w:szCs w:val="21"/>
                <w:highlight w:val="none"/>
                <w:lang w:val="en-US" w:eastAsia="zh-CN" w:bidi="ar"/>
              </w:rPr>
              <w:t>）。</w:t>
            </w:r>
          </w:p>
          <w:p>
            <w:pPr>
              <w:widowControl/>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（注：</w:t>
            </w:r>
            <w:r>
              <w:rPr>
                <w:rFonts w:hint="eastAsia" w:ascii="宋体" w:hAnsi="宋体" w:eastAsia="宋体" w:cs="宋体"/>
                <w:color w:val="000000"/>
                <w:kern w:val="0"/>
                <w:szCs w:val="21"/>
                <w:highlight w:val="none"/>
                <w:lang w:val="en-US" w:eastAsia="zh-CN" w:bidi="ar"/>
              </w:rPr>
              <w:t>提供以上证书复印件加盖参选单位公章。</w:t>
            </w:r>
            <w:r>
              <w:rPr>
                <w:rFonts w:hint="eastAsia" w:ascii="宋体" w:hAnsi="宋体" w:cs="宋体"/>
                <w:color w:val="000000"/>
                <w:kern w:val="0"/>
                <w:szCs w:val="21"/>
                <w:highlight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满分</w:t>
            </w:r>
            <w:r>
              <w:rPr>
                <w:rFonts w:hint="eastAsia" w:ascii="宋体" w:hAnsi="宋体" w:cs="宋体"/>
                <w:color w:val="000000"/>
                <w:kern w:val="0"/>
                <w:szCs w:val="21"/>
                <w:highlight w:val="none"/>
                <w:lang w:val="en-US" w:eastAsia="zh-CN" w:bidi="ar"/>
              </w:rPr>
              <w:t>9</w:t>
            </w:r>
            <w:r>
              <w:rPr>
                <w:rFonts w:hint="eastAsia" w:ascii="宋体" w:hAnsi="宋体" w:cs="宋体"/>
                <w:color w:val="000000"/>
                <w:kern w:val="0"/>
                <w:szCs w:val="21"/>
                <w:highlight w:val="none"/>
                <w:lang w:bidi="ar"/>
              </w:rPr>
              <w:t>分</w:t>
            </w:r>
          </w:p>
        </w:tc>
      </w:tr>
      <w:tr>
        <w:tblPrEx>
          <w:tblCellMar>
            <w:top w:w="0" w:type="dxa"/>
            <w:left w:w="108" w:type="dxa"/>
            <w:bottom w:w="0" w:type="dxa"/>
            <w:right w:w="108" w:type="dxa"/>
          </w:tblCellMar>
        </w:tblPrEx>
        <w:trPr>
          <w:trHeight w:val="1275" w:hRule="atLeast"/>
        </w:trPr>
        <w:tc>
          <w:tcPr>
            <w:tcW w:w="35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Cs w:val="21"/>
                <w:highlight w:val="none"/>
              </w:rPr>
            </w:pPr>
          </w:p>
        </w:tc>
        <w:tc>
          <w:tcPr>
            <w:tcW w:w="56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Cs w:val="21"/>
                <w:highlight w:val="none"/>
              </w:rPr>
            </w:pP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企业信用证明（</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分）</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1.具有有效的AAA级及以上诚信经营示范单位认证，得0.5分；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2.具有有效的AAA级及以上企业资信等级认证，得0.5分；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3.具有有效的AAA级及以上企业信用等级认证，得0.5分；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4.具有有效的AAA级及以上质量服务诚信单位等级认证，得0.5分；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5.具有有效的AAA级及以上重合同守信用企业等级认证，得0.5分；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6.具有有效的AAA级及以上诚信供应商等级认证，得0.5分；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7.具有有效的AAA级及以上质量服务诚信单位等级认证，得0.5分；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8.具有有效的B级及以上的纳税信用等级认证，得</w:t>
            </w:r>
            <w:r>
              <w:rPr>
                <w:rFonts w:hint="eastAsia" w:ascii="宋体" w:hAnsi="宋体" w:cs="宋体"/>
                <w:color w:val="000000"/>
                <w:kern w:val="0"/>
                <w:szCs w:val="21"/>
                <w:highlight w:val="none"/>
                <w:lang w:val="en-US" w:eastAsia="zh-CN" w:bidi="ar"/>
              </w:rPr>
              <w:t>0</w:t>
            </w:r>
            <w:r>
              <w:rPr>
                <w:rFonts w:hint="eastAsia" w:ascii="宋体" w:hAnsi="宋体" w:eastAsia="宋体" w:cs="宋体"/>
                <w:color w:val="000000"/>
                <w:kern w:val="0"/>
                <w:szCs w:val="21"/>
                <w:highlight w:val="none"/>
                <w:lang w:val="en-US" w:eastAsia="zh-CN" w:bidi="ar"/>
              </w:rPr>
              <w:t>.5分。</w:t>
            </w:r>
          </w:p>
          <w:p>
            <w:pPr>
              <w:widowControl/>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9.入选政府采购供应商，</w:t>
            </w:r>
            <w:r>
              <w:rPr>
                <w:rFonts w:hint="eastAsia" w:ascii="宋体" w:hAnsi="宋体" w:eastAsia="宋体" w:cs="宋体"/>
                <w:color w:val="000000"/>
                <w:kern w:val="0"/>
                <w:szCs w:val="21"/>
                <w:highlight w:val="none"/>
                <w:lang w:val="en-US" w:eastAsia="zh-CN" w:bidi="ar"/>
              </w:rPr>
              <w:t>得0.5分</w:t>
            </w:r>
            <w:r>
              <w:rPr>
                <w:rFonts w:hint="eastAsia" w:ascii="宋体" w:hAnsi="宋体" w:cs="宋体"/>
                <w:color w:val="000000"/>
                <w:kern w:val="0"/>
                <w:szCs w:val="21"/>
                <w:highlight w:val="none"/>
                <w:lang w:val="en-US" w:eastAsia="zh-CN" w:bidi="ar"/>
              </w:rPr>
              <w:t>；入选政府采购优秀供应商，再得</w:t>
            </w:r>
            <w:r>
              <w:rPr>
                <w:rFonts w:hint="eastAsia" w:ascii="宋体" w:hAnsi="宋体" w:eastAsia="宋体" w:cs="宋体"/>
                <w:color w:val="000000"/>
                <w:kern w:val="0"/>
                <w:szCs w:val="21"/>
                <w:highlight w:val="none"/>
                <w:lang w:val="en-US" w:eastAsia="zh-CN" w:bidi="ar"/>
              </w:rPr>
              <w:t>0.5分</w:t>
            </w:r>
            <w:r>
              <w:rPr>
                <w:rFonts w:hint="eastAsia" w:ascii="宋体" w:hAnsi="宋体" w:cs="宋体"/>
                <w:color w:val="000000"/>
                <w:kern w:val="0"/>
                <w:szCs w:val="21"/>
                <w:highlight w:val="none"/>
                <w:lang w:val="en-US" w:eastAsia="zh-CN" w:bidi="ar"/>
              </w:rPr>
              <w:t>。</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提供以上证书复印件加盖参选单位公章。</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（注：</w:t>
            </w:r>
            <w:r>
              <w:rPr>
                <w:rFonts w:hint="eastAsia" w:ascii="宋体" w:hAnsi="宋体" w:eastAsia="宋体" w:cs="宋体"/>
                <w:color w:val="000000"/>
                <w:kern w:val="0"/>
                <w:szCs w:val="21"/>
                <w:highlight w:val="none"/>
                <w:lang w:val="en-US" w:eastAsia="zh-CN" w:bidi="ar"/>
              </w:rPr>
              <w:t>提供以上证书复印件加盖参选单位公章。</w:t>
            </w:r>
            <w:r>
              <w:rPr>
                <w:rFonts w:hint="eastAsia" w:ascii="宋体" w:hAnsi="宋体" w:cs="宋体"/>
                <w:color w:val="000000"/>
                <w:kern w:val="0"/>
                <w:szCs w:val="21"/>
                <w:highlight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kern w:val="0"/>
                <w:szCs w:val="21"/>
                <w:highlight w:val="none"/>
                <w:lang w:bidi="ar"/>
              </w:rPr>
              <w:t>满分</w:t>
            </w:r>
            <w:r>
              <w:rPr>
                <w:rFonts w:hint="eastAsia" w:ascii="宋体" w:hAnsi="宋体" w:cs="宋体"/>
                <w:kern w:val="0"/>
                <w:szCs w:val="21"/>
                <w:highlight w:val="none"/>
                <w:lang w:val="en-US" w:eastAsia="zh-CN" w:bidi="ar"/>
              </w:rPr>
              <w:t>5</w:t>
            </w:r>
            <w:r>
              <w:rPr>
                <w:rFonts w:hint="eastAsia" w:ascii="宋体" w:hAnsi="宋体" w:cs="宋体"/>
                <w:kern w:val="0"/>
                <w:szCs w:val="21"/>
                <w:highlight w:val="none"/>
                <w:lang w:bidi="ar"/>
              </w:rPr>
              <w:t>分</w:t>
            </w:r>
          </w:p>
        </w:tc>
      </w:tr>
      <w:tr>
        <w:tblPrEx>
          <w:tblCellMar>
            <w:top w:w="0" w:type="dxa"/>
            <w:left w:w="108" w:type="dxa"/>
            <w:bottom w:w="0" w:type="dxa"/>
            <w:right w:w="108" w:type="dxa"/>
          </w:tblCellMar>
        </w:tblPrEx>
        <w:trPr>
          <w:trHeight w:val="90" w:hRule="atLeast"/>
        </w:trPr>
        <w:tc>
          <w:tcPr>
            <w:tcW w:w="35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Cs w:val="21"/>
                <w:highlight w:val="none"/>
              </w:rPr>
            </w:pPr>
          </w:p>
        </w:tc>
        <w:tc>
          <w:tcPr>
            <w:tcW w:w="56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Cs w:val="21"/>
                <w:highlight w:val="none"/>
              </w:rPr>
            </w:pP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业绩（10分）</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1.在满足资格条件要求的基础上，参选人提供2020年1月1日至今（以合同签署时间为准），合同金额在</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val="en-US" w:eastAsia="zh-CN" w:bidi="ar"/>
              </w:rPr>
              <w:t>00万元以上的物业服务（含保洁、安保/秩序类）业绩，每有1个得1分，此项最多得4分。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2.在满足资格条件要求的基础上（且不含上述“1”中的业绩合同），参选人提供2020年1月1日至今（以合同签署时间为准），服务过企业的安保/秩序类业绩，每有1个得1分，此项最多得1分。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3.在满足资格条件要求的基础上，参选人提供2020年1月1日至今（以合同签署时间为准），服务过企业的绿化养护（不含绿化工程类）业绩，每有1个得0.5分，此项最多得3分。</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4.在满足资格条件要求的基础上，参选人提供2020年1月1日至今，</w:t>
            </w:r>
            <w:r>
              <w:rPr>
                <w:rFonts w:hint="eastAsia" w:ascii="宋体" w:hAnsi="宋体" w:cs="宋体"/>
                <w:color w:val="000000"/>
                <w:kern w:val="0"/>
                <w:szCs w:val="21"/>
                <w:highlight w:val="none"/>
                <w:lang w:val="en-US" w:eastAsia="zh-CN" w:bidi="ar"/>
              </w:rPr>
              <w:t>参选</w:t>
            </w:r>
            <w:r>
              <w:rPr>
                <w:rFonts w:hint="eastAsia" w:ascii="宋体" w:hAnsi="宋体" w:eastAsia="宋体" w:cs="宋体"/>
                <w:color w:val="000000"/>
                <w:kern w:val="0"/>
                <w:szCs w:val="21"/>
                <w:highlight w:val="none"/>
                <w:lang w:val="en-US" w:eastAsia="zh-CN" w:bidi="ar"/>
              </w:rPr>
              <w:t>人具有食堂承包或食堂餐饮管理业绩的，每提供1个业绩得1分，本项最多得2分。（同一单位的多个业绩按一个计算）</w:t>
            </w:r>
          </w:p>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（提供业绩合同复印件和该业绩对应的任意一张发票复印件并加盖参选单位公章。）</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满分1</w:t>
            </w:r>
            <w:r>
              <w:rPr>
                <w:rFonts w:hint="eastAsia" w:ascii="宋体" w:hAnsi="宋体" w:cs="宋体"/>
                <w:color w:val="000000"/>
                <w:kern w:val="0"/>
                <w:szCs w:val="21"/>
                <w:highlight w:val="none"/>
                <w:lang w:val="en-US" w:eastAsia="zh-CN" w:bidi="ar"/>
              </w:rPr>
              <w:t>0</w:t>
            </w:r>
            <w:r>
              <w:rPr>
                <w:rFonts w:hint="eastAsia" w:ascii="宋体" w:hAnsi="宋体" w:cs="宋体"/>
                <w:color w:val="000000"/>
                <w:kern w:val="0"/>
                <w:szCs w:val="21"/>
                <w:highlight w:val="none"/>
                <w:lang w:bidi="ar"/>
              </w:rPr>
              <w:t>分</w:t>
            </w:r>
          </w:p>
        </w:tc>
      </w:tr>
      <w:tr>
        <w:tblPrEx>
          <w:tblCellMar>
            <w:top w:w="0" w:type="dxa"/>
            <w:left w:w="108" w:type="dxa"/>
            <w:bottom w:w="0" w:type="dxa"/>
            <w:right w:w="108" w:type="dxa"/>
          </w:tblCellMar>
        </w:tblPrEx>
        <w:trPr>
          <w:trHeight w:val="500" w:hRule="atLeast"/>
        </w:trPr>
        <w:tc>
          <w:tcPr>
            <w:tcW w:w="92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总得分</w:t>
            </w:r>
          </w:p>
        </w:tc>
        <w:tc>
          <w:tcPr>
            <w:tcW w:w="345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经济部分得分+技术部分得分+商务服务部分得分</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满分100分</w:t>
            </w:r>
          </w:p>
        </w:tc>
      </w:tr>
    </w:tbl>
    <w:p>
      <w:pPr>
        <w:pStyle w:val="3"/>
        <w:adjustRightInd w:val="0"/>
        <w:snapToGrid w:val="0"/>
        <w:spacing w:before="0" w:after="0" w:line="560" w:lineRule="exact"/>
        <w:ind w:firstLine="643" w:firstLineChars="200"/>
        <w:rPr>
          <w:rFonts w:hint="eastAsia" w:ascii="仿宋_GB2312" w:hAnsi="仿宋_GB2312" w:eastAsia="仿宋_GB2312" w:cs="仿宋_GB2312"/>
          <w:bCs w:val="0"/>
          <w:highlight w:val="none"/>
          <w:lang w:val="zh-CN"/>
        </w:rPr>
      </w:pPr>
      <w:r>
        <w:rPr>
          <w:rFonts w:hint="eastAsia" w:ascii="仿宋_GB2312" w:hAnsi="仿宋_GB2312" w:eastAsia="仿宋_GB2312" w:cs="仿宋_GB2312"/>
          <w:bCs w:val="0"/>
          <w:highlight w:val="none"/>
        </w:rPr>
        <w:t>17.</w:t>
      </w:r>
      <w:r>
        <w:rPr>
          <w:rFonts w:hint="eastAsia" w:ascii="仿宋_GB2312" w:hAnsi="仿宋_GB2312" w:eastAsia="仿宋_GB2312" w:cs="仿宋_GB2312"/>
          <w:bCs w:val="0"/>
          <w:highlight w:val="none"/>
          <w:lang w:val="zh-CN"/>
        </w:rPr>
        <w:t>确定中选人</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17.1 评选小组根据比选文件规定的评选方法和标准对参选文件进行综合评分，按照综合评选得分由高到低的顺序推荐中选候选人。</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17.2 评选小组经第一轮比选评定后，可根据评定结果，通过二次谈判或逐次减少参选人进行多轮比选。评选小组依据最终评定结果排序，确定排名靠前的中选候选人。</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17.3 比选人在评选时收到的有效参选文件不足3家的，</w:t>
      </w:r>
      <w:r>
        <w:rPr>
          <w:rFonts w:hint="eastAsia" w:ascii="仿宋_GB2312" w:hAnsi="仿宋_GB2312" w:eastAsia="仿宋_GB2312" w:cs="仿宋_GB2312"/>
          <w:sz w:val="32"/>
          <w:szCs w:val="32"/>
          <w:highlight w:val="none"/>
          <w:lang w:val="en-US" w:eastAsia="zh-CN"/>
        </w:rPr>
        <w:t>则</w:t>
      </w:r>
      <w:r>
        <w:rPr>
          <w:rFonts w:hint="eastAsia" w:ascii="仿宋_GB2312" w:hAnsi="仿宋_GB2312" w:eastAsia="仿宋_GB2312" w:cs="仿宋_GB2312"/>
          <w:sz w:val="32"/>
          <w:szCs w:val="32"/>
          <w:highlight w:val="none"/>
        </w:rPr>
        <w:t>重新组织比选</w:t>
      </w:r>
      <w:r>
        <w:rPr>
          <w:rFonts w:hint="eastAsia" w:ascii="仿宋_GB2312" w:hAnsi="仿宋_GB2312" w:eastAsia="仿宋_GB2312" w:cs="仿宋_GB2312"/>
          <w:sz w:val="32"/>
          <w:szCs w:val="32"/>
          <w:highlight w:val="none"/>
          <w:lang w:val="en-US" w:eastAsia="zh-CN"/>
        </w:rPr>
        <w:t>并另行通知</w:t>
      </w:r>
      <w:r>
        <w:rPr>
          <w:rFonts w:hint="eastAsia" w:ascii="仿宋_GB2312" w:hAnsi="仿宋_GB2312" w:eastAsia="仿宋_GB2312" w:cs="仿宋_GB2312"/>
          <w:sz w:val="32"/>
          <w:szCs w:val="32"/>
          <w:highlight w:val="none"/>
        </w:rPr>
        <w:t>。</w:t>
      </w:r>
    </w:p>
    <w:bookmarkEnd w:id="69"/>
    <w:bookmarkEnd w:id="70"/>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bookmarkStart w:id="71" w:name="_Toc524975682"/>
      <w:bookmarkStart w:id="72" w:name="_Toc524975728"/>
      <w:r>
        <w:rPr>
          <w:rFonts w:hint="eastAsia" w:ascii="仿宋_GB2312" w:hAnsi="仿宋_GB2312" w:eastAsia="仿宋_GB2312" w:cs="仿宋_GB2312"/>
          <w:kern w:val="44"/>
          <w:highlight w:val="none"/>
        </w:rPr>
        <w:t>18.中选通知书</w:t>
      </w:r>
      <w:bookmarkEnd w:id="71"/>
      <w:bookmarkEnd w:id="72"/>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18.1 评选结束后，比选人将按照评选小组推荐中选候选人的顺序确定中选人，并向中选人发出中选通知书。</w:t>
      </w:r>
    </w:p>
    <w:p>
      <w:pPr>
        <w:pStyle w:val="4"/>
        <w:adjustRightInd w:val="0"/>
        <w:snapToGrid w:val="0"/>
        <w:spacing w:before="0" w:after="0" w:line="560" w:lineRule="exact"/>
        <w:ind w:firstLine="640" w:firstLineChars="200"/>
        <w:rPr>
          <w:rFonts w:hint="eastAsia" w:ascii="仿宋_GB2312" w:hAnsi="仿宋_GB2312" w:eastAsia="仿宋_GB2312" w:cs="仿宋_GB2312"/>
          <w:b w:val="0"/>
          <w:bCs w:val="0"/>
          <w:kern w:val="44"/>
          <w:sz w:val="36"/>
          <w:szCs w:val="36"/>
          <w:highlight w:val="none"/>
        </w:rPr>
      </w:pPr>
      <w:r>
        <w:rPr>
          <w:rFonts w:hint="eastAsia" w:ascii="仿宋_GB2312" w:hAnsi="仿宋_GB2312" w:eastAsia="仿宋_GB2312" w:cs="仿宋_GB2312"/>
          <w:b w:val="0"/>
          <w:bCs w:val="0"/>
          <w:highlight w:val="none"/>
        </w:rPr>
        <w:t xml:space="preserve">18.2 中选通知书是合同文件的组成部分。 </w:t>
      </w:r>
      <w:bookmarkStart w:id="73" w:name="_Toc524975683"/>
      <w:bookmarkStart w:id="74" w:name="_Toc524975729"/>
    </w:p>
    <w:p>
      <w:pPr>
        <w:pStyle w:val="4"/>
        <w:adjustRightInd w:val="0"/>
        <w:snapToGrid w:val="0"/>
        <w:spacing w:before="0" w:after="0" w:line="560" w:lineRule="exact"/>
        <w:jc w:val="center"/>
        <w:rPr>
          <w:rFonts w:ascii="仿宋_GB2312" w:hAnsi="仿宋_GB2312" w:eastAsia="仿宋_GB2312" w:cs="仿宋_GB2312"/>
          <w:kern w:val="44"/>
          <w:highlight w:val="none"/>
        </w:rPr>
      </w:pPr>
      <w:r>
        <w:rPr>
          <w:rFonts w:hint="eastAsia" w:ascii="仿宋_GB2312" w:hAnsi="仿宋_GB2312" w:eastAsia="仿宋_GB2312" w:cs="仿宋_GB2312"/>
          <w:kern w:val="44"/>
          <w:sz w:val="36"/>
          <w:szCs w:val="36"/>
          <w:highlight w:val="none"/>
        </w:rPr>
        <w:t>第五节  合同签订</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19.履约保证金</w:t>
      </w:r>
      <w:bookmarkEnd w:id="73"/>
      <w:bookmarkEnd w:id="74"/>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19.1 履约保证金交纳</w:t>
      </w:r>
    </w:p>
    <w:p>
      <w:pPr>
        <w:autoSpaceDE w:val="0"/>
        <w:autoSpaceDN w:val="0"/>
        <w:adjustRightInd w:val="0"/>
        <w:snapToGrid w:val="0"/>
        <w:spacing w:line="560" w:lineRule="exact"/>
        <w:ind w:firstLine="640" w:firstLineChars="200"/>
        <w:textAlignment w:val="bottom"/>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签订合同前中选人按中选价的</w:t>
      </w:r>
      <w:r>
        <w:rPr>
          <w:rFonts w:hint="eastAsia" w:ascii="仿宋_GB2312" w:hAnsi="仿宋_GB2312" w:eastAsia="仿宋_GB2312" w:cs="仿宋_GB2312"/>
          <w:sz w:val="32"/>
          <w:szCs w:val="32"/>
          <w:highlight w:val="none"/>
          <w:u w:val="single"/>
          <w:lang w:val="en-US" w:eastAsia="zh-CN"/>
        </w:rPr>
        <w:t>10</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提供现金或银行保函形式的履约保证金至比选人对公账户，履约保证金在完成合同规定的服务内容并经比选人验收合格后退还中选人。</w:t>
      </w:r>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19.2 若中选人未按时提交履约保证金的，比选人将取消其中选资格，并重新组织比选，或者选择由排名第二名的参选人中选，未按时提交履约保证金的参选人应向比选人承担缔约过失责任，损失赔偿按照违约参选人与排名第二的参选人之间的报价价差计算。</w:t>
      </w:r>
      <w:bookmarkStart w:id="75" w:name="_Toc524975684"/>
      <w:bookmarkStart w:id="76" w:name="_Toc524975730"/>
    </w:p>
    <w:p>
      <w:pPr>
        <w:adjustRightInd w:val="0"/>
        <w:snapToGrid w:val="0"/>
        <w:spacing w:line="560" w:lineRule="exact"/>
        <w:ind w:firstLine="643" w:firstLineChars="200"/>
        <w:jc w:val="left"/>
        <w:rPr>
          <w:rFonts w:hint="eastAsia" w:ascii="仿宋_GB2312" w:hAnsi="仿宋_GB2312" w:eastAsia="仿宋_GB2312" w:cs="仿宋_GB2312"/>
          <w:b/>
          <w:bCs/>
          <w:kern w:val="44"/>
          <w:sz w:val="32"/>
          <w:szCs w:val="32"/>
          <w:highlight w:val="none"/>
        </w:rPr>
      </w:pPr>
      <w:r>
        <w:rPr>
          <w:rFonts w:hint="eastAsia" w:ascii="仿宋_GB2312" w:hAnsi="仿宋_GB2312" w:eastAsia="仿宋_GB2312" w:cs="仿宋_GB2312"/>
          <w:b/>
          <w:bCs/>
          <w:kern w:val="44"/>
          <w:sz w:val="32"/>
          <w:szCs w:val="32"/>
          <w:highlight w:val="none"/>
        </w:rPr>
        <w:t>20.合同签署</w:t>
      </w:r>
      <w:bookmarkEnd w:id="75"/>
      <w:bookmarkEnd w:id="76"/>
      <w:bookmarkStart w:id="77" w:name="_Toc524975685"/>
      <w:bookmarkStart w:id="78" w:name="_Toc524975731"/>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 中选人应在中选通知书发出之日起</w:t>
      </w:r>
      <w:r>
        <w:rPr>
          <w:rFonts w:hint="eastAsia" w:ascii="仿宋_GB2312" w:hAnsi="仿宋_GB2312" w:eastAsia="仿宋_GB2312" w:cs="仿宋_GB2312"/>
          <w:sz w:val="32"/>
          <w:szCs w:val="32"/>
          <w:highlight w:val="none"/>
          <w:u w:val="single"/>
        </w:rPr>
        <w:t>7日</w:t>
      </w:r>
      <w:r>
        <w:rPr>
          <w:rFonts w:hint="eastAsia" w:ascii="仿宋_GB2312" w:hAnsi="仿宋_GB2312" w:eastAsia="仿宋_GB2312" w:cs="仿宋_GB2312"/>
          <w:sz w:val="32"/>
          <w:szCs w:val="32"/>
          <w:highlight w:val="none"/>
        </w:rPr>
        <w:t>内与比选人签订合同。由于中选人的原因逾期未与比选人签订合同的，将视为放弃中选，取消其中选资格并将按相关规定进行处理。</w:t>
      </w:r>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 签订合同时中选人不得向比选人提出附加条件，不得与比选人私下订立背离合同实质性内容的任何协议，所签订的合同不得对比选文件和中选人参选文件确定的事项进行修改。否则，比选人将取消其中选资格。</w:t>
      </w:r>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20.3 中选人因不可抗力原因不能履行合同或放弃中选的，或者在签订合同时向比选人提出附加条件的，比选人可以与排在中选人之后第一位的中选候选人签订合同，以此类推或者重新组织比选。</w:t>
      </w:r>
    </w:p>
    <w:p>
      <w:pPr>
        <w:pStyle w:val="4"/>
        <w:adjustRightInd w:val="0"/>
        <w:snapToGrid w:val="0"/>
        <w:spacing w:before="0" w:after="0" w:line="560" w:lineRule="exact"/>
        <w:jc w:val="center"/>
        <w:rPr>
          <w:rFonts w:ascii="仿宋_GB2312" w:hAnsi="仿宋_GB2312" w:eastAsia="仿宋_GB2312" w:cs="仿宋_GB2312"/>
          <w:kern w:val="44"/>
          <w:highlight w:val="none"/>
        </w:rPr>
      </w:pPr>
      <w:r>
        <w:rPr>
          <w:rFonts w:hint="eastAsia" w:ascii="仿宋_GB2312" w:hAnsi="仿宋_GB2312" w:eastAsia="仿宋_GB2312" w:cs="仿宋_GB2312"/>
          <w:kern w:val="44"/>
          <w:sz w:val="36"/>
          <w:szCs w:val="36"/>
          <w:highlight w:val="none"/>
        </w:rPr>
        <w:t>第六节  参选纪律</w:t>
      </w:r>
    </w:p>
    <w:p>
      <w:pPr>
        <w:pStyle w:val="4"/>
        <w:adjustRightInd w:val="0"/>
        <w:snapToGrid w:val="0"/>
        <w:spacing w:before="0" w:after="0" w:line="560" w:lineRule="exact"/>
        <w:ind w:firstLine="643" w:firstLineChars="200"/>
        <w:rPr>
          <w:rFonts w:hint="eastAsia" w:ascii="仿宋_GB2312" w:hAnsi="仿宋_GB2312" w:eastAsia="仿宋_GB2312" w:cs="仿宋_GB2312"/>
          <w:kern w:val="44"/>
          <w:highlight w:val="none"/>
        </w:rPr>
      </w:pPr>
      <w:r>
        <w:rPr>
          <w:rFonts w:hint="eastAsia" w:ascii="仿宋_GB2312" w:hAnsi="仿宋_GB2312" w:eastAsia="仿宋_GB2312" w:cs="仿宋_GB2312"/>
          <w:kern w:val="44"/>
          <w:highlight w:val="none"/>
        </w:rPr>
        <w:t>21.参选纪律监督</w:t>
      </w:r>
      <w:bookmarkEnd w:id="77"/>
      <w:bookmarkEnd w:id="78"/>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参选人存在下列情形的，比选人将否决其参选或取消其中选资格，并按照规定追究法律责任：</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（1）提供虚假材料谋取中选；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（2）采取不正当手段诋毁、排挤其他参选人；</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（3）与比选人、其他参选人恶意串通；</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（4）向比选人、评选小组成员行贿或者提供其他不正当利益；</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（5）中选后无正当理由拒不与比选人签订合同；</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（6）未按照比选文件确定的事项签订合同；</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（7）将合同转包或者违规分包；</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（8）擅自变更、中止或者终止合同；</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（9）拒绝有关部门的监督检查或者向监督检查部门提供虚假情况；</w:t>
      </w:r>
    </w:p>
    <w:p>
      <w:pPr>
        <w:adjustRightInd w:val="0"/>
        <w:snapToGrid w:val="0"/>
        <w:spacing w:line="560" w:lineRule="exact"/>
        <w:ind w:firstLine="64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32"/>
          <w:szCs w:val="32"/>
          <w:highlight w:val="none"/>
        </w:rPr>
        <w:t>（10）法律法规规定的其他情形。</w:t>
      </w:r>
    </w:p>
    <w:p>
      <w:pPr>
        <w:pStyle w:val="11"/>
        <w:adjustRightInd w:val="0"/>
        <w:snapToGrid w:val="0"/>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22.参选文件编制格式：</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格式1：参选函</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格式2：法定代表人身份证明</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格式3：法定代表人授权委托书</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格式4：参选报价表</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格式5：资格条件相关资料</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格式6：商务部分相关资料</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格式7：技术文件</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格式8：参选保证金</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格式9：参选人基本情况表</w:t>
      </w:r>
    </w:p>
    <w:p>
      <w:pPr>
        <w:pStyle w:val="11"/>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格式10：参选人资质证明材料</w:t>
      </w:r>
    </w:p>
    <w:p>
      <w:pPr>
        <w:pStyle w:val="11"/>
        <w:spacing w:line="360" w:lineRule="auto"/>
        <w:ind w:firstLine="64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 w:val="32"/>
          <w:szCs w:val="32"/>
          <w:highlight w:val="none"/>
        </w:rPr>
        <w:t>格式11：参选人反商业贿赂承诺书</w:t>
      </w:r>
    </w:p>
    <w:p>
      <w:pPr>
        <w:pStyle w:val="11"/>
        <w:spacing w:line="360" w:lineRule="auto"/>
        <w:ind w:firstLine="0" w:firstLineChars="0"/>
        <w:rPr>
          <w:rFonts w:hint="eastAsia" w:ascii="仿宋_GB2312" w:hAnsi="仿宋_GB2312" w:eastAsia="仿宋_GB2312" w:cs="仿宋_GB2312"/>
          <w:szCs w:val="21"/>
          <w:highlight w:val="none"/>
        </w:rPr>
      </w:pPr>
    </w:p>
    <w:p>
      <w:pPr>
        <w:pStyle w:val="11"/>
        <w:spacing w:line="360" w:lineRule="auto"/>
        <w:ind w:firstLine="0" w:firstLineChars="0"/>
        <w:rPr>
          <w:rFonts w:hint="eastAsia" w:ascii="仿宋_GB2312" w:hAnsi="仿宋_GB2312" w:eastAsia="仿宋_GB2312" w:cs="仿宋_GB2312"/>
          <w:szCs w:val="21"/>
          <w:highlight w:val="none"/>
        </w:rPr>
      </w:pPr>
    </w:p>
    <w:p>
      <w:pPr>
        <w:pStyle w:val="11"/>
        <w:spacing w:line="360" w:lineRule="auto"/>
        <w:ind w:firstLine="0" w:firstLineChars="0"/>
        <w:rPr>
          <w:rFonts w:hint="eastAsia" w:ascii="仿宋_GB2312" w:hAnsi="仿宋_GB2312" w:eastAsia="仿宋_GB2312" w:cs="仿宋_GB2312"/>
          <w:szCs w:val="21"/>
          <w:highlight w:val="none"/>
        </w:rPr>
      </w:pPr>
    </w:p>
    <w:p>
      <w:pPr>
        <w:pStyle w:val="11"/>
        <w:spacing w:line="360" w:lineRule="auto"/>
        <w:ind w:firstLine="0" w:firstLineChars="0"/>
        <w:rPr>
          <w:rFonts w:hint="eastAsia" w:ascii="仿宋_GB2312" w:hAnsi="仿宋_GB2312" w:eastAsia="仿宋_GB2312" w:cs="仿宋_GB2312"/>
          <w:szCs w:val="21"/>
          <w:highlight w:val="none"/>
        </w:rPr>
      </w:pPr>
    </w:p>
    <w:p>
      <w:pPr>
        <w:spacing w:line="360" w:lineRule="auto"/>
        <w:jc w:val="center"/>
        <w:outlineLvl w:val="0"/>
        <w:rPr>
          <w:rFonts w:hint="eastAsia" w:ascii="仿宋_GB2312" w:hAnsi="仿宋_GB2312" w:eastAsia="仿宋_GB2312" w:cs="仿宋_GB2312"/>
          <w:kern w:val="0"/>
          <w:highlight w:val="none"/>
        </w:rPr>
      </w:pPr>
      <w:bookmarkStart w:id="79" w:name="_Toc9884"/>
      <w:bookmarkStart w:id="80" w:name="_Toc14864"/>
      <w:bookmarkStart w:id="81" w:name="_Toc424134406"/>
      <w:bookmarkStart w:id="82" w:name="_Toc170621349"/>
      <w:bookmarkStart w:id="83" w:name="_Toc170621217"/>
      <w:bookmarkStart w:id="84" w:name="_Toc319791939"/>
      <w:bookmarkStart w:id="85" w:name="_Toc157235915"/>
      <w:bookmarkStart w:id="86" w:name="_Toc390960197"/>
      <w:r>
        <w:rPr>
          <w:rFonts w:hint="eastAsia" w:ascii="仿宋_GB2312" w:hAnsi="仿宋_GB2312" w:eastAsia="仿宋_GB2312" w:cs="仿宋_GB2312"/>
          <w:b/>
          <w:bCs/>
          <w:kern w:val="0"/>
          <w:sz w:val="44"/>
          <w:szCs w:val="44"/>
          <w:highlight w:val="none"/>
        </w:rPr>
        <w:br w:type="page"/>
      </w:r>
      <w:r>
        <w:rPr>
          <w:rFonts w:hint="eastAsia" w:ascii="仿宋_GB2312" w:hAnsi="仿宋_GB2312" w:eastAsia="仿宋_GB2312" w:cs="仿宋_GB2312"/>
          <w:b/>
          <w:bCs/>
          <w:kern w:val="0"/>
          <w:sz w:val="44"/>
          <w:szCs w:val="44"/>
          <w:highlight w:val="none"/>
        </w:rPr>
        <w:t>第三章 合同</w:t>
      </w:r>
      <w:bookmarkEnd w:id="79"/>
      <w:bookmarkEnd w:id="80"/>
      <w:bookmarkStart w:id="87" w:name="_Toc524961480"/>
      <w:bookmarkStart w:id="88" w:name="_Toc524975742"/>
      <w:bookmarkStart w:id="89" w:name="_Toc524975696"/>
      <w:r>
        <w:rPr>
          <w:rFonts w:hint="eastAsia" w:ascii="仿宋_GB2312" w:hAnsi="仿宋_GB2312" w:eastAsia="仿宋_GB2312" w:cs="仿宋_GB2312"/>
          <w:b/>
          <w:bCs/>
          <w:kern w:val="0"/>
          <w:sz w:val="44"/>
          <w:szCs w:val="44"/>
          <w:highlight w:val="none"/>
        </w:rPr>
        <w:t>条件</w:t>
      </w:r>
    </w:p>
    <w:p>
      <w:pPr>
        <w:adjustRightInd w:val="0"/>
        <w:snapToGrid w:val="0"/>
        <w:spacing w:line="360" w:lineRule="auto"/>
        <w:ind w:firstLine="2880" w:firstLineChars="900"/>
        <w:jc w:val="left"/>
        <w:rPr>
          <w:rFonts w:hint="eastAsia" w:ascii="仿宋_GB2312" w:hAnsi="仿宋_GB2312" w:eastAsia="仿宋_GB2312" w:cs="仿宋_GB2312"/>
          <w:kern w:val="0"/>
          <w:highlight w:val="none"/>
        </w:rPr>
      </w:pPr>
      <w:r>
        <w:rPr>
          <w:rFonts w:hint="eastAsia" w:ascii="仿宋_GB2312" w:hAnsi="仿宋_GB2312" w:eastAsia="仿宋_GB2312" w:cs="仿宋_GB2312"/>
          <w:kern w:val="0"/>
          <w:sz w:val="32"/>
          <w:szCs w:val="40"/>
          <w:highlight w:val="none"/>
        </w:rPr>
        <w:t>（具体以签订的合同为准）</w:t>
      </w:r>
    </w:p>
    <w:p>
      <w:pPr>
        <w:adjustRightInd w:val="0"/>
        <w:snapToGrid w:val="0"/>
        <w:spacing w:line="56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合同主要条款</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包含但不限于以下条款</w:t>
      </w:r>
      <w:r>
        <w:rPr>
          <w:rFonts w:hint="eastAsia" w:ascii="仿宋_GB2312" w:hAnsi="仿宋_GB2312" w:eastAsia="仿宋_GB2312" w:cs="仿宋_GB2312"/>
          <w:b/>
          <w:bCs/>
          <w:sz w:val="32"/>
          <w:szCs w:val="32"/>
          <w:highlight w:val="none"/>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rPr>
        <w:t>总价人民币</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（中选人服务期间内，服务配置不得低于最低服务内容、最低配置人数（含本为数），若须增加服务、服务人数则增加部分的费用按照中选单价及实际增加人数据实结算）。</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2.合同服务期限：一年。</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3.最低服务内容和最低服务人数：</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352"/>
        <w:gridCol w:w="887"/>
        <w:gridCol w:w="1096"/>
        <w:gridCol w:w="3459"/>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00" w:type="pct"/>
            <w:gridSpan w:val="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color w:val="000000"/>
                <w:kern w:val="0"/>
                <w:sz w:val="36"/>
                <w:szCs w:val="36"/>
                <w:highlight w:val="none"/>
                <w:u w:val="none"/>
                <w:lang w:val="en-US" w:eastAsia="zh-CN" w:bidi="ar"/>
              </w:rPr>
              <w:t>物业服务需求表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73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工作内容</w:t>
            </w:r>
          </w:p>
        </w:tc>
        <w:tc>
          <w:tcPr>
            <w:tcW w:w="125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项目负责人</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负责对接联系；项目管理计划编制；项目工作会议组织及员工培训管理；工作督查；客户意见处置跟进，客户满意度调查。</w:t>
            </w:r>
          </w:p>
        </w:tc>
        <w:tc>
          <w:tcPr>
            <w:tcW w:w="125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1、男女不限，年龄50岁以下，身体健康，身高1.70米以上；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2、具有较强的管理能力及沟通协调能力，具备物业管理经验。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1.厂区内白班3人；12h/天，6天/周，周末轮休；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2.室内公共区域(过道、会议室、楼梯间、卫生间、茶水间、休息区)日常清洁；室外公共区日常清洁。</w:t>
            </w:r>
          </w:p>
        </w:tc>
        <w:tc>
          <w:tcPr>
            <w:tcW w:w="125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1、男女不限，年龄60岁以下，身体健康；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2、有较强的亲和能力；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3、吃苦耐劳，服从上级领导安排，有敬业精神。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7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安保</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1.厂区内白班2人，厂区内夜班2人,1人轮休；12h/天，6天/周，周末轮休；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2.负责出入口人员、物资、车辆进出安全管理工作；消防报警信息的核实、处理；重点区域、重点事件、可疑人员巡逻，消防、监控信息管理、跟进；每日各种突发事件的应急处理、报告等。</w:t>
            </w:r>
          </w:p>
        </w:tc>
        <w:tc>
          <w:tcPr>
            <w:tcW w:w="125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1、男：身高1.70米以上，年龄30-55岁；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2、具有较强的组织管理和沟通协调能力；                              3、有一定的消防知识；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4、工作中品行诚实，态度诚恳，服务意识强。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绿化养护</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厂区内</w:t>
            </w:r>
          </w:p>
        </w:tc>
        <w:tc>
          <w:tcPr>
            <w:tcW w:w="5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5600平方米</w:t>
            </w:r>
          </w:p>
        </w:tc>
        <w:tc>
          <w:tcPr>
            <w:tcW w:w="345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浇水</w:t>
            </w:r>
            <w:r>
              <w:rPr>
                <w:rFonts w:hint="eastAsia" w:ascii="宋体" w:hAnsi="宋体" w:cs="宋体"/>
                <w:i w:val="0"/>
                <w:iCs w:val="0"/>
                <w:color w:val="000000"/>
                <w:kern w:val="0"/>
                <w:sz w:val="22"/>
                <w:szCs w:val="22"/>
                <w:highlight w:val="none"/>
                <w:u w:val="none"/>
                <w:lang w:val="en-US" w:eastAsia="zh-CN" w:bidi="ar"/>
              </w:rPr>
              <w:t>（平日每周一次；旱季每天一次）</w:t>
            </w:r>
            <w:r>
              <w:rPr>
                <w:rFonts w:hint="eastAsia" w:ascii="宋体" w:hAnsi="宋体" w:eastAsia="宋体" w:cs="宋体"/>
                <w:i w:val="0"/>
                <w:iCs w:val="0"/>
                <w:color w:val="000000"/>
                <w:kern w:val="0"/>
                <w:sz w:val="22"/>
                <w:szCs w:val="22"/>
                <w:highlight w:val="none"/>
                <w:u w:val="none"/>
                <w:lang w:val="en-US" w:eastAsia="zh-CN" w:bidi="ar"/>
              </w:rPr>
              <w:t>、施肥</w:t>
            </w:r>
            <w:r>
              <w:rPr>
                <w:rFonts w:hint="eastAsia" w:ascii="宋体" w:hAnsi="宋体" w:cs="宋体"/>
                <w:i w:val="0"/>
                <w:iCs w:val="0"/>
                <w:color w:val="000000"/>
                <w:kern w:val="0"/>
                <w:sz w:val="22"/>
                <w:szCs w:val="22"/>
                <w:highlight w:val="none"/>
                <w:u w:val="none"/>
                <w:lang w:val="en-US" w:eastAsia="zh-CN" w:bidi="ar"/>
              </w:rPr>
              <w:t>（每季度一次）</w:t>
            </w:r>
            <w:r>
              <w:rPr>
                <w:rFonts w:hint="eastAsia" w:ascii="宋体" w:hAnsi="宋体" w:eastAsia="宋体" w:cs="宋体"/>
                <w:i w:val="0"/>
                <w:iCs w:val="0"/>
                <w:color w:val="000000"/>
                <w:kern w:val="0"/>
                <w:sz w:val="22"/>
                <w:szCs w:val="22"/>
                <w:highlight w:val="none"/>
                <w:u w:val="none"/>
                <w:lang w:val="en-US" w:eastAsia="zh-CN" w:bidi="ar"/>
              </w:rPr>
              <w:t>、整形修剪</w:t>
            </w:r>
            <w:r>
              <w:rPr>
                <w:rFonts w:hint="eastAsia" w:ascii="宋体" w:hAnsi="宋体" w:cs="宋体"/>
                <w:i w:val="0"/>
                <w:iCs w:val="0"/>
                <w:color w:val="000000"/>
                <w:kern w:val="0"/>
                <w:sz w:val="22"/>
                <w:szCs w:val="22"/>
                <w:highlight w:val="none"/>
                <w:u w:val="none"/>
                <w:lang w:val="en-US" w:eastAsia="zh-CN" w:bidi="ar"/>
              </w:rPr>
              <w:t>（每月一次）</w:t>
            </w:r>
            <w:r>
              <w:rPr>
                <w:rFonts w:hint="eastAsia" w:ascii="宋体" w:hAnsi="宋体" w:eastAsia="宋体" w:cs="宋体"/>
                <w:i w:val="0"/>
                <w:iCs w:val="0"/>
                <w:color w:val="000000"/>
                <w:kern w:val="0"/>
                <w:sz w:val="22"/>
                <w:szCs w:val="22"/>
                <w:highlight w:val="none"/>
                <w:u w:val="none"/>
                <w:lang w:val="en-US" w:eastAsia="zh-CN" w:bidi="ar"/>
              </w:rPr>
              <w:t>、病虫害防治、中耕除草</w:t>
            </w:r>
            <w:r>
              <w:rPr>
                <w:rFonts w:hint="eastAsia" w:ascii="宋体" w:hAnsi="宋体" w:cs="宋体"/>
                <w:i w:val="0"/>
                <w:iCs w:val="0"/>
                <w:color w:val="000000"/>
                <w:kern w:val="0"/>
                <w:sz w:val="22"/>
                <w:szCs w:val="22"/>
                <w:highlight w:val="none"/>
                <w:u w:val="none"/>
                <w:lang w:val="en-US" w:eastAsia="zh-CN" w:bidi="ar"/>
              </w:rPr>
              <w:t>（每周一次）</w:t>
            </w:r>
            <w:r>
              <w:rPr>
                <w:rFonts w:hint="eastAsia" w:ascii="宋体" w:hAnsi="宋体" w:eastAsia="宋体" w:cs="宋体"/>
                <w:i w:val="0"/>
                <w:iCs w:val="0"/>
                <w:color w:val="000000"/>
                <w:kern w:val="0"/>
                <w:sz w:val="22"/>
                <w:szCs w:val="22"/>
                <w:highlight w:val="none"/>
                <w:u w:val="none"/>
                <w:lang w:val="en-US" w:eastAsia="zh-CN" w:bidi="ar"/>
              </w:rPr>
              <w:t>、扶正、防护与涂白</w:t>
            </w:r>
            <w:r>
              <w:rPr>
                <w:rFonts w:hint="eastAsia" w:ascii="宋体" w:hAnsi="宋体" w:cs="宋体"/>
                <w:i w:val="0"/>
                <w:iCs w:val="0"/>
                <w:color w:val="000000"/>
                <w:kern w:val="0"/>
                <w:sz w:val="22"/>
                <w:szCs w:val="22"/>
                <w:highlight w:val="none"/>
                <w:u w:val="none"/>
                <w:lang w:val="en-US" w:eastAsia="zh-CN" w:bidi="ar"/>
              </w:rPr>
              <w:t>（每月一次）</w:t>
            </w:r>
            <w:r>
              <w:rPr>
                <w:rFonts w:hint="eastAsia" w:ascii="宋体" w:hAnsi="宋体" w:eastAsia="宋体" w:cs="宋体"/>
                <w:i w:val="0"/>
                <w:iCs w:val="0"/>
                <w:color w:val="000000"/>
                <w:kern w:val="0"/>
                <w:sz w:val="22"/>
                <w:szCs w:val="22"/>
                <w:highlight w:val="none"/>
                <w:u w:val="none"/>
                <w:lang w:val="en-US" w:eastAsia="zh-CN" w:bidi="ar"/>
              </w:rPr>
              <w:t>、切边、培土、复壮、防灾处理、绿化垃圾的转运和处理等所有绿化管理工作；园区清扫保洁、人机配合冲洗；垃圾日产日清及无害化处理等相关环卫工作。约5600平米绿化带。</w:t>
            </w:r>
          </w:p>
        </w:tc>
        <w:tc>
          <w:tcPr>
            <w:tcW w:w="125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1、男性60周岁以下，女性55周岁以下；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2、具有一年以上绿化服务工作经历，熟悉本岗位工作方法和流程；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3、有较强的亲和能力，有吃苦耐劳精神，责任心强。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生活垃圾清运</w:t>
            </w:r>
          </w:p>
        </w:tc>
        <w:tc>
          <w:tcPr>
            <w:tcW w:w="44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550" w:type="pct"/>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车/月</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1.将厂房内已收集生活垃圾集中清运和处理；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2.每周2次，每月8次。</w:t>
            </w:r>
          </w:p>
        </w:tc>
        <w:tc>
          <w:tcPr>
            <w:tcW w:w="1259" w:type="pct"/>
            <w:noWrap w:val="0"/>
            <w:vAlign w:val="center"/>
          </w:tcPr>
          <w:p>
            <w:pPr>
              <w:jc w:val="left"/>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四害消杀</w:t>
            </w:r>
          </w:p>
        </w:tc>
        <w:tc>
          <w:tcPr>
            <w:tcW w:w="445" w:type="pct"/>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c>
          <w:tcPr>
            <w:tcW w:w="550" w:type="pct"/>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次</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1.采用国家批准生产使用的环保类四害消杀药品；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2.消杀频率一年4次。</w:t>
            </w:r>
          </w:p>
        </w:tc>
        <w:tc>
          <w:tcPr>
            <w:tcW w:w="1259" w:type="pct"/>
            <w:noWrap w:val="0"/>
            <w:vAlign w:val="center"/>
          </w:tcPr>
          <w:p>
            <w:pP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2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餐饮</w:t>
            </w:r>
          </w:p>
        </w:tc>
        <w:tc>
          <w:tcPr>
            <w:tcW w:w="445" w:type="pct"/>
            <w:noWrap/>
            <w:vAlign w:val="center"/>
          </w:tcPr>
          <w:p>
            <w:pPr>
              <w:jc w:val="center"/>
              <w:rPr>
                <w:rFonts w:hint="eastAsia" w:ascii="宋体" w:hAnsi="宋体" w:eastAsia="宋体" w:cs="宋体"/>
                <w:i w:val="0"/>
                <w:iCs w:val="0"/>
                <w:color w:val="000000"/>
                <w:sz w:val="22"/>
                <w:szCs w:val="22"/>
                <w:highlight w:val="none"/>
                <w:u w:val="none"/>
              </w:rPr>
            </w:pPr>
          </w:p>
        </w:tc>
        <w:tc>
          <w:tcPr>
            <w:tcW w:w="550" w:type="pct"/>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员工自购</w:t>
            </w:r>
          </w:p>
        </w:tc>
        <w:tc>
          <w:tcPr>
            <w:tcW w:w="173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1.提供中午餐、晚餐，提供多种菜品供员工选择。员工自行消费购买。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2.甲方可提前1-2天告知服务方就餐人数。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3.甲方提供用餐场地、电力。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4.乙方提供餐具，食品电加热设备。</w:t>
            </w:r>
          </w:p>
        </w:tc>
        <w:tc>
          <w:tcPr>
            <w:tcW w:w="1259" w:type="pct"/>
            <w:noWrap w:val="0"/>
            <w:vAlign w:val="center"/>
          </w:tcPr>
          <w:p>
            <w:pPr>
              <w:jc w:val="left"/>
              <w:rPr>
                <w:rFonts w:hint="eastAsia" w:ascii="宋体" w:hAnsi="宋体" w:eastAsia="宋体" w:cs="宋体"/>
                <w:i w:val="0"/>
                <w:iCs w:val="0"/>
                <w:color w:val="000000"/>
                <w:sz w:val="22"/>
                <w:szCs w:val="22"/>
                <w:highlight w:val="none"/>
                <w:u w:val="none"/>
              </w:rPr>
            </w:pPr>
          </w:p>
        </w:tc>
      </w:tr>
    </w:tbl>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4.付款方式</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（1）先服务后付费，次月结清当月费用。双方在次月确认当月费用后的5个工作日内，乙方应向甲方开具足额的增值税专用发票，甲方在收到足额的增值税专用发票后的20个工作日内应向乙方支付服务费用，前11 个月为次月结费，第12个月待甲方进行全年服务金额结算审核后再行支付。</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（2）月度结算费用组成</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a.月度应支付费用=合同总价÷12个月；</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b.月度新增服务/人员服务费用=新增服务/人员数量*中选人员月度单价（不足月按照中选人员月度单价÷当月天数*实际上岗天数计算）</w:t>
      </w:r>
    </w:p>
    <w:p>
      <w:pPr>
        <w:adjustRightInd w:val="0"/>
        <w:snapToGrid w:val="0"/>
        <w:spacing w:line="56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c.月度实际结算费用=月度应支付费用+月度新增服务/人员服务费用</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5.履约保证金</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（1）乙方应在签订合同前，按照甲方比选文件规定向甲方支付履约保证金，履约保证金为合同金额的10%,履约保证金的缴纳方式为现金或见索即付的银行保函。服务期满一次性退还，不计息。</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6.餐饮服务考核</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餐饮服务考核金额全年总计1万元（若考核扣款则在履约保证金中扣除），每半年考核一次，单次考核金额为5000元。</w:t>
      </w:r>
    </w:p>
    <w:tbl>
      <w:tblPr>
        <w:tblStyle w:val="43"/>
        <w:tblpPr w:leftFromText="180" w:rightFromText="180" w:vertAnchor="text" w:horzAnchor="page" w:tblpX="1219" w:tblpY="627"/>
        <w:tblOverlap w:val="never"/>
        <w:tblW w:w="9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459"/>
        <w:gridCol w:w="4915"/>
        <w:gridCol w:w="709"/>
        <w:gridCol w:w="68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9190" w:type="dxa"/>
            <w:gridSpan w:val="6"/>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重庆九洲智造厂区物业服务项目餐饮半年度考核评分表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9190" w:type="dxa"/>
            <w:gridSpan w:val="6"/>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考核单位：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 目</w:t>
            </w:r>
          </w:p>
        </w:tc>
        <w:tc>
          <w:tcPr>
            <w:tcW w:w="4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评分内容</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分值</w:t>
            </w: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得分</w:t>
            </w:r>
          </w:p>
        </w:tc>
        <w:tc>
          <w:tcPr>
            <w:tcW w:w="7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0" w:hRule="atLeast"/>
        </w:trPr>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菜品质量</w:t>
            </w:r>
          </w:p>
        </w:tc>
        <w:tc>
          <w:tcPr>
            <w:tcW w:w="491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1.按照规定菜单、按质、按量、按时烹制饭菜，确保菜品有良好的色、香、味，风味纯正、可口(符合大众口味)；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2.菜品品质优良，无客户反应质量、口味不佳情况；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3.操作过程要严格防止污染，确保生熟分开，半成品二次烹调时做到烧熟煮透，保证符合卫生标准；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4.菜品一周内不重复、有创新能力，定期推新菜、更新口味；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5.严格管控菜品进货、收货质量。</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60</w:t>
            </w: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清洁卫生</w:t>
            </w:r>
          </w:p>
        </w:tc>
        <w:tc>
          <w:tcPr>
            <w:tcW w:w="491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餐具：每餐清洗消毒，放置在保洁柜内保存；车辆卫生，包装材料清洁安全。</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45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配送及时性</w:t>
            </w:r>
          </w:p>
        </w:tc>
        <w:tc>
          <w:tcPr>
            <w:tcW w:w="491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1.餐食按时按量送达；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2.餐食能够即使按需求进行更换。</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服务、行为规范</w:t>
            </w:r>
          </w:p>
        </w:tc>
        <w:tc>
          <w:tcPr>
            <w:tcW w:w="491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1.服务态度好，有良好的服务意识；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2.工作认真负责、廉洁自律、积极主动、勤奋好学，严格遵守各公司项管理制度，按照规 范的工序认真完成本职工作。</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68"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总分</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190" w:type="dxa"/>
            <w:gridSpan w:val="6"/>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注：90分-100分为“优”,75分-</w:t>
            </w:r>
            <w:r>
              <w:rPr>
                <w:rFonts w:hint="eastAsia" w:ascii="宋体" w:hAnsi="宋体" w:cs="宋体"/>
                <w:i w:val="0"/>
                <w:iCs w:val="0"/>
                <w:color w:val="000000"/>
                <w:kern w:val="0"/>
                <w:sz w:val="22"/>
                <w:szCs w:val="22"/>
                <w:highlight w:val="none"/>
                <w:u w:val="none"/>
                <w:lang w:val="en-US" w:eastAsia="zh-CN" w:bidi="ar"/>
              </w:rPr>
              <w:t>89</w:t>
            </w:r>
            <w:r>
              <w:rPr>
                <w:rFonts w:hint="eastAsia" w:ascii="宋体" w:hAnsi="宋体" w:eastAsia="宋体" w:cs="宋体"/>
                <w:i w:val="0"/>
                <w:iCs w:val="0"/>
                <w:color w:val="000000"/>
                <w:kern w:val="0"/>
                <w:sz w:val="22"/>
                <w:szCs w:val="22"/>
                <w:highlight w:val="none"/>
                <w:u w:val="none"/>
                <w:lang w:val="en-US" w:eastAsia="zh-CN" w:bidi="ar"/>
              </w:rPr>
              <w:t>分为“良”,60分-7</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分为“中”,</w:t>
            </w:r>
            <w:r>
              <w:rPr>
                <w:rFonts w:hint="eastAsia" w:ascii="宋体" w:hAnsi="宋体" w:cs="宋体"/>
                <w:i w:val="0"/>
                <w:iCs w:val="0"/>
                <w:color w:val="000000"/>
                <w:kern w:val="0"/>
                <w:sz w:val="22"/>
                <w:szCs w:val="22"/>
                <w:highlight w:val="none"/>
                <w:u w:val="none"/>
                <w:lang w:val="en-US" w:eastAsia="zh-CN" w:bidi="ar"/>
              </w:rPr>
              <w:t>59分</w:t>
            </w:r>
            <w:r>
              <w:rPr>
                <w:rFonts w:hint="eastAsia" w:ascii="宋体" w:hAnsi="宋体" w:eastAsia="宋体" w:cs="宋体"/>
                <w:i w:val="0"/>
                <w:iCs w:val="0"/>
                <w:color w:val="000000"/>
                <w:kern w:val="0"/>
                <w:sz w:val="22"/>
                <w:szCs w:val="22"/>
                <w:highlight w:val="none"/>
                <w:u w:val="none"/>
                <w:lang w:val="en-US" w:eastAsia="zh-CN" w:bidi="ar"/>
              </w:rPr>
              <w:t>以下为“差”；其中</w:t>
            </w:r>
            <w:r>
              <w:rPr>
                <w:rFonts w:hint="eastAsia" w:ascii="宋体" w:hAnsi="宋体" w:cs="宋体"/>
                <w:i w:val="0"/>
                <w:iCs w:val="0"/>
                <w:color w:val="000000"/>
                <w:kern w:val="0"/>
                <w:sz w:val="22"/>
                <w:szCs w:val="22"/>
                <w:highlight w:val="none"/>
                <w:u w:val="none"/>
                <w:lang w:val="en-US" w:eastAsia="zh-CN" w:bidi="ar"/>
              </w:rPr>
              <w:t>90</w:t>
            </w:r>
            <w:r>
              <w:rPr>
                <w:rFonts w:hint="eastAsia" w:ascii="宋体" w:hAnsi="宋体" w:eastAsia="宋体" w:cs="宋体"/>
                <w:i w:val="0"/>
                <w:iCs w:val="0"/>
                <w:color w:val="000000"/>
                <w:kern w:val="0"/>
                <w:sz w:val="22"/>
                <w:szCs w:val="22"/>
                <w:highlight w:val="none"/>
                <w:u w:val="none"/>
                <w:lang w:val="en-US" w:eastAsia="zh-CN" w:bidi="ar"/>
              </w:rPr>
              <w:t>分-100分不扣考核金额，75分-</w:t>
            </w:r>
            <w:r>
              <w:rPr>
                <w:rFonts w:hint="eastAsia" w:ascii="宋体" w:hAnsi="宋体" w:cs="宋体"/>
                <w:i w:val="0"/>
                <w:iCs w:val="0"/>
                <w:color w:val="000000"/>
                <w:kern w:val="0"/>
                <w:sz w:val="22"/>
                <w:szCs w:val="22"/>
                <w:highlight w:val="none"/>
                <w:u w:val="none"/>
                <w:lang w:val="en-US" w:eastAsia="zh-CN" w:bidi="ar"/>
              </w:rPr>
              <w:t>89</w:t>
            </w:r>
            <w:r>
              <w:rPr>
                <w:rFonts w:hint="eastAsia" w:ascii="宋体" w:hAnsi="宋体" w:eastAsia="宋体" w:cs="宋体"/>
                <w:i w:val="0"/>
                <w:iCs w:val="0"/>
                <w:color w:val="000000"/>
                <w:kern w:val="0"/>
                <w:sz w:val="22"/>
                <w:szCs w:val="22"/>
                <w:highlight w:val="none"/>
                <w:u w:val="none"/>
                <w:lang w:val="en-US" w:eastAsia="zh-CN" w:bidi="ar"/>
              </w:rPr>
              <w:t>分扣考核金额的25%，60分-7</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分扣考核金额的50%，</w:t>
            </w:r>
            <w:r>
              <w:rPr>
                <w:rFonts w:hint="eastAsia" w:ascii="宋体" w:hAnsi="宋体" w:cs="宋体"/>
                <w:i w:val="0"/>
                <w:iCs w:val="0"/>
                <w:color w:val="000000"/>
                <w:kern w:val="0"/>
                <w:sz w:val="22"/>
                <w:szCs w:val="22"/>
                <w:highlight w:val="none"/>
                <w:u w:val="none"/>
                <w:lang w:val="en-US" w:eastAsia="zh-CN" w:bidi="ar"/>
              </w:rPr>
              <w:t>59</w:t>
            </w:r>
            <w:r>
              <w:rPr>
                <w:rFonts w:hint="eastAsia" w:ascii="宋体" w:hAnsi="宋体" w:eastAsia="宋体" w:cs="宋体"/>
                <w:i w:val="0"/>
                <w:iCs w:val="0"/>
                <w:color w:val="000000"/>
                <w:kern w:val="0"/>
                <w:sz w:val="22"/>
                <w:szCs w:val="22"/>
                <w:highlight w:val="none"/>
                <w:u w:val="none"/>
                <w:lang w:val="en-US" w:eastAsia="zh-CN" w:bidi="ar"/>
              </w:rPr>
              <w:t>分以下扣考核金额的100%。</w:t>
            </w:r>
          </w:p>
        </w:tc>
      </w:tr>
    </w:tbl>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7.服务内容</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厂区物业服务应当包含保洁、安保、绿化带养护、餐饮配送。</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（2）安保服务：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安保服务内容包括防火防盗、门禁管制、厂区内巡逻、停车场进出车辆管理、外来人员管理、其他安保服务、应急事件协同处理等。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（3）保洁服务：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甲方指定的办公区、生产区、及厂房周围的清洁</w:t>
      </w:r>
      <w:r>
        <w:rPr>
          <w:rFonts w:hint="eastAsia" w:ascii="仿宋_GB2312" w:hAnsi="仿宋_GB2312" w:eastAsia="仿宋_GB2312" w:cs="仿宋_GB2312"/>
          <w:sz w:val="32"/>
          <w:szCs w:val="32"/>
          <w:highlight w:val="none"/>
          <w:lang w:val="en-US" w:eastAsia="zh-CN"/>
        </w:rPr>
        <w:t>等，保持服务区域良好的清洁环境。</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（4）绿化养护服务：</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a.绿化管护内容包括：绿化带保洁、植物修枝整形、行道树栽植养护（行道树不得缺窝）、松土除草、病虫害防治、降尘、浇水、施肥及设施保护和清洁等日常绿化管护作业内容。</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b.绿化改造以及非养护造成死亡的区域补栽、花卉布置费用由甲方负责。</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（5）生活垃圾清运</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w:t>
      </w:r>
      <w:r>
        <w:rPr>
          <w:rFonts w:hint="default" w:ascii="仿宋_GB2312" w:hAnsi="仿宋_GB2312" w:eastAsia="仿宋_GB2312" w:cs="仿宋_GB2312"/>
          <w:sz w:val="32"/>
          <w:szCs w:val="32"/>
          <w:highlight w:val="none"/>
          <w:lang w:val="en-US" w:eastAsia="zh-CN"/>
        </w:rPr>
        <w:t>.将厂房内已收集生活垃圾集中清运和处理。</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w:t>
      </w:r>
      <w:r>
        <w:rPr>
          <w:rFonts w:hint="default" w:ascii="仿宋_GB2312" w:hAnsi="仿宋_GB2312" w:eastAsia="仿宋_GB2312" w:cs="仿宋_GB2312"/>
          <w:sz w:val="32"/>
          <w:szCs w:val="32"/>
          <w:highlight w:val="none"/>
          <w:lang w:val="en-US" w:eastAsia="zh-CN"/>
        </w:rPr>
        <w:t>.每周2次，每月</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次。</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（6）四害消杀：</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w:t>
      </w:r>
      <w:r>
        <w:rPr>
          <w:rFonts w:hint="default" w:ascii="仿宋_GB2312" w:hAnsi="仿宋_GB2312" w:eastAsia="仿宋_GB2312" w:cs="仿宋_GB2312"/>
          <w:sz w:val="32"/>
          <w:szCs w:val="32"/>
          <w:highlight w:val="none"/>
          <w:lang w:val="en-US" w:eastAsia="zh-CN"/>
        </w:rPr>
        <w:t>采用国家批准生产使用的环保类四害消杀药品</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w:t>
      </w:r>
      <w:r>
        <w:rPr>
          <w:rFonts w:hint="default" w:ascii="仿宋_GB2312" w:hAnsi="仿宋_GB2312" w:eastAsia="仿宋_GB2312" w:cs="仿宋_GB2312"/>
          <w:sz w:val="32"/>
          <w:szCs w:val="32"/>
          <w:highlight w:val="none"/>
          <w:lang w:val="en-US" w:eastAsia="zh-CN"/>
        </w:rPr>
        <w:t>.消杀频率一年四次。</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（7）餐饮服务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应确保所配送的餐饮食品新鲜、卫生、符合食品安全标准。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8.双方权利与义务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甲方权利与义务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w:t>
      </w:r>
      <w:r>
        <w:rPr>
          <w:rFonts w:hint="default" w:ascii="仿宋_GB2312" w:hAnsi="仿宋_GB2312" w:eastAsia="仿宋_GB2312" w:cs="仿宋_GB2312"/>
          <w:sz w:val="32"/>
          <w:szCs w:val="32"/>
          <w:highlight w:val="none"/>
          <w:lang w:val="en-US" w:eastAsia="zh-CN"/>
        </w:rPr>
        <w:t>审定乙方撰写的管理方案、年度管理计划、养护计划、监督检查乙方各项方案计划及合同履行情况。</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w:t>
      </w:r>
      <w:r>
        <w:rPr>
          <w:rFonts w:hint="default" w:ascii="仿宋_GB2312" w:hAnsi="仿宋_GB2312" w:eastAsia="仿宋_GB2312" w:cs="仿宋_GB2312"/>
          <w:sz w:val="32"/>
          <w:szCs w:val="32"/>
          <w:highlight w:val="none"/>
          <w:lang w:val="en-US" w:eastAsia="zh-CN"/>
        </w:rPr>
        <w:t>不得干涉乙方依法或依本合同规定内容所进行的管理。</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c.</w:t>
      </w:r>
      <w:r>
        <w:rPr>
          <w:rFonts w:hint="default" w:ascii="仿宋_GB2312" w:hAnsi="仿宋_GB2312" w:eastAsia="仿宋_GB2312" w:cs="仿宋_GB2312"/>
          <w:sz w:val="32"/>
          <w:szCs w:val="32"/>
          <w:highlight w:val="none"/>
          <w:lang w:val="en-US" w:eastAsia="zh-CN"/>
        </w:rPr>
        <w:t>甲方免费提供管理用房。</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d.</w:t>
      </w:r>
      <w:r>
        <w:rPr>
          <w:rFonts w:hint="default" w:ascii="仿宋_GB2312" w:hAnsi="仿宋_GB2312" w:eastAsia="仿宋_GB2312" w:cs="仿宋_GB2312"/>
          <w:sz w:val="32"/>
          <w:szCs w:val="32"/>
          <w:highlight w:val="none"/>
          <w:lang w:val="en-US" w:eastAsia="zh-CN"/>
        </w:rPr>
        <w:t>绿化植物日常管护由甲方委托乙方负责。</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e.</w:t>
      </w:r>
      <w:r>
        <w:rPr>
          <w:rFonts w:hint="default" w:ascii="仿宋_GB2312" w:hAnsi="仿宋_GB2312" w:eastAsia="仿宋_GB2312" w:cs="仿宋_GB2312"/>
          <w:sz w:val="32"/>
          <w:szCs w:val="32"/>
          <w:highlight w:val="none"/>
          <w:lang w:val="en-US" w:eastAsia="zh-CN"/>
        </w:rPr>
        <w:t>依据法律法规规定享有的其他权利及政策规定由甲方承担的其他责任。</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f.</w:t>
      </w:r>
      <w:r>
        <w:rPr>
          <w:rFonts w:hint="default" w:ascii="仿宋_GB2312" w:hAnsi="仿宋_GB2312" w:eastAsia="仿宋_GB2312" w:cs="仿宋_GB2312"/>
          <w:sz w:val="32"/>
          <w:szCs w:val="32"/>
          <w:highlight w:val="none"/>
          <w:lang w:val="en-US" w:eastAsia="zh-CN"/>
        </w:rPr>
        <w:t>甲方有权定期或不定期对乙方的服务进行督导、检查、考核，发现问题提出整改意见。</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h.</w:t>
      </w:r>
      <w:r>
        <w:rPr>
          <w:rFonts w:hint="default" w:ascii="仿宋_GB2312" w:hAnsi="仿宋_GB2312" w:eastAsia="仿宋_GB2312" w:cs="仿宋_GB2312"/>
          <w:sz w:val="32"/>
          <w:szCs w:val="32"/>
          <w:highlight w:val="none"/>
          <w:lang w:val="en-US" w:eastAsia="zh-CN"/>
        </w:rPr>
        <w:t>甲方提供本合同范围内用水、电，并由甲方承担相应费用。</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乙方权利与义务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w:t>
      </w:r>
      <w:r>
        <w:rPr>
          <w:rFonts w:hint="default" w:ascii="仿宋_GB2312" w:hAnsi="仿宋_GB2312" w:eastAsia="仿宋_GB2312" w:cs="仿宋_GB2312"/>
          <w:sz w:val="32"/>
          <w:szCs w:val="32"/>
          <w:highlight w:val="none"/>
          <w:lang w:val="en-US" w:eastAsia="zh-CN"/>
        </w:rPr>
        <w:t>.物业服务</w:t>
      </w:r>
      <w:r>
        <w:rPr>
          <w:rFonts w:hint="eastAsia" w:ascii="仿宋_GB2312" w:hAnsi="仿宋_GB2312" w:eastAsia="仿宋_GB2312" w:cs="仿宋_GB2312"/>
          <w:sz w:val="32"/>
          <w:szCs w:val="32"/>
          <w:highlight w:val="none"/>
          <w:lang w:val="en-US" w:eastAsia="zh-CN"/>
        </w:rPr>
        <w:t>（安保和保洁）</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①依据有关法律、法规、结合实际情况，制订物业管理的各项规章制度。</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②根据各项管理法规、合同规定的要求和甲方授权，对物业实施综合管理服务，确保实际管理目标，并承担相应责任，自觉接受甲方检查监督。</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③合理使用物业公用部分，不得擅自占用或使用公共部分作为经营等其他用途。</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④建立物业管理档案并负责及时记载有关变更情况。</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⑤因乙方服务人员未经许可擅自动用甲方财物，造成财产损失的，乙方对由此产生的财产损失承担赔偿责任。</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w:t>
      </w:r>
      <w:r>
        <w:rPr>
          <w:rFonts w:hint="default" w:ascii="仿宋_GB2312" w:hAnsi="仿宋_GB2312" w:eastAsia="仿宋_GB2312" w:cs="仿宋_GB2312"/>
          <w:sz w:val="32"/>
          <w:szCs w:val="32"/>
          <w:highlight w:val="none"/>
          <w:lang w:val="en-US" w:eastAsia="zh-CN"/>
        </w:rPr>
        <w:t>.餐饮服务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如因乙方提供的食品质量问题导致甲方或第三方受损，乙方应承担相应的法律责任。</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c</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绿化养护</w:t>
      </w:r>
      <w:r>
        <w:rPr>
          <w:rFonts w:hint="default" w:ascii="仿宋_GB2312" w:hAnsi="仿宋_GB2312" w:eastAsia="仿宋_GB2312" w:cs="仿宋_GB2312"/>
          <w:sz w:val="32"/>
          <w:szCs w:val="32"/>
          <w:highlight w:val="none"/>
          <w:lang w:val="en-US" w:eastAsia="zh-CN"/>
        </w:rPr>
        <w:t>服务</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①车辆</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设备：并根据现场管护需求，及时购买、租赁相应车辆</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设备。</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②除不可抗力因素外，乙方不得以任何理由影响、拖延和停止养护，由此产生的一切损失由乙方承担。</w:t>
      </w:r>
    </w:p>
    <w:p>
      <w:pPr>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③除不可抗力因素外，人为损坏或其他各种因素对植物产生的破坏及植物的死亡，乙方自行恢复，产生的费用由乙方承担。</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d.服务人员工资要求</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乙方须保证本物业服务项目各岗位人员基本工资不得低于重庆市最低工资标准。（重庆市最低月工资标准为2100元）</w:t>
      </w:r>
    </w:p>
    <w:p>
      <w:pPr>
        <w:adjustRightInd w:val="0"/>
        <w:snapToGrid w:val="0"/>
        <w:spacing w:line="560" w:lineRule="exact"/>
        <w:ind w:firstLine="420" w:firstLineChars="200"/>
        <w:rPr>
          <w:rFonts w:hint="eastAsia" w:ascii="仿宋_GB2312" w:hAnsi="仿宋_GB2312" w:eastAsia="仿宋_GB2312" w:cs="仿宋_GB2312"/>
          <w:kern w:val="0"/>
          <w:highlight w:val="none"/>
        </w:rPr>
      </w:pPr>
    </w:p>
    <w:p>
      <w:pPr>
        <w:pStyle w:val="2"/>
        <w:spacing w:line="276" w:lineRule="auto"/>
        <w:jc w:val="center"/>
        <w:rPr>
          <w:rFonts w:hint="eastAsia" w:ascii="仿宋_GB2312" w:hAnsi="仿宋_GB2312" w:eastAsia="仿宋_GB2312" w:cs="仿宋_GB2312"/>
          <w:kern w:val="0"/>
          <w:highlight w:val="none"/>
        </w:rPr>
      </w:pPr>
      <w:bookmarkStart w:id="90" w:name="_Toc24620"/>
      <w:bookmarkStart w:id="91" w:name="_Toc23398"/>
      <w:bookmarkStart w:id="92" w:name="_Toc17530"/>
      <w:r>
        <w:rPr>
          <w:rFonts w:hint="eastAsia" w:ascii="仿宋_GB2312" w:hAnsi="仿宋_GB2312" w:eastAsia="仿宋_GB2312" w:cs="仿宋_GB2312"/>
          <w:kern w:val="0"/>
          <w:highlight w:val="none"/>
        </w:rPr>
        <w:br w:type="page"/>
      </w:r>
      <w:r>
        <w:rPr>
          <w:rFonts w:hint="eastAsia" w:ascii="仿宋_GB2312" w:hAnsi="仿宋_GB2312" w:eastAsia="仿宋_GB2312" w:cs="仿宋_GB2312"/>
          <w:kern w:val="0"/>
          <w:highlight w:val="none"/>
        </w:rPr>
        <w:t>第四章 参选文件格式</w:t>
      </w:r>
      <w:bookmarkEnd w:id="81"/>
      <w:bookmarkEnd w:id="87"/>
      <w:bookmarkEnd w:id="88"/>
      <w:bookmarkEnd w:id="89"/>
      <w:bookmarkEnd w:id="90"/>
      <w:bookmarkEnd w:id="91"/>
      <w:bookmarkEnd w:id="92"/>
    </w:p>
    <w:p>
      <w:pPr>
        <w:pStyle w:val="2"/>
        <w:spacing w:line="276" w:lineRule="auto"/>
        <w:jc w:val="center"/>
        <w:rPr>
          <w:rFonts w:hint="eastAsia" w:ascii="仿宋_GB2312" w:hAnsi="仿宋_GB2312" w:eastAsia="仿宋_GB2312" w:cs="仿宋_GB2312"/>
          <w:kern w:val="0"/>
          <w:highlight w:val="none"/>
        </w:rPr>
      </w:pPr>
    </w:p>
    <w:p>
      <w:pPr>
        <w:jc w:val="right"/>
        <w:rPr>
          <w:rFonts w:hint="eastAsia" w:ascii="仿宋_GB2312" w:hAnsi="仿宋_GB2312" w:eastAsia="仿宋_GB2312" w:cs="仿宋_GB2312"/>
          <w:b/>
          <w:sz w:val="28"/>
          <w:szCs w:val="28"/>
          <w:highlight w:val="none"/>
        </w:rPr>
      </w:pPr>
    </w:p>
    <w:p>
      <w:pPr>
        <w:tabs>
          <w:tab w:val="left" w:pos="2505"/>
          <w:tab w:val="center" w:pos="4204"/>
        </w:tabs>
        <w:adjustRightInd w:val="0"/>
        <w:snapToGrid w:val="0"/>
        <w:spacing w:line="360" w:lineRule="auto"/>
        <w:jc w:val="center"/>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重庆九洲智造科技有限公司</w:t>
      </w:r>
    </w:p>
    <w:p>
      <w:pPr>
        <w:tabs>
          <w:tab w:val="left" w:pos="2505"/>
          <w:tab w:val="center" w:pos="4204"/>
        </w:tabs>
        <w:adjustRightInd w:val="0"/>
        <w:snapToGrid w:val="0"/>
        <w:spacing w:line="360" w:lineRule="auto"/>
        <w:jc w:val="center"/>
        <w:rPr>
          <w:rFonts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lang w:val="en-US" w:eastAsia="zh-CN"/>
        </w:rPr>
        <w:t>厂区物业服务</w:t>
      </w:r>
      <w:r>
        <w:rPr>
          <w:rFonts w:hint="eastAsia" w:ascii="仿宋_GB2312" w:hAnsi="仿宋_GB2312" w:eastAsia="仿宋_GB2312" w:cs="仿宋_GB2312"/>
          <w:b/>
          <w:sz w:val="48"/>
          <w:szCs w:val="48"/>
          <w:highlight w:val="none"/>
        </w:rPr>
        <w:t>采购</w:t>
      </w:r>
    </w:p>
    <w:p>
      <w:pPr>
        <w:tabs>
          <w:tab w:val="left" w:pos="2505"/>
          <w:tab w:val="center" w:pos="4204"/>
        </w:tabs>
        <w:adjustRightInd w:val="0"/>
        <w:snapToGrid w:val="0"/>
        <w:spacing w:line="360" w:lineRule="auto"/>
        <w:jc w:val="center"/>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（编号：BXFASPLC20240314000027）</w:t>
      </w:r>
    </w:p>
    <w:p>
      <w:pPr>
        <w:jc w:val="center"/>
        <w:rPr>
          <w:rFonts w:hint="eastAsia" w:ascii="仿宋_GB2312" w:hAnsi="仿宋_GB2312" w:eastAsia="仿宋_GB2312" w:cs="仿宋_GB2312"/>
          <w:b/>
          <w:bCs/>
          <w:sz w:val="48"/>
          <w:szCs w:val="36"/>
          <w:highlight w:val="none"/>
        </w:rPr>
      </w:pPr>
    </w:p>
    <w:p>
      <w:pPr>
        <w:jc w:val="center"/>
        <w:rPr>
          <w:rFonts w:hint="eastAsia" w:ascii="仿宋_GB2312" w:hAnsi="仿宋_GB2312" w:eastAsia="仿宋_GB2312" w:cs="仿宋_GB2312"/>
          <w:b/>
          <w:bCs/>
          <w:sz w:val="52"/>
          <w:highlight w:val="none"/>
        </w:rPr>
      </w:pPr>
    </w:p>
    <w:p>
      <w:pPr>
        <w:jc w:val="center"/>
        <w:rPr>
          <w:rFonts w:hint="eastAsia" w:ascii="仿宋_GB2312" w:hAnsi="仿宋_GB2312" w:eastAsia="仿宋_GB2312" w:cs="仿宋_GB2312"/>
          <w:b/>
          <w:bCs/>
          <w:sz w:val="52"/>
          <w:highlight w:val="none"/>
        </w:rPr>
      </w:pPr>
      <w:r>
        <w:rPr>
          <w:rFonts w:hint="eastAsia" w:ascii="仿宋_GB2312" w:hAnsi="仿宋_GB2312" w:eastAsia="仿宋_GB2312" w:cs="仿宋_GB2312"/>
          <w:b/>
          <w:bCs/>
          <w:sz w:val="52"/>
          <w:highlight w:val="none"/>
        </w:rPr>
        <w:t>参 选 文 件</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spacing w:line="460" w:lineRule="exact"/>
        <w:rPr>
          <w:rFonts w:hint="eastAsia" w:ascii="仿宋_GB2312" w:hAnsi="仿宋_GB2312" w:eastAsia="仿宋_GB2312" w:cs="仿宋_GB2312"/>
          <w:highlight w:val="none"/>
        </w:rPr>
      </w:pPr>
    </w:p>
    <w:p>
      <w:pPr>
        <w:spacing w:line="460" w:lineRule="exact"/>
        <w:rPr>
          <w:rFonts w:hint="eastAsia" w:ascii="仿宋_GB2312" w:hAnsi="仿宋_GB2312" w:eastAsia="仿宋_GB2312" w:cs="仿宋_GB2312"/>
          <w:highlight w:val="none"/>
        </w:rPr>
      </w:pPr>
    </w:p>
    <w:p>
      <w:pPr>
        <w:adjustRightInd w:val="0"/>
        <w:snapToGrid w:val="0"/>
        <w:spacing w:line="900" w:lineRule="exact"/>
        <w:ind w:left="0" w:leftChars="0" w:firstLine="0" w:firstLineChars="0"/>
        <w:jc w:val="center"/>
        <w:rPr>
          <w:rFonts w:hint="eastAsia" w:ascii="仿宋_GB2312" w:hAnsi="仿宋_GB2312" w:eastAsia="仿宋_GB2312" w:cs="仿宋_GB2312"/>
          <w:b/>
          <w:bCs/>
          <w:sz w:val="32"/>
          <w:szCs w:val="32"/>
          <w:highlight w:val="none"/>
          <w:u w:val="single"/>
        </w:rPr>
      </w:pPr>
      <w:r>
        <w:rPr>
          <w:rFonts w:hint="eastAsia" w:ascii="仿宋_GB2312" w:hAnsi="仿宋_GB2312" w:eastAsia="仿宋_GB2312" w:cs="仿宋_GB2312"/>
          <w:b/>
          <w:bCs/>
          <w:sz w:val="32"/>
          <w:szCs w:val="32"/>
          <w:highlight w:val="none"/>
        </w:rPr>
        <w:t>参选人：XXXX（加盖公章）</w:t>
      </w:r>
    </w:p>
    <w:p>
      <w:pPr>
        <w:adjustRightInd w:val="0"/>
        <w:snapToGrid w:val="0"/>
        <w:spacing w:line="660" w:lineRule="exact"/>
        <w:ind w:left="0" w:leftChars="0" w:firstLine="0" w:firstLineChars="0"/>
        <w:jc w:val="center"/>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bCs/>
          <w:sz w:val="32"/>
          <w:szCs w:val="32"/>
          <w:highlight w:val="none"/>
        </w:rPr>
        <w:t>法定代表人或委托代理人：XX（签字）</w:t>
      </w:r>
    </w:p>
    <w:p>
      <w:pPr>
        <w:spacing w:line="900" w:lineRule="exact"/>
        <w:ind w:left="0" w:leftChars="0" w:firstLine="0" w:firstLineChars="0"/>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XXXX年XX月XX日</w:t>
      </w:r>
    </w:p>
    <w:p>
      <w:pPr>
        <w:pStyle w:val="33"/>
        <w:widowControl w:val="0"/>
        <w:rPr>
          <w:rFonts w:hint="eastAsia" w:ascii="仿宋_GB2312" w:hAnsi="仿宋_GB2312" w:eastAsia="仿宋_GB2312" w:cs="仿宋_GB2312"/>
          <w:sz w:val="40"/>
          <w:szCs w:val="36"/>
          <w:highlight w:val="none"/>
        </w:rPr>
      </w:pPr>
      <w:bookmarkStart w:id="93" w:name="_Toc424134407"/>
      <w:r>
        <w:rPr>
          <w:rFonts w:hint="eastAsia" w:ascii="仿宋_GB2312" w:hAnsi="仿宋_GB2312" w:eastAsia="仿宋_GB2312" w:cs="仿宋_GB2312"/>
          <w:sz w:val="28"/>
          <w:szCs w:val="24"/>
          <w:highlight w:val="none"/>
        </w:rPr>
        <w:br w:type="page"/>
      </w:r>
      <w:r>
        <w:rPr>
          <w:rFonts w:hint="eastAsia" w:ascii="仿宋_GB2312" w:hAnsi="仿宋_GB2312" w:eastAsia="仿宋_GB2312" w:cs="仿宋_GB2312"/>
          <w:sz w:val="40"/>
          <w:szCs w:val="36"/>
          <w:highlight w:val="none"/>
        </w:rPr>
        <w:t>目 录</w:t>
      </w:r>
    </w:p>
    <w:p>
      <w:pPr>
        <w:pStyle w:val="33"/>
        <w:widowControl w:val="0"/>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32"/>
          <w:szCs w:val="28"/>
          <w:highlight w:val="none"/>
        </w:rPr>
        <w:t>（按照以下顺序自拟目录）</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参选函</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法定代表人身份证明</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法定代表人授权委托书</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参选报价表</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资格条件相关资料</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商务部分相关资料</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技术文件</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参选保证金</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参选人基本情况表</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参选人资质证明材料</w:t>
      </w:r>
    </w:p>
    <w:p>
      <w:pPr>
        <w:spacing w:before="156" w:beforeLines="50" w:after="156" w:afterLines="50" w:line="4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参选人反商业贿赂承诺书</w:t>
      </w:r>
    </w:p>
    <w:p>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br w:type="page"/>
      </w:r>
      <w:bookmarkEnd w:id="82"/>
      <w:bookmarkEnd w:id="83"/>
      <w:bookmarkEnd w:id="84"/>
      <w:bookmarkEnd w:id="85"/>
      <w:bookmarkEnd w:id="86"/>
      <w:bookmarkEnd w:id="93"/>
      <w:r>
        <w:rPr>
          <w:rFonts w:hint="eastAsia" w:ascii="仿宋_GB2312" w:hAnsi="仿宋_GB2312" w:eastAsia="仿宋_GB2312" w:cs="仿宋_GB2312"/>
          <w:b/>
          <w:sz w:val="36"/>
          <w:szCs w:val="36"/>
          <w:highlight w:val="none"/>
          <w:lang w:eastAsia="zh-CN"/>
        </w:rPr>
        <w:t>（</w:t>
      </w:r>
      <w:r>
        <w:rPr>
          <w:rFonts w:hint="eastAsia" w:ascii="仿宋_GB2312" w:hAnsi="仿宋_GB2312" w:eastAsia="仿宋_GB2312" w:cs="仿宋_GB2312"/>
          <w:b/>
          <w:sz w:val="36"/>
          <w:szCs w:val="36"/>
          <w:highlight w:val="none"/>
        </w:rPr>
        <w:t>一）参选函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致：重庆九洲智造科技有限公司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公示网站获取的</w:t>
      </w:r>
      <w:r>
        <w:rPr>
          <w:rFonts w:hint="eastAsia" w:ascii="仿宋_GB2312" w:hAnsi="仿宋_GB2312" w:eastAsia="仿宋_GB2312" w:cs="仿宋_GB2312"/>
          <w:sz w:val="32"/>
          <w:szCs w:val="32"/>
          <w:highlight w:val="none"/>
        </w:rPr>
        <w:t>贵司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（本比选文件约定的项目名称及编号）比选文件，我单位认真研究上述采购比选文件。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我方愿以人民币（金额、单位）（¥：</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的参选报价按比选文件要求完成上述项目的全部工作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报价保留两位小数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2.我方承诺响应比选文件的所有条款，如有不符，将在偏离项中说明。</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3.我方完全理解贵司无义务必须接受最低报价的参选或有权拒绝所有的参选，贵司无须为此承担任何责任。</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4.一旦我方中选，我方保证按照比选文件的规定完成规定工作，质量达到比选文件要求。</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5.如果我方中选，贵司的中选通知书和本参选文件将构成约束我们双方的合同组成部分。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6.本参选文件有效期为自评选日起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i/>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日历天。</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7.与本次参选有关的一切正式信函请寄：</w:t>
      </w:r>
    </w:p>
    <w:p>
      <w:pPr>
        <w:pStyle w:val="10"/>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u w:val="single"/>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；个人职务：</w:t>
      </w:r>
      <w:r>
        <w:rPr>
          <w:rFonts w:hint="eastAsia" w:ascii="仿宋_GB2312" w:hAnsi="仿宋_GB2312" w:eastAsia="仿宋_GB2312" w:cs="仿宋_GB2312"/>
          <w:sz w:val="32"/>
          <w:szCs w:val="32"/>
          <w:highlight w:val="none"/>
          <w:u w:val="single"/>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电话/传真：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；电子邮箱：</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32"/>
          <w:szCs w:val="32"/>
          <w:highlight w:val="none"/>
        </w:rPr>
        <w:t>8.参选人认为其它需承诺的内容：</w:t>
      </w:r>
    </w:p>
    <w:tbl>
      <w:tblPr>
        <w:tblStyle w:val="16"/>
        <w:tblpPr w:leftFromText="180" w:rightFromText="180" w:vertAnchor="text" w:horzAnchor="page" w:tblpX="5020" w:tblpY="453"/>
        <w:tblW w:w="0" w:type="auto"/>
        <w:tblInd w:w="0" w:type="dxa"/>
        <w:tblLayout w:type="fixed"/>
        <w:tblCellMar>
          <w:top w:w="0" w:type="dxa"/>
          <w:left w:w="108" w:type="dxa"/>
          <w:bottom w:w="0" w:type="dxa"/>
          <w:right w:w="108" w:type="dxa"/>
        </w:tblCellMar>
      </w:tblPr>
      <w:tblGrid>
        <w:gridCol w:w="2235"/>
        <w:gridCol w:w="3741"/>
      </w:tblGrid>
      <w:tr>
        <w:tblPrEx>
          <w:tblCellMar>
            <w:top w:w="0" w:type="dxa"/>
            <w:left w:w="108" w:type="dxa"/>
            <w:bottom w:w="0" w:type="dxa"/>
            <w:right w:w="108" w:type="dxa"/>
          </w:tblCellMar>
        </w:tblPrEx>
        <w:trPr>
          <w:cantSplit/>
          <w:trHeight w:val="567"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tc>
        <w:tc>
          <w:tcPr>
            <w:tcW w:w="3741" w:type="dxa"/>
            <w:tcBorders>
              <w:top w:val="nil"/>
              <w:left w:val="nil"/>
              <w:bottom w:val="single" w:color="auto" w:sz="4" w:space="0"/>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(盖单位公章)</w:t>
            </w:r>
          </w:p>
        </w:tc>
      </w:tr>
      <w:tr>
        <w:tblPrEx>
          <w:tblCellMar>
            <w:top w:w="0" w:type="dxa"/>
            <w:left w:w="108" w:type="dxa"/>
            <w:bottom w:w="0" w:type="dxa"/>
            <w:right w:w="108" w:type="dxa"/>
          </w:tblCellMar>
        </w:tblPrEx>
        <w:trPr>
          <w:cantSplit/>
          <w:trHeight w:val="850"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p>
        </w:tc>
        <w:tc>
          <w:tcPr>
            <w:tcW w:w="3741" w:type="dxa"/>
            <w:tcBorders>
              <w:top w:val="nil"/>
              <w:left w:val="nil"/>
              <w:bottom w:val="single" w:color="auto" w:sz="4" w:space="0"/>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r>
      <w:tr>
        <w:tblPrEx>
          <w:tblCellMar>
            <w:top w:w="0" w:type="dxa"/>
            <w:left w:w="108" w:type="dxa"/>
            <w:bottom w:w="0" w:type="dxa"/>
            <w:right w:w="108" w:type="dxa"/>
          </w:tblCellMar>
        </w:tblPrEx>
        <w:trPr>
          <w:cantSplit/>
          <w:trHeight w:val="567"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3741" w:type="dxa"/>
            <w:tcBorders>
              <w:top w:val="single" w:color="auto" w:sz="4" w:space="0"/>
              <w:left w:val="nil"/>
              <w:bottom w:val="single" w:color="auto" w:sz="4" w:space="0"/>
              <w:right w:val="nil"/>
            </w:tcBorders>
            <w:noWrap w:val="0"/>
            <w:vAlign w:val="center"/>
          </w:tcPr>
          <w:p>
            <w:pPr>
              <w:pStyle w:val="38"/>
              <w:adjustRightInd w:val="0"/>
              <w:snapToGrid w:val="0"/>
              <w:spacing w:line="240" w:lineRule="auto"/>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tc>
      </w:tr>
    </w:tbl>
    <w:p>
      <w:pPr>
        <w:adjustRightInd w:val="0"/>
        <w:snapToGrid w:val="0"/>
        <w:spacing w:line="560" w:lineRule="exact"/>
        <w:ind w:firstLine="480" w:firstLineChars="200"/>
        <w:rPr>
          <w:rFonts w:hint="eastAsia" w:ascii="仿宋_GB2312" w:hAnsi="仿宋_GB2312" w:eastAsia="仿宋_GB2312" w:cs="仿宋_GB2312"/>
          <w:sz w:val="24"/>
          <w:highlight w:val="none"/>
        </w:rPr>
      </w:pPr>
    </w:p>
    <w:p>
      <w:pPr>
        <w:adjustRightInd w:val="0"/>
        <w:snapToGrid w:val="0"/>
        <w:spacing w:line="560" w:lineRule="exact"/>
        <w:ind w:firstLine="480" w:firstLineChars="200"/>
        <w:rPr>
          <w:rFonts w:hint="eastAsia" w:ascii="仿宋_GB2312" w:hAnsi="仿宋_GB2312" w:eastAsia="仿宋_GB2312" w:cs="仿宋_GB2312"/>
          <w:sz w:val="24"/>
          <w:highlight w:val="none"/>
        </w:rPr>
      </w:pPr>
    </w:p>
    <w:p>
      <w:pPr>
        <w:spacing w:line="460" w:lineRule="exact"/>
        <w:jc w:val="left"/>
        <w:rPr>
          <w:rFonts w:hint="eastAsia" w:ascii="仿宋_GB2312" w:hAnsi="仿宋_GB2312" w:eastAsia="仿宋_GB2312" w:cs="仿宋_GB2312"/>
          <w:b/>
          <w:sz w:val="24"/>
          <w:highlight w:val="none"/>
        </w:rPr>
      </w:pPr>
    </w:p>
    <w:p>
      <w:pPr>
        <w:spacing w:line="460" w:lineRule="exact"/>
        <w:jc w:val="left"/>
        <w:rPr>
          <w:rFonts w:hint="eastAsia" w:ascii="仿宋_GB2312" w:hAnsi="仿宋_GB2312" w:eastAsia="仿宋_GB2312" w:cs="仿宋_GB2312"/>
          <w:b/>
          <w:sz w:val="24"/>
          <w:highlight w:val="none"/>
        </w:rPr>
      </w:pPr>
    </w:p>
    <w:p>
      <w:pPr>
        <w:spacing w:line="460" w:lineRule="exact"/>
        <w:jc w:val="left"/>
        <w:rPr>
          <w:rFonts w:hint="eastAsia" w:ascii="仿宋_GB2312" w:hAnsi="仿宋_GB2312" w:eastAsia="仿宋_GB2312" w:cs="仿宋_GB2312"/>
          <w:b/>
          <w:sz w:val="24"/>
          <w:highlight w:val="none"/>
        </w:rPr>
      </w:pPr>
    </w:p>
    <w:p>
      <w:pPr>
        <w:spacing w:before="156" w:beforeLines="50" w:after="156" w:afterLines="50" w:line="4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36"/>
          <w:szCs w:val="36"/>
          <w:highlight w:val="none"/>
        </w:rPr>
        <w:t>（二）法定代表人身份证明</w:t>
      </w:r>
    </w:p>
    <w:p>
      <w:pPr>
        <w:spacing w:line="560" w:lineRule="exact"/>
        <w:ind w:right="1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color w:val="auto"/>
          <w:sz w:val="32"/>
          <w:szCs w:val="32"/>
          <w:highlight w:val="none"/>
        </w:rPr>
        <w:t>重庆九洲智造科技有限公司</w:t>
      </w:r>
    </w:p>
    <w:p>
      <w:pPr>
        <w:spacing w:line="560" w:lineRule="exact"/>
        <w:ind w:right="125"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（法定代表人姓名） </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u w:val="single"/>
        </w:rPr>
        <w:t xml:space="preserve">    （参选人）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 xml:space="preserve"> 处任</w:t>
      </w:r>
      <w:r>
        <w:rPr>
          <w:rFonts w:hint="eastAsia" w:ascii="仿宋_GB2312" w:hAnsi="仿宋_GB2312" w:eastAsia="仿宋_GB2312" w:cs="仿宋_GB2312"/>
          <w:sz w:val="32"/>
          <w:szCs w:val="32"/>
          <w:highlight w:val="none"/>
          <w:u w:val="single"/>
        </w:rPr>
        <w:t xml:space="preserve">      （职务名称）</w:t>
      </w:r>
      <w:r>
        <w:rPr>
          <w:rFonts w:hint="eastAsia" w:ascii="仿宋_GB2312" w:hAnsi="仿宋_GB2312" w:eastAsia="仿宋_GB2312" w:cs="仿宋_GB2312"/>
          <w:sz w:val="32"/>
          <w:szCs w:val="32"/>
          <w:highlight w:val="none"/>
        </w:rPr>
        <w:t xml:space="preserve">，系 </w:t>
      </w:r>
      <w:r>
        <w:rPr>
          <w:rFonts w:hint="eastAsia" w:ascii="仿宋_GB2312" w:hAnsi="仿宋_GB2312" w:eastAsia="仿宋_GB2312" w:cs="仿宋_GB2312"/>
          <w:sz w:val="32"/>
          <w:szCs w:val="32"/>
          <w:highlight w:val="none"/>
          <w:u w:val="single"/>
        </w:rPr>
        <w:t xml:space="preserve">    （参选人）   </w:t>
      </w:r>
      <w:r>
        <w:rPr>
          <w:rFonts w:hint="eastAsia" w:ascii="仿宋_GB2312" w:hAnsi="仿宋_GB2312" w:eastAsia="仿宋_GB2312" w:cs="仿宋_GB2312"/>
          <w:sz w:val="32"/>
          <w:szCs w:val="32"/>
          <w:highlight w:val="none"/>
        </w:rPr>
        <w:t>的法定代表人。</w:t>
      </w:r>
    </w:p>
    <w:p>
      <w:pPr>
        <w:spacing w:line="560" w:lineRule="exact"/>
        <w:ind w:right="125"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tbl>
      <w:tblPr>
        <w:tblStyle w:val="16"/>
        <w:tblpPr w:leftFromText="180" w:rightFromText="180" w:vertAnchor="text" w:horzAnchor="page" w:tblpX="5035" w:tblpY="128"/>
        <w:tblW w:w="0" w:type="auto"/>
        <w:tblInd w:w="0" w:type="dxa"/>
        <w:tblLayout w:type="fixed"/>
        <w:tblCellMar>
          <w:top w:w="0" w:type="dxa"/>
          <w:left w:w="108" w:type="dxa"/>
          <w:bottom w:w="0" w:type="dxa"/>
          <w:right w:w="108" w:type="dxa"/>
        </w:tblCellMar>
      </w:tblPr>
      <w:tblGrid>
        <w:gridCol w:w="2343"/>
        <w:gridCol w:w="3513"/>
      </w:tblGrid>
      <w:tr>
        <w:tblPrEx>
          <w:tblCellMar>
            <w:top w:w="0" w:type="dxa"/>
            <w:left w:w="108" w:type="dxa"/>
            <w:bottom w:w="0" w:type="dxa"/>
            <w:right w:w="108" w:type="dxa"/>
          </w:tblCellMar>
        </w:tblPrEx>
        <w:trPr>
          <w:cantSplit/>
          <w:trHeight w:val="567" w:hRule="exact"/>
        </w:trPr>
        <w:tc>
          <w:tcPr>
            <w:tcW w:w="2343" w:type="dxa"/>
            <w:tcBorders>
              <w:top w:val="nil"/>
              <w:left w:val="nil"/>
              <w:bottom w:val="nil"/>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tc>
        <w:tc>
          <w:tcPr>
            <w:tcW w:w="3513" w:type="dxa"/>
            <w:tcBorders>
              <w:top w:val="nil"/>
              <w:left w:val="nil"/>
              <w:bottom w:val="single" w:color="auto" w:sz="4" w:space="0"/>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(盖单位公章)</w:t>
            </w:r>
          </w:p>
        </w:tc>
      </w:tr>
      <w:tr>
        <w:tblPrEx>
          <w:tblCellMar>
            <w:top w:w="0" w:type="dxa"/>
            <w:left w:w="108" w:type="dxa"/>
            <w:bottom w:w="0" w:type="dxa"/>
            <w:right w:w="108" w:type="dxa"/>
          </w:tblCellMar>
        </w:tblPrEx>
        <w:trPr>
          <w:cantSplit/>
          <w:trHeight w:val="567" w:hRule="exact"/>
        </w:trPr>
        <w:tc>
          <w:tcPr>
            <w:tcW w:w="2343" w:type="dxa"/>
            <w:tcBorders>
              <w:top w:val="nil"/>
              <w:left w:val="nil"/>
              <w:bottom w:val="nil"/>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p>
        </w:tc>
        <w:tc>
          <w:tcPr>
            <w:tcW w:w="3513" w:type="dxa"/>
            <w:tcBorders>
              <w:top w:val="nil"/>
              <w:left w:val="nil"/>
              <w:bottom w:val="single" w:color="auto" w:sz="4" w:space="0"/>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r>
      <w:tr>
        <w:tblPrEx>
          <w:tblCellMar>
            <w:top w:w="0" w:type="dxa"/>
            <w:left w:w="108" w:type="dxa"/>
            <w:bottom w:w="0" w:type="dxa"/>
            <w:right w:w="108" w:type="dxa"/>
          </w:tblCellMar>
        </w:tblPrEx>
        <w:trPr>
          <w:cantSplit/>
          <w:trHeight w:val="567" w:hRule="exact"/>
        </w:trPr>
        <w:tc>
          <w:tcPr>
            <w:tcW w:w="2343" w:type="dxa"/>
            <w:tcBorders>
              <w:top w:val="nil"/>
              <w:left w:val="nil"/>
              <w:bottom w:val="nil"/>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3513" w:type="dxa"/>
            <w:tcBorders>
              <w:top w:val="single" w:color="auto" w:sz="4" w:space="0"/>
              <w:left w:val="nil"/>
              <w:bottom w:val="single" w:color="auto" w:sz="4" w:space="0"/>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tc>
      </w:tr>
    </w:tbl>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注：法定代表人亲自参选时，应提供该法定代表人身份证明，并附法定代表人身份证复印件。</w:t>
      </w: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rPr>
          <w:rFonts w:hint="eastAsia" w:ascii="仿宋_GB2312" w:hAnsi="仿宋_GB2312" w:eastAsia="仿宋_GB2312" w:cs="仿宋_GB2312"/>
          <w:b/>
          <w:sz w:val="32"/>
          <w:szCs w:val="32"/>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lang w:eastAsia="zh-CN"/>
        </w:rPr>
        <w:t>（</w:t>
      </w:r>
      <w:r>
        <w:rPr>
          <w:rFonts w:hint="eastAsia" w:ascii="仿宋_GB2312" w:hAnsi="仿宋_GB2312" w:eastAsia="仿宋_GB2312" w:cs="仿宋_GB2312"/>
          <w:b/>
          <w:sz w:val="36"/>
          <w:szCs w:val="36"/>
          <w:highlight w:val="none"/>
        </w:rPr>
        <w:t>三）法定代表人授权委托书</w:t>
      </w:r>
    </w:p>
    <w:p>
      <w:pPr>
        <w:spacing w:line="560" w:lineRule="exact"/>
        <w:ind w:right="125"/>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color w:val="auto"/>
          <w:sz w:val="32"/>
          <w:szCs w:val="32"/>
          <w:highlight w:val="none"/>
        </w:rPr>
        <w:t>重庆九洲智造科技有限公司</w:t>
      </w:r>
    </w:p>
    <w:p>
      <w:pPr>
        <w:spacing w:line="560" w:lineRule="exact"/>
        <w:ind w:right="125"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本授权委托书声明： </w:t>
      </w:r>
      <w:r>
        <w:rPr>
          <w:rFonts w:hint="eastAsia" w:ascii="仿宋_GB2312" w:hAnsi="仿宋_GB2312" w:eastAsia="仿宋_GB2312" w:cs="仿宋_GB2312"/>
          <w:sz w:val="32"/>
          <w:szCs w:val="32"/>
          <w:highlight w:val="none"/>
          <w:u w:val="single"/>
        </w:rPr>
        <w:t xml:space="preserve">   （参选人） 的（法定代表人职务、姓名）    </w:t>
      </w:r>
      <w:r>
        <w:rPr>
          <w:rFonts w:hint="eastAsia" w:ascii="仿宋_GB2312" w:hAnsi="仿宋_GB2312" w:eastAsia="仿宋_GB2312" w:cs="仿宋_GB2312"/>
          <w:sz w:val="32"/>
          <w:szCs w:val="32"/>
          <w:highlight w:val="none"/>
        </w:rPr>
        <w:t>，现授权</w:t>
      </w:r>
      <w:r>
        <w:rPr>
          <w:rFonts w:hint="eastAsia" w:ascii="仿宋_GB2312" w:hAnsi="仿宋_GB2312" w:eastAsia="仿宋_GB2312" w:cs="仿宋_GB2312"/>
          <w:sz w:val="32"/>
          <w:szCs w:val="32"/>
          <w:highlight w:val="none"/>
          <w:u w:val="single"/>
        </w:rPr>
        <w:t xml:space="preserve">      （委托代理人姓名、职务）    </w:t>
      </w:r>
      <w:r>
        <w:rPr>
          <w:rFonts w:hint="eastAsia" w:ascii="仿宋_GB2312" w:hAnsi="仿宋_GB2312" w:eastAsia="仿宋_GB2312" w:cs="仿宋_GB2312"/>
          <w:sz w:val="32"/>
          <w:szCs w:val="32"/>
          <w:highlight w:val="none"/>
        </w:rPr>
        <w:t>为我公司委托代理人，以我司的名义参加贵司</w:t>
      </w:r>
      <w:r>
        <w:rPr>
          <w:rFonts w:hint="eastAsia" w:ascii="仿宋_GB2312" w:hAnsi="仿宋_GB2312" w:eastAsia="仿宋_GB2312" w:cs="仿宋_GB2312"/>
          <w:sz w:val="32"/>
          <w:szCs w:val="32"/>
          <w:highlight w:val="none"/>
          <w:u w:val="single"/>
        </w:rPr>
        <w:t xml:space="preserve">   （比选项目名称及编号）    </w:t>
      </w:r>
      <w:r>
        <w:rPr>
          <w:rFonts w:hint="eastAsia" w:ascii="仿宋_GB2312" w:hAnsi="仿宋_GB2312" w:eastAsia="仿宋_GB2312" w:cs="仿宋_GB2312"/>
          <w:sz w:val="32"/>
          <w:szCs w:val="32"/>
          <w:highlight w:val="none"/>
        </w:rPr>
        <w:t>项目比选活动。委托代理人在参选、评选、合同谈判过程中所签署的一切文件和处理与之有关承认的一切事务，我司均予以认可。</w:t>
      </w:r>
    </w:p>
    <w:p>
      <w:pPr>
        <w:spacing w:line="560" w:lineRule="exact"/>
        <w:ind w:right="125"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委托代理人无转委托权。</w:t>
      </w:r>
    </w:p>
    <w:p>
      <w:pPr>
        <w:spacing w:line="460" w:lineRule="exact"/>
        <w:ind w:right="125"/>
        <w:rPr>
          <w:rFonts w:hint="eastAsia" w:ascii="仿宋_GB2312" w:hAnsi="仿宋_GB2312" w:eastAsia="仿宋_GB2312" w:cs="仿宋_GB2312"/>
          <w:sz w:val="24"/>
          <w:highlight w:val="none"/>
        </w:rPr>
      </w:pPr>
    </w:p>
    <w:tbl>
      <w:tblPr>
        <w:tblStyle w:val="16"/>
        <w:tblpPr w:leftFromText="180" w:rightFromText="180" w:vertAnchor="text" w:horzAnchor="page" w:tblpX="5372" w:tblpY="135"/>
        <w:tblW w:w="0" w:type="auto"/>
        <w:tblInd w:w="0" w:type="dxa"/>
        <w:tblLayout w:type="fixed"/>
        <w:tblCellMar>
          <w:top w:w="0" w:type="dxa"/>
          <w:left w:w="108" w:type="dxa"/>
          <w:bottom w:w="0" w:type="dxa"/>
          <w:right w:w="108" w:type="dxa"/>
        </w:tblCellMar>
      </w:tblPr>
      <w:tblGrid>
        <w:gridCol w:w="1998"/>
        <w:gridCol w:w="3513"/>
      </w:tblGrid>
      <w:tr>
        <w:tblPrEx>
          <w:tblCellMar>
            <w:top w:w="0" w:type="dxa"/>
            <w:left w:w="108" w:type="dxa"/>
            <w:bottom w:w="0" w:type="dxa"/>
            <w:right w:w="108" w:type="dxa"/>
          </w:tblCellMar>
        </w:tblPrEx>
        <w:trPr>
          <w:cantSplit/>
          <w:trHeight w:val="567" w:hRule="exact"/>
        </w:trPr>
        <w:tc>
          <w:tcPr>
            <w:tcW w:w="1998" w:type="dxa"/>
            <w:tcBorders>
              <w:top w:val="nil"/>
              <w:left w:val="nil"/>
              <w:bottom w:val="nil"/>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tc>
        <w:tc>
          <w:tcPr>
            <w:tcW w:w="3513" w:type="dxa"/>
            <w:tcBorders>
              <w:top w:val="nil"/>
              <w:left w:val="nil"/>
              <w:bottom w:val="single" w:color="auto" w:sz="4" w:space="0"/>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(盖单位公章)</w:t>
            </w:r>
          </w:p>
        </w:tc>
      </w:tr>
      <w:tr>
        <w:tblPrEx>
          <w:tblCellMar>
            <w:top w:w="0" w:type="dxa"/>
            <w:left w:w="108" w:type="dxa"/>
            <w:bottom w:w="0" w:type="dxa"/>
            <w:right w:w="108" w:type="dxa"/>
          </w:tblCellMar>
        </w:tblPrEx>
        <w:trPr>
          <w:cantSplit/>
          <w:trHeight w:val="567" w:hRule="exact"/>
        </w:trPr>
        <w:tc>
          <w:tcPr>
            <w:tcW w:w="1998" w:type="dxa"/>
            <w:tcBorders>
              <w:top w:val="nil"/>
              <w:left w:val="nil"/>
              <w:bottom w:val="nil"/>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p>
        </w:tc>
        <w:tc>
          <w:tcPr>
            <w:tcW w:w="3513" w:type="dxa"/>
            <w:tcBorders>
              <w:top w:val="nil"/>
              <w:left w:val="nil"/>
              <w:bottom w:val="single" w:color="auto" w:sz="4" w:space="0"/>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r>
      <w:tr>
        <w:tblPrEx>
          <w:tblCellMar>
            <w:top w:w="0" w:type="dxa"/>
            <w:left w:w="108" w:type="dxa"/>
            <w:bottom w:w="0" w:type="dxa"/>
            <w:right w:w="108" w:type="dxa"/>
          </w:tblCellMar>
        </w:tblPrEx>
        <w:trPr>
          <w:cantSplit/>
          <w:trHeight w:val="567" w:hRule="exact"/>
        </w:trPr>
        <w:tc>
          <w:tcPr>
            <w:tcW w:w="1998" w:type="dxa"/>
            <w:tcBorders>
              <w:top w:val="nil"/>
              <w:left w:val="nil"/>
              <w:bottom w:val="nil"/>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w:t>
            </w:r>
          </w:p>
        </w:tc>
        <w:tc>
          <w:tcPr>
            <w:tcW w:w="3513" w:type="dxa"/>
            <w:tcBorders>
              <w:top w:val="nil"/>
              <w:left w:val="nil"/>
              <w:bottom w:val="single" w:color="auto" w:sz="4" w:space="0"/>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r>
      <w:tr>
        <w:tblPrEx>
          <w:tblCellMar>
            <w:top w:w="0" w:type="dxa"/>
            <w:left w:w="108" w:type="dxa"/>
            <w:bottom w:w="0" w:type="dxa"/>
            <w:right w:w="108" w:type="dxa"/>
          </w:tblCellMar>
        </w:tblPrEx>
        <w:trPr>
          <w:cantSplit/>
          <w:trHeight w:val="567" w:hRule="exact"/>
        </w:trPr>
        <w:tc>
          <w:tcPr>
            <w:tcW w:w="1998" w:type="dxa"/>
            <w:tcBorders>
              <w:top w:val="nil"/>
              <w:left w:val="nil"/>
              <w:bottom w:val="nil"/>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3513" w:type="dxa"/>
            <w:tcBorders>
              <w:top w:val="single" w:color="auto" w:sz="4" w:space="0"/>
              <w:left w:val="nil"/>
              <w:bottom w:val="single" w:color="auto" w:sz="4" w:space="0"/>
              <w:right w:val="nil"/>
            </w:tcBorders>
            <w:noWrap w:val="0"/>
            <w:vAlign w:val="center"/>
          </w:tcPr>
          <w:p>
            <w:pPr>
              <w:pStyle w:val="38"/>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tc>
      </w:tr>
    </w:tbl>
    <w:p>
      <w:pPr>
        <w:spacing w:line="460" w:lineRule="exact"/>
        <w:ind w:right="125"/>
        <w:rPr>
          <w:rFonts w:hint="eastAsia" w:ascii="仿宋_GB2312" w:hAnsi="仿宋_GB2312" w:eastAsia="仿宋_GB2312" w:cs="仿宋_GB2312"/>
          <w:sz w:val="24"/>
          <w:highlight w:val="none"/>
        </w:rPr>
      </w:pPr>
    </w:p>
    <w:p>
      <w:pPr>
        <w:spacing w:line="460" w:lineRule="exact"/>
        <w:rPr>
          <w:rFonts w:hint="eastAsia" w:ascii="仿宋_GB2312" w:hAnsi="仿宋_GB2312" w:eastAsia="仿宋_GB2312" w:cs="仿宋_GB2312"/>
          <w:sz w:val="24"/>
          <w:highlight w:val="none"/>
        </w:rPr>
      </w:pPr>
    </w:p>
    <w:p>
      <w:pPr>
        <w:spacing w:line="460" w:lineRule="exact"/>
        <w:rPr>
          <w:rFonts w:hint="eastAsia" w:ascii="仿宋_GB2312" w:hAnsi="仿宋_GB2312" w:eastAsia="仿宋_GB2312" w:cs="仿宋_GB2312"/>
          <w:sz w:val="24"/>
          <w:highlight w:val="none"/>
        </w:rPr>
      </w:pPr>
    </w:p>
    <w:p>
      <w:pPr>
        <w:spacing w:line="460" w:lineRule="exact"/>
        <w:rPr>
          <w:rFonts w:hint="eastAsia" w:ascii="仿宋_GB2312" w:hAnsi="仿宋_GB2312" w:eastAsia="仿宋_GB2312" w:cs="仿宋_GB2312"/>
          <w:sz w:val="24"/>
          <w:highlight w:val="none"/>
        </w:rPr>
      </w:pPr>
    </w:p>
    <w:p>
      <w:pPr>
        <w:spacing w:line="460" w:lineRule="exact"/>
        <w:rPr>
          <w:rFonts w:hint="eastAsia" w:ascii="仿宋_GB2312" w:hAnsi="仿宋_GB2312" w:eastAsia="仿宋_GB2312" w:cs="仿宋_GB2312"/>
          <w:sz w:val="24"/>
          <w:highlight w:val="none"/>
        </w:rPr>
      </w:pPr>
    </w:p>
    <w:p>
      <w:pPr>
        <w:spacing w:line="460" w:lineRule="exact"/>
        <w:rPr>
          <w:rFonts w:hint="eastAsia" w:ascii="仿宋_GB2312" w:hAnsi="仿宋_GB2312" w:eastAsia="仿宋_GB2312" w:cs="仿宋_GB2312"/>
          <w:sz w:val="24"/>
          <w:highlight w:val="none"/>
        </w:rPr>
      </w:pPr>
    </w:p>
    <w:p>
      <w:pPr>
        <w:spacing w:line="460" w:lineRule="exact"/>
        <w:rPr>
          <w:rFonts w:hint="eastAsia" w:ascii="仿宋_GB2312" w:hAnsi="仿宋_GB2312" w:eastAsia="仿宋_GB2312" w:cs="仿宋_GB2312"/>
          <w:b/>
          <w:sz w:val="24"/>
          <w:highlight w:val="none"/>
        </w:rPr>
      </w:pPr>
    </w:p>
    <w:p>
      <w:pPr>
        <w:spacing w:line="460" w:lineRule="exact"/>
        <w:rPr>
          <w:rFonts w:hint="eastAsia" w:ascii="仿宋_GB2312" w:hAnsi="仿宋_GB2312" w:eastAsia="仿宋_GB2312" w:cs="仿宋_GB2312"/>
          <w:b/>
          <w:sz w:val="24"/>
          <w:highlight w:val="none"/>
        </w:rPr>
      </w:pPr>
    </w:p>
    <w:p>
      <w:pPr>
        <w:spacing w:line="460" w:lineRule="exact"/>
        <w:rPr>
          <w:rFonts w:hint="eastAsia" w:ascii="仿宋_GB2312" w:hAnsi="仿宋_GB2312" w:eastAsia="仿宋_GB2312" w:cs="仿宋_GB2312"/>
          <w:b/>
          <w:sz w:val="24"/>
          <w:highlight w:val="none"/>
        </w:rPr>
      </w:pPr>
    </w:p>
    <w:p>
      <w:pPr>
        <w:spacing w:line="460" w:lineRule="exact"/>
        <w:rPr>
          <w:rFonts w:hint="eastAsia" w:ascii="仿宋_GB2312" w:hAnsi="仿宋_GB2312" w:eastAsia="仿宋_GB2312" w:cs="仿宋_GB2312"/>
          <w:b/>
          <w:sz w:val="24"/>
          <w:highlight w:val="none"/>
        </w:rPr>
      </w:pPr>
      <w:r>
        <w:rPr>
          <w:rFonts w:hint="eastAsia" w:ascii="仿宋_GB2312" w:hAnsi="仿宋_GB2312" w:eastAsia="仿宋_GB2312" w:cs="仿宋_GB2312"/>
          <w:bCs/>
          <w:sz w:val="28"/>
          <w:szCs w:val="28"/>
          <w:highlight w:val="none"/>
        </w:rPr>
        <w:t>注：若委托代理人参选的，须附法定代表人和委托代理人身份证复印件。</w:t>
      </w:r>
    </w:p>
    <w:p>
      <w:pPr>
        <w:tabs>
          <w:tab w:val="left" w:pos="8198"/>
        </w:tabs>
        <w:spacing w:line="460" w:lineRule="exact"/>
        <w:jc w:val="left"/>
        <w:rPr>
          <w:rFonts w:hint="eastAsia" w:ascii="仿宋_GB2312" w:hAnsi="仿宋_GB2312" w:eastAsia="仿宋_GB2312" w:cs="仿宋_GB2312"/>
          <w:b/>
          <w:sz w:val="24"/>
          <w:highlight w:val="none"/>
        </w:rPr>
      </w:pPr>
    </w:p>
    <w:p>
      <w:pPr>
        <w:spacing w:line="460" w:lineRule="exact"/>
        <w:rPr>
          <w:rFonts w:hint="eastAsia" w:ascii="仿宋_GB2312" w:hAnsi="仿宋_GB2312" w:eastAsia="仿宋_GB2312" w:cs="仿宋_GB2312"/>
          <w:b/>
          <w:sz w:val="32"/>
          <w:highlight w:val="none"/>
        </w:rPr>
      </w:pPr>
    </w:p>
    <w:p>
      <w:pPr>
        <w:spacing w:before="156" w:beforeLines="50" w:after="156" w:afterLines="50" w:line="460" w:lineRule="exact"/>
        <w:jc w:val="center"/>
        <w:rPr>
          <w:rFonts w:hint="eastAsia" w:ascii="仿宋_GB2312" w:hAnsi="仿宋_GB2312" w:eastAsia="仿宋_GB2312" w:cs="仿宋_GB2312"/>
          <w:b/>
          <w:sz w:val="28"/>
          <w:szCs w:val="22"/>
          <w:highlight w:val="none"/>
        </w:rPr>
      </w:pPr>
    </w:p>
    <w:p>
      <w:pPr>
        <w:spacing w:before="156" w:beforeLines="50" w:after="156" w:afterLines="50" w:line="460" w:lineRule="exact"/>
        <w:rPr>
          <w:rFonts w:hint="eastAsia" w:ascii="仿宋_GB2312" w:hAnsi="仿宋_GB2312" w:eastAsia="仿宋_GB2312" w:cs="仿宋_GB2312"/>
          <w:b/>
          <w:sz w:val="28"/>
          <w:szCs w:val="22"/>
          <w:highlight w:val="none"/>
        </w:rPr>
      </w:pPr>
    </w:p>
    <w:p>
      <w:pPr>
        <w:spacing w:before="156" w:beforeLines="50" w:after="156" w:afterLines="50" w:line="460" w:lineRule="exact"/>
        <w:jc w:val="center"/>
        <w:rPr>
          <w:rFonts w:hint="eastAsia" w:ascii="仿宋_GB2312" w:hAnsi="仿宋_GB2312" w:eastAsia="仿宋_GB2312" w:cs="仿宋_GB2312"/>
          <w:b/>
          <w:sz w:val="28"/>
          <w:szCs w:val="22"/>
          <w:highlight w:val="none"/>
        </w:rPr>
      </w:pPr>
    </w:p>
    <w:p>
      <w:pPr>
        <w:spacing w:before="156" w:beforeLines="50" w:after="156" w:afterLines="50" w:line="460" w:lineRule="exact"/>
        <w:rPr>
          <w:rFonts w:hint="eastAsia" w:ascii="仿宋_GB2312" w:hAnsi="仿宋_GB2312" w:eastAsia="仿宋_GB2312" w:cs="仿宋_GB2312"/>
          <w:b/>
          <w:sz w:val="28"/>
          <w:szCs w:val="22"/>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6"/>
          <w:szCs w:val="36"/>
          <w:highlight w:val="none"/>
        </w:rPr>
        <w:t>（四）</w:t>
      </w:r>
      <w:bookmarkStart w:id="94" w:name="_Toc213141098"/>
      <w:bookmarkStart w:id="95" w:name="_Toc232509441"/>
      <w:r>
        <w:rPr>
          <w:rFonts w:hint="eastAsia" w:ascii="仿宋_GB2312" w:hAnsi="仿宋_GB2312" w:eastAsia="仿宋_GB2312" w:cs="仿宋_GB2312"/>
          <w:b/>
          <w:sz w:val="36"/>
          <w:szCs w:val="36"/>
          <w:highlight w:val="none"/>
        </w:rPr>
        <w:t>参选报价表</w:t>
      </w:r>
    </w:p>
    <w:bookmarkEnd w:id="94"/>
    <w:bookmarkEnd w:id="95"/>
    <w:tbl>
      <w:tblPr>
        <w:tblStyle w:val="16"/>
        <w:tblpPr w:leftFromText="180" w:rightFromText="180" w:vertAnchor="text" w:horzAnchor="page" w:tblpX="1242" w:tblpY="2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944"/>
        <w:gridCol w:w="424"/>
        <w:gridCol w:w="617"/>
        <w:gridCol w:w="725"/>
        <w:gridCol w:w="1089"/>
        <w:gridCol w:w="893"/>
        <w:gridCol w:w="898"/>
        <w:gridCol w:w="1858"/>
        <w:gridCol w:w="121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00" w:type="pct"/>
            <w:gridSpan w:val="1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color w:val="000000"/>
                <w:kern w:val="0"/>
                <w:sz w:val="36"/>
                <w:szCs w:val="36"/>
                <w:highlight w:val="none"/>
                <w:u w:val="none"/>
                <w:lang w:val="en-US" w:eastAsia="zh-CN" w:bidi="ar"/>
              </w:rPr>
              <w:t>报价表</w:t>
            </w:r>
            <w:r>
              <w:rPr>
                <w:rFonts w:hint="eastAsia" w:ascii="宋体" w:hAnsi="宋体" w:eastAsia="宋体" w:cs="宋体"/>
                <w:i w:val="0"/>
                <w:iCs w:val="0"/>
                <w:color w:val="000000"/>
                <w:kern w:val="0"/>
                <w:sz w:val="24"/>
                <w:szCs w:val="24"/>
                <w:highlight w:val="none"/>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42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2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暂定数量</w:t>
            </w:r>
          </w:p>
        </w:tc>
        <w:tc>
          <w:tcPr>
            <w:tcW w:w="3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32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单人月单价限价</w:t>
            </w:r>
          </w:p>
        </w:tc>
        <w:tc>
          <w:tcPr>
            <w:tcW w:w="4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全年费用限价</w:t>
            </w:r>
          </w:p>
        </w:tc>
        <w:tc>
          <w:tcPr>
            <w:tcW w:w="46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单人月单价报价</w:t>
            </w:r>
          </w:p>
        </w:tc>
        <w:tc>
          <w:tcPr>
            <w:tcW w:w="47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全年费用报价</w:t>
            </w:r>
          </w:p>
        </w:tc>
        <w:tc>
          <w:tcPr>
            <w:tcW w:w="102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工作内容</w:t>
            </w:r>
          </w:p>
        </w:tc>
        <w:tc>
          <w:tcPr>
            <w:tcW w:w="6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任职要求</w:t>
            </w:r>
          </w:p>
        </w:tc>
        <w:tc>
          <w:tcPr>
            <w:tcW w:w="40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2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项目负责人</w:t>
            </w:r>
          </w:p>
        </w:tc>
        <w:tc>
          <w:tcPr>
            <w:tcW w:w="20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6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0</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0</w:t>
            </w:r>
          </w:p>
        </w:tc>
        <w:tc>
          <w:tcPr>
            <w:tcW w:w="469" w:type="pct"/>
            <w:noWrap/>
            <w:vAlign w:val="center"/>
          </w:tcPr>
          <w:p>
            <w:pPr>
              <w:jc w:val="center"/>
              <w:rPr>
                <w:rFonts w:hint="eastAsia" w:ascii="宋体" w:hAnsi="宋体" w:eastAsia="宋体" w:cs="宋体"/>
                <w:i w:val="0"/>
                <w:iCs w:val="0"/>
                <w:color w:val="000000"/>
                <w:sz w:val="22"/>
                <w:szCs w:val="22"/>
                <w:highlight w:val="none"/>
                <w:u w:val="none"/>
              </w:rPr>
            </w:pPr>
          </w:p>
        </w:tc>
        <w:tc>
          <w:tcPr>
            <w:tcW w:w="471" w:type="pct"/>
            <w:noWrap/>
            <w:vAlign w:val="center"/>
          </w:tcPr>
          <w:p>
            <w:pPr>
              <w:jc w:val="center"/>
              <w:rPr>
                <w:rFonts w:hint="eastAsia" w:ascii="宋体" w:hAnsi="宋体" w:eastAsia="宋体" w:cs="宋体"/>
                <w:i w:val="0"/>
                <w:iCs w:val="0"/>
                <w:color w:val="000000"/>
                <w:sz w:val="22"/>
                <w:szCs w:val="22"/>
                <w:highlight w:val="none"/>
                <w:u w:val="none"/>
              </w:rPr>
            </w:pPr>
          </w:p>
        </w:tc>
        <w:tc>
          <w:tcPr>
            <w:tcW w:w="102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负责对接联系；项目管理计划编制；项目工作会议组织及员工培训管理；工作督查；客户意见处置跟进，客户满意度调查。</w:t>
            </w:r>
          </w:p>
        </w:tc>
        <w:tc>
          <w:tcPr>
            <w:tcW w:w="6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1、男女不限，年龄50岁以下，身体健康，身高1.70米以上；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2、具有较强的管理能力及沟通协调能力，具备物业管理经验；</w:t>
            </w:r>
          </w:p>
        </w:tc>
        <w:tc>
          <w:tcPr>
            <w:tcW w:w="409" w:type="pct"/>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4"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42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w:t>
            </w:r>
          </w:p>
        </w:tc>
        <w:tc>
          <w:tcPr>
            <w:tcW w:w="20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6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4400.00</w:t>
            </w:r>
          </w:p>
        </w:tc>
        <w:tc>
          <w:tcPr>
            <w:tcW w:w="98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158400.00</w:t>
            </w:r>
          </w:p>
        </w:tc>
        <w:tc>
          <w:tcPr>
            <w:tcW w:w="469" w:type="pct"/>
            <w:noWrap/>
            <w:vAlign w:val="center"/>
          </w:tcPr>
          <w:p>
            <w:pPr>
              <w:jc w:val="center"/>
              <w:rPr>
                <w:rFonts w:hint="eastAsia" w:ascii="宋体" w:hAnsi="宋体" w:eastAsia="宋体" w:cs="宋体"/>
                <w:i w:val="0"/>
                <w:iCs w:val="0"/>
                <w:color w:val="000000"/>
                <w:sz w:val="22"/>
                <w:szCs w:val="22"/>
                <w:highlight w:val="none"/>
                <w:u w:val="none"/>
              </w:rPr>
            </w:pPr>
          </w:p>
        </w:tc>
        <w:tc>
          <w:tcPr>
            <w:tcW w:w="471" w:type="pct"/>
            <w:noWrap/>
            <w:vAlign w:val="center"/>
          </w:tcPr>
          <w:p>
            <w:pPr>
              <w:jc w:val="center"/>
              <w:rPr>
                <w:rFonts w:hint="eastAsia" w:ascii="宋体" w:hAnsi="宋体" w:eastAsia="宋体" w:cs="宋体"/>
                <w:i w:val="0"/>
                <w:iCs w:val="0"/>
                <w:color w:val="000000"/>
                <w:sz w:val="22"/>
                <w:szCs w:val="22"/>
                <w:highlight w:val="none"/>
                <w:u w:val="none"/>
              </w:rPr>
            </w:pPr>
          </w:p>
        </w:tc>
        <w:tc>
          <w:tcPr>
            <w:tcW w:w="19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1.厂区内白班3人；12h/天，6天/周，周末轮休；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2.室内公共区域(过道、会议室、楼梯间、卫生间、茶水间、休息区)日常清洁；室外公共区日常清洁。</w:t>
            </w:r>
          </w:p>
        </w:tc>
        <w:tc>
          <w:tcPr>
            <w:tcW w:w="12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1、男女不限，年龄60岁以下，身体健康；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2、有较强的亲和能力；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3、吃苦耐劳，服从上级领导安排，有敬业精神。</w:t>
            </w:r>
          </w:p>
        </w:tc>
        <w:tc>
          <w:tcPr>
            <w:tcW w:w="40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厂区内白班4人，厂区内夜班1人；12h/天，6天/周，周末轮休；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7"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42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安保</w:t>
            </w:r>
          </w:p>
        </w:tc>
        <w:tc>
          <w:tcPr>
            <w:tcW w:w="20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w:t>
            </w:r>
          </w:p>
        </w:tc>
        <w:tc>
          <w:tcPr>
            <w:tcW w:w="6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6600.00</w:t>
            </w:r>
          </w:p>
        </w:tc>
        <w:tc>
          <w:tcPr>
            <w:tcW w:w="98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396000.00</w:t>
            </w:r>
          </w:p>
        </w:tc>
        <w:tc>
          <w:tcPr>
            <w:tcW w:w="469" w:type="pct"/>
            <w:noWrap/>
            <w:vAlign w:val="center"/>
          </w:tcPr>
          <w:p>
            <w:pPr>
              <w:jc w:val="center"/>
              <w:rPr>
                <w:rFonts w:hint="eastAsia" w:ascii="宋体" w:hAnsi="宋体" w:eastAsia="宋体" w:cs="宋体"/>
                <w:i w:val="0"/>
                <w:iCs w:val="0"/>
                <w:color w:val="000000"/>
                <w:sz w:val="22"/>
                <w:szCs w:val="22"/>
                <w:highlight w:val="none"/>
                <w:u w:val="none"/>
              </w:rPr>
            </w:pPr>
          </w:p>
        </w:tc>
        <w:tc>
          <w:tcPr>
            <w:tcW w:w="471" w:type="pct"/>
            <w:noWrap/>
            <w:vAlign w:val="center"/>
          </w:tcPr>
          <w:p>
            <w:pPr>
              <w:jc w:val="center"/>
              <w:rPr>
                <w:rFonts w:hint="eastAsia" w:ascii="宋体" w:hAnsi="宋体" w:eastAsia="宋体" w:cs="宋体"/>
                <w:i w:val="0"/>
                <w:iCs w:val="0"/>
                <w:color w:val="000000"/>
                <w:sz w:val="22"/>
                <w:szCs w:val="22"/>
                <w:highlight w:val="none"/>
                <w:u w:val="none"/>
              </w:rPr>
            </w:pPr>
          </w:p>
        </w:tc>
        <w:tc>
          <w:tcPr>
            <w:tcW w:w="19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1.厂区内白班2人，厂区内夜班2人,1人轮休；12h/天，6天/周，周末轮休；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2.负责出入口人员、物资、车辆进出安全管理工作；消防报警信息的核实、处理；重点区域、重点事件、可疑人员巡逻，消防、监控信息管理、跟进；每日各种突发事件的应急处理、报告等。</w:t>
            </w:r>
          </w:p>
        </w:tc>
        <w:tc>
          <w:tcPr>
            <w:tcW w:w="12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1、男：身高1.70米以上，年龄30-55岁；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2、具有较强的组织管理和沟通协调能力；                              3、有一定的消防知识；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4、工作中品行诚实，态度诚恳，服务意识强。</w:t>
            </w:r>
          </w:p>
        </w:tc>
        <w:tc>
          <w:tcPr>
            <w:tcW w:w="40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42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绿化养护</w:t>
            </w:r>
          </w:p>
        </w:tc>
        <w:tc>
          <w:tcPr>
            <w:tcW w:w="2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厂区内</w:t>
            </w:r>
          </w:p>
        </w:tc>
        <w:tc>
          <w:tcPr>
            <w:tcW w:w="3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5600平方米</w:t>
            </w:r>
          </w:p>
        </w:tc>
        <w:tc>
          <w:tcPr>
            <w:tcW w:w="6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8000</w:t>
            </w:r>
          </w:p>
        </w:tc>
        <w:tc>
          <w:tcPr>
            <w:tcW w:w="98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96000.00</w:t>
            </w:r>
          </w:p>
        </w:tc>
        <w:tc>
          <w:tcPr>
            <w:tcW w:w="469" w:type="pct"/>
            <w:noWrap/>
            <w:vAlign w:val="center"/>
          </w:tcPr>
          <w:p>
            <w:pPr>
              <w:jc w:val="center"/>
              <w:rPr>
                <w:rFonts w:hint="eastAsia" w:ascii="宋体" w:hAnsi="宋体" w:eastAsia="宋体" w:cs="宋体"/>
                <w:i w:val="0"/>
                <w:iCs w:val="0"/>
                <w:color w:val="000000"/>
                <w:sz w:val="22"/>
                <w:szCs w:val="22"/>
                <w:highlight w:val="none"/>
                <w:u w:val="none"/>
              </w:rPr>
            </w:pPr>
          </w:p>
        </w:tc>
        <w:tc>
          <w:tcPr>
            <w:tcW w:w="471" w:type="pct"/>
            <w:noWrap/>
            <w:vAlign w:val="center"/>
          </w:tcPr>
          <w:p>
            <w:pPr>
              <w:jc w:val="center"/>
              <w:rPr>
                <w:rFonts w:hint="eastAsia" w:ascii="宋体" w:hAnsi="宋体" w:eastAsia="宋体" w:cs="宋体"/>
                <w:i w:val="0"/>
                <w:iCs w:val="0"/>
                <w:color w:val="000000"/>
                <w:sz w:val="22"/>
                <w:szCs w:val="22"/>
                <w:highlight w:val="none"/>
                <w:u w:val="none"/>
              </w:rPr>
            </w:pPr>
          </w:p>
        </w:tc>
        <w:tc>
          <w:tcPr>
            <w:tcW w:w="19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浇水</w:t>
            </w:r>
            <w:r>
              <w:rPr>
                <w:rFonts w:hint="eastAsia" w:ascii="宋体" w:hAnsi="宋体" w:cs="宋体"/>
                <w:i w:val="0"/>
                <w:iCs w:val="0"/>
                <w:color w:val="000000"/>
                <w:kern w:val="0"/>
                <w:sz w:val="22"/>
                <w:szCs w:val="22"/>
                <w:highlight w:val="none"/>
                <w:u w:val="none"/>
                <w:lang w:val="en-US" w:eastAsia="zh-CN" w:bidi="ar"/>
              </w:rPr>
              <w:t>（平日每周一次；旱季每天一次）</w:t>
            </w:r>
            <w:r>
              <w:rPr>
                <w:rFonts w:hint="eastAsia" w:ascii="宋体" w:hAnsi="宋体" w:eastAsia="宋体" w:cs="宋体"/>
                <w:i w:val="0"/>
                <w:iCs w:val="0"/>
                <w:color w:val="000000"/>
                <w:kern w:val="0"/>
                <w:sz w:val="22"/>
                <w:szCs w:val="22"/>
                <w:highlight w:val="none"/>
                <w:u w:val="none"/>
                <w:lang w:val="en-US" w:eastAsia="zh-CN" w:bidi="ar"/>
              </w:rPr>
              <w:t>、施肥</w:t>
            </w:r>
            <w:r>
              <w:rPr>
                <w:rFonts w:hint="eastAsia" w:ascii="宋体" w:hAnsi="宋体" w:cs="宋体"/>
                <w:i w:val="0"/>
                <w:iCs w:val="0"/>
                <w:color w:val="000000"/>
                <w:kern w:val="0"/>
                <w:sz w:val="22"/>
                <w:szCs w:val="22"/>
                <w:highlight w:val="none"/>
                <w:u w:val="none"/>
                <w:lang w:val="en-US" w:eastAsia="zh-CN" w:bidi="ar"/>
              </w:rPr>
              <w:t>（每季度一次）</w:t>
            </w:r>
            <w:r>
              <w:rPr>
                <w:rFonts w:hint="eastAsia" w:ascii="宋体" w:hAnsi="宋体" w:eastAsia="宋体" w:cs="宋体"/>
                <w:i w:val="0"/>
                <w:iCs w:val="0"/>
                <w:color w:val="000000"/>
                <w:kern w:val="0"/>
                <w:sz w:val="22"/>
                <w:szCs w:val="22"/>
                <w:highlight w:val="none"/>
                <w:u w:val="none"/>
                <w:lang w:val="en-US" w:eastAsia="zh-CN" w:bidi="ar"/>
              </w:rPr>
              <w:t>、整形修剪</w:t>
            </w:r>
            <w:r>
              <w:rPr>
                <w:rFonts w:hint="eastAsia" w:ascii="宋体" w:hAnsi="宋体" w:cs="宋体"/>
                <w:i w:val="0"/>
                <w:iCs w:val="0"/>
                <w:color w:val="000000"/>
                <w:kern w:val="0"/>
                <w:sz w:val="22"/>
                <w:szCs w:val="22"/>
                <w:highlight w:val="none"/>
                <w:u w:val="none"/>
                <w:lang w:val="en-US" w:eastAsia="zh-CN" w:bidi="ar"/>
              </w:rPr>
              <w:t>（每月一次）</w:t>
            </w:r>
            <w:r>
              <w:rPr>
                <w:rFonts w:hint="eastAsia" w:ascii="宋体" w:hAnsi="宋体" w:eastAsia="宋体" w:cs="宋体"/>
                <w:i w:val="0"/>
                <w:iCs w:val="0"/>
                <w:color w:val="000000"/>
                <w:kern w:val="0"/>
                <w:sz w:val="22"/>
                <w:szCs w:val="22"/>
                <w:highlight w:val="none"/>
                <w:u w:val="none"/>
                <w:lang w:val="en-US" w:eastAsia="zh-CN" w:bidi="ar"/>
              </w:rPr>
              <w:t>、病虫害防治、中耕除草</w:t>
            </w:r>
            <w:r>
              <w:rPr>
                <w:rFonts w:hint="eastAsia" w:ascii="宋体" w:hAnsi="宋体" w:cs="宋体"/>
                <w:i w:val="0"/>
                <w:iCs w:val="0"/>
                <w:color w:val="000000"/>
                <w:kern w:val="0"/>
                <w:sz w:val="22"/>
                <w:szCs w:val="22"/>
                <w:highlight w:val="none"/>
                <w:u w:val="none"/>
                <w:lang w:val="en-US" w:eastAsia="zh-CN" w:bidi="ar"/>
              </w:rPr>
              <w:t>（每周一次）</w:t>
            </w:r>
            <w:r>
              <w:rPr>
                <w:rFonts w:hint="eastAsia" w:ascii="宋体" w:hAnsi="宋体" w:eastAsia="宋体" w:cs="宋体"/>
                <w:i w:val="0"/>
                <w:iCs w:val="0"/>
                <w:color w:val="000000"/>
                <w:kern w:val="0"/>
                <w:sz w:val="22"/>
                <w:szCs w:val="22"/>
                <w:highlight w:val="none"/>
                <w:u w:val="none"/>
                <w:lang w:val="en-US" w:eastAsia="zh-CN" w:bidi="ar"/>
              </w:rPr>
              <w:t>、扶正、防护与涂白</w:t>
            </w:r>
            <w:r>
              <w:rPr>
                <w:rFonts w:hint="eastAsia" w:ascii="宋体" w:hAnsi="宋体" w:cs="宋体"/>
                <w:i w:val="0"/>
                <w:iCs w:val="0"/>
                <w:color w:val="000000"/>
                <w:kern w:val="0"/>
                <w:sz w:val="22"/>
                <w:szCs w:val="22"/>
                <w:highlight w:val="none"/>
                <w:u w:val="none"/>
                <w:lang w:val="en-US" w:eastAsia="zh-CN" w:bidi="ar"/>
              </w:rPr>
              <w:t>（每月一次）</w:t>
            </w:r>
            <w:r>
              <w:rPr>
                <w:rFonts w:hint="eastAsia" w:ascii="宋体" w:hAnsi="宋体" w:eastAsia="宋体" w:cs="宋体"/>
                <w:i w:val="0"/>
                <w:iCs w:val="0"/>
                <w:color w:val="000000"/>
                <w:kern w:val="0"/>
                <w:sz w:val="22"/>
                <w:szCs w:val="22"/>
                <w:highlight w:val="none"/>
                <w:u w:val="none"/>
                <w:lang w:val="en-US" w:eastAsia="zh-CN" w:bidi="ar"/>
              </w:rPr>
              <w:t>、切边、培土、复壮、防灾处理、绿化垃圾的转运和处理等所有绿化管理工作；园区清扫保洁、人机配合冲洗；垃圾日产日清及无害化处理等相关环卫工作。约5600平米绿化带。</w:t>
            </w:r>
          </w:p>
        </w:tc>
        <w:tc>
          <w:tcPr>
            <w:tcW w:w="12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1、男性60周岁以下，女性55周岁以下；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2、具有一年以上绿化服务工作经历，熟悉本岗位工作方法和流程；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3、有较强的亲和能力，有吃苦耐劳精神，责任心强。</w:t>
            </w:r>
          </w:p>
        </w:tc>
        <w:tc>
          <w:tcPr>
            <w:tcW w:w="40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约5600平米绿化带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42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生活垃圾清运</w:t>
            </w:r>
          </w:p>
        </w:tc>
        <w:tc>
          <w:tcPr>
            <w:tcW w:w="20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11" w:type="pct"/>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车/月</w:t>
            </w:r>
          </w:p>
        </w:tc>
        <w:tc>
          <w:tcPr>
            <w:tcW w:w="6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300</w:t>
            </w:r>
          </w:p>
        </w:tc>
        <w:tc>
          <w:tcPr>
            <w:tcW w:w="98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28800.00</w:t>
            </w:r>
          </w:p>
        </w:tc>
        <w:tc>
          <w:tcPr>
            <w:tcW w:w="469" w:type="pct"/>
            <w:noWrap/>
            <w:vAlign w:val="center"/>
          </w:tcPr>
          <w:p>
            <w:pPr>
              <w:jc w:val="center"/>
              <w:rPr>
                <w:rFonts w:hint="eastAsia" w:ascii="宋体" w:hAnsi="宋体" w:eastAsia="宋体" w:cs="宋体"/>
                <w:i w:val="0"/>
                <w:iCs w:val="0"/>
                <w:color w:val="000000"/>
                <w:sz w:val="22"/>
                <w:szCs w:val="22"/>
                <w:highlight w:val="none"/>
                <w:u w:val="none"/>
              </w:rPr>
            </w:pPr>
          </w:p>
        </w:tc>
        <w:tc>
          <w:tcPr>
            <w:tcW w:w="471" w:type="pct"/>
            <w:noWrap/>
            <w:vAlign w:val="center"/>
          </w:tcPr>
          <w:p>
            <w:pPr>
              <w:jc w:val="center"/>
              <w:rPr>
                <w:rFonts w:hint="eastAsia" w:ascii="宋体" w:hAnsi="宋体" w:eastAsia="宋体" w:cs="宋体"/>
                <w:i w:val="0"/>
                <w:iCs w:val="0"/>
                <w:color w:val="000000"/>
                <w:sz w:val="22"/>
                <w:szCs w:val="22"/>
                <w:highlight w:val="none"/>
                <w:u w:val="none"/>
              </w:rPr>
            </w:pPr>
          </w:p>
        </w:tc>
        <w:tc>
          <w:tcPr>
            <w:tcW w:w="102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1.将厂房内已收集生活垃圾集中清运和处理；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2.每周2次，每月8次。</w:t>
            </w:r>
          </w:p>
        </w:tc>
        <w:tc>
          <w:tcPr>
            <w:tcW w:w="652" w:type="pct"/>
            <w:noWrap w:val="0"/>
            <w:vAlign w:val="center"/>
          </w:tcPr>
          <w:p>
            <w:pPr>
              <w:jc w:val="left"/>
              <w:rPr>
                <w:rFonts w:hint="eastAsia" w:ascii="宋体" w:hAnsi="宋体" w:eastAsia="宋体" w:cs="宋体"/>
                <w:i w:val="0"/>
                <w:iCs w:val="0"/>
                <w:color w:val="000000"/>
                <w:sz w:val="22"/>
                <w:szCs w:val="22"/>
                <w:highlight w:val="none"/>
                <w:u w:val="none"/>
              </w:rPr>
            </w:pPr>
          </w:p>
        </w:tc>
        <w:tc>
          <w:tcPr>
            <w:tcW w:w="409" w:type="pct"/>
            <w:noWrap w:val="0"/>
            <w:vAlign w:val="center"/>
          </w:tcPr>
          <w:p>
            <w:pP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2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四害消杀</w:t>
            </w:r>
          </w:p>
        </w:tc>
        <w:tc>
          <w:tcPr>
            <w:tcW w:w="201" w:type="pct"/>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c>
          <w:tcPr>
            <w:tcW w:w="311" w:type="pct"/>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次/年</w:t>
            </w:r>
          </w:p>
        </w:tc>
        <w:tc>
          <w:tcPr>
            <w:tcW w:w="326" w:type="pct"/>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w:t>
            </w:r>
          </w:p>
        </w:tc>
        <w:tc>
          <w:tcPr>
            <w:tcW w:w="482"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7000.00</w:t>
            </w:r>
          </w:p>
        </w:tc>
        <w:tc>
          <w:tcPr>
            <w:tcW w:w="469" w:type="pct"/>
            <w:noWrap w:val="0"/>
            <w:vAlign w:val="center"/>
          </w:tcPr>
          <w:p>
            <w:pPr>
              <w:jc w:val="center"/>
              <w:rPr>
                <w:rFonts w:hint="eastAsia" w:ascii="宋体" w:hAnsi="宋体" w:eastAsia="宋体" w:cs="宋体"/>
                <w:i w:val="0"/>
                <w:iCs w:val="0"/>
                <w:color w:val="000000"/>
                <w:sz w:val="22"/>
                <w:szCs w:val="22"/>
                <w:highlight w:val="none"/>
                <w:u w:val="none"/>
              </w:rPr>
            </w:pPr>
          </w:p>
        </w:tc>
        <w:tc>
          <w:tcPr>
            <w:tcW w:w="471" w:type="pct"/>
            <w:noWrap w:val="0"/>
            <w:vAlign w:val="center"/>
          </w:tcPr>
          <w:p>
            <w:pPr>
              <w:jc w:val="center"/>
              <w:rPr>
                <w:rFonts w:hint="eastAsia" w:ascii="宋体" w:hAnsi="宋体" w:eastAsia="宋体" w:cs="宋体"/>
                <w:i w:val="0"/>
                <w:iCs w:val="0"/>
                <w:color w:val="000000"/>
                <w:sz w:val="22"/>
                <w:szCs w:val="22"/>
                <w:highlight w:val="none"/>
                <w:u w:val="none"/>
              </w:rPr>
            </w:pPr>
          </w:p>
        </w:tc>
        <w:tc>
          <w:tcPr>
            <w:tcW w:w="102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1.采用国家批准生产使用的环保类四害消杀药品；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2.消杀频率一年4次。</w:t>
            </w:r>
          </w:p>
        </w:tc>
        <w:tc>
          <w:tcPr>
            <w:tcW w:w="652" w:type="pct"/>
            <w:noWrap w:val="0"/>
            <w:vAlign w:val="center"/>
          </w:tcPr>
          <w:p>
            <w:pPr>
              <w:rPr>
                <w:rFonts w:hint="eastAsia" w:ascii="宋体" w:hAnsi="宋体" w:eastAsia="宋体" w:cs="宋体"/>
                <w:i w:val="0"/>
                <w:iCs w:val="0"/>
                <w:color w:val="000000"/>
                <w:sz w:val="22"/>
                <w:szCs w:val="22"/>
                <w:highlight w:val="none"/>
                <w:u w:val="none"/>
              </w:rPr>
            </w:pPr>
          </w:p>
        </w:tc>
        <w:tc>
          <w:tcPr>
            <w:tcW w:w="409" w:type="pct"/>
            <w:noWrap w:val="0"/>
            <w:vAlign w:val="center"/>
          </w:tcPr>
          <w:p>
            <w:pP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23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2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餐饮</w:t>
            </w:r>
          </w:p>
        </w:tc>
        <w:tc>
          <w:tcPr>
            <w:tcW w:w="201" w:type="pct"/>
            <w:noWrap/>
            <w:vAlign w:val="center"/>
          </w:tcPr>
          <w:p>
            <w:pPr>
              <w:jc w:val="center"/>
              <w:rPr>
                <w:rFonts w:hint="eastAsia" w:ascii="宋体" w:hAnsi="宋体" w:eastAsia="宋体" w:cs="宋体"/>
                <w:i w:val="0"/>
                <w:iCs w:val="0"/>
                <w:color w:val="000000"/>
                <w:sz w:val="22"/>
                <w:szCs w:val="22"/>
                <w:highlight w:val="none"/>
                <w:u w:val="none"/>
              </w:rPr>
            </w:pPr>
          </w:p>
        </w:tc>
        <w:tc>
          <w:tcPr>
            <w:tcW w:w="311" w:type="pct"/>
            <w:noWrap/>
            <w:vAlign w:val="center"/>
          </w:tcPr>
          <w:p>
            <w:pPr>
              <w:jc w:val="center"/>
              <w:rPr>
                <w:rFonts w:hint="eastAsia" w:ascii="宋体" w:hAnsi="宋体" w:eastAsia="宋体" w:cs="宋体"/>
                <w:i w:val="0"/>
                <w:iCs w:val="0"/>
                <w:color w:val="000000"/>
                <w:sz w:val="22"/>
                <w:szCs w:val="22"/>
                <w:highlight w:val="none"/>
                <w:u w:val="none"/>
              </w:rPr>
            </w:pPr>
          </w:p>
        </w:tc>
        <w:tc>
          <w:tcPr>
            <w:tcW w:w="326" w:type="pct"/>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w:t>
            </w:r>
          </w:p>
        </w:tc>
        <w:tc>
          <w:tcPr>
            <w:tcW w:w="482"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员工自行购买</w:t>
            </w:r>
          </w:p>
        </w:tc>
        <w:tc>
          <w:tcPr>
            <w:tcW w:w="469" w:type="pct"/>
            <w:noWrap/>
            <w:vAlign w:val="center"/>
          </w:tcPr>
          <w:p>
            <w:pPr>
              <w:jc w:val="center"/>
              <w:rPr>
                <w:rFonts w:hint="eastAsia" w:ascii="宋体" w:hAnsi="宋体" w:eastAsia="宋体" w:cs="宋体"/>
                <w:i w:val="0"/>
                <w:iCs w:val="0"/>
                <w:color w:val="000000"/>
                <w:sz w:val="22"/>
                <w:szCs w:val="22"/>
                <w:highlight w:val="none"/>
                <w:u w:val="none"/>
              </w:rPr>
            </w:pPr>
          </w:p>
        </w:tc>
        <w:tc>
          <w:tcPr>
            <w:tcW w:w="471" w:type="pct"/>
            <w:noWrap/>
            <w:vAlign w:val="center"/>
          </w:tcPr>
          <w:p>
            <w:pPr>
              <w:jc w:val="center"/>
              <w:rPr>
                <w:rFonts w:hint="eastAsia" w:ascii="宋体" w:hAnsi="宋体" w:eastAsia="宋体" w:cs="宋体"/>
                <w:i w:val="0"/>
                <w:iCs w:val="0"/>
                <w:color w:val="000000"/>
                <w:sz w:val="22"/>
                <w:szCs w:val="22"/>
                <w:highlight w:val="none"/>
                <w:u w:val="none"/>
              </w:rPr>
            </w:pPr>
          </w:p>
        </w:tc>
        <w:tc>
          <w:tcPr>
            <w:tcW w:w="102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1.提供中午餐、晚餐，提供多种菜品供员工选择。员工自行消费购买。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2.甲方可提前1-2天告知服务方就餐人数。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3.甲方提供用餐场地、电力。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4.乙方提供餐具，食品电加热设备。</w:t>
            </w:r>
          </w:p>
        </w:tc>
        <w:tc>
          <w:tcPr>
            <w:tcW w:w="652" w:type="pct"/>
            <w:noWrap w:val="0"/>
            <w:vAlign w:val="center"/>
          </w:tcPr>
          <w:p>
            <w:pPr>
              <w:jc w:val="left"/>
              <w:rPr>
                <w:rFonts w:hint="eastAsia" w:ascii="宋体" w:hAnsi="宋体" w:eastAsia="宋体" w:cs="宋体"/>
                <w:i w:val="0"/>
                <w:iCs w:val="0"/>
                <w:color w:val="000000"/>
                <w:sz w:val="22"/>
                <w:szCs w:val="22"/>
                <w:highlight w:val="none"/>
                <w:u w:val="none"/>
              </w:rPr>
            </w:pPr>
          </w:p>
        </w:tc>
        <w:tc>
          <w:tcPr>
            <w:tcW w:w="40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1.具备食品安全许可证、餐饮行业经营许可证。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2.3-4月预计每日100人就餐，4-6月预计每日150人。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92" w:type="pct"/>
            <w:gridSpan w:val="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合计（限价）</w:t>
            </w:r>
          </w:p>
        </w:tc>
        <w:tc>
          <w:tcPr>
            <w:tcW w:w="2841" w:type="dxa"/>
            <w:gridSpan w:val="3"/>
            <w:noWrap/>
            <w:vAlign w:val="center"/>
          </w:tcPr>
          <w:p>
            <w:pPr>
              <w:keepNext w:val="0"/>
              <w:keepLines w:val="0"/>
              <w:widowControl/>
              <w:suppressLineNumbers w:val="0"/>
              <w:jc w:val="center"/>
              <w:textAlignment w:val="center"/>
              <w:rPr>
                <w:rFonts w:ascii="Arial" w:hAnsi="Arial" w:cs="Arial"/>
                <w:i w:val="0"/>
                <w:iCs w:val="0"/>
                <w:color w:val="000000"/>
                <w:sz w:val="20"/>
                <w:szCs w:val="20"/>
                <w:highlight w:val="none"/>
                <w:u w:val="none"/>
              </w:rPr>
            </w:pPr>
            <w:r>
              <w:rPr>
                <w:rFonts w:hint="eastAsia" w:ascii="Arial" w:hAnsi="Arial" w:cs="Arial"/>
                <w:i w:val="0"/>
                <w:iCs w:val="0"/>
                <w:color w:val="000000"/>
                <w:sz w:val="20"/>
                <w:szCs w:val="20"/>
                <w:highlight w:val="none"/>
                <w:u w:val="none"/>
                <w:lang w:val="en-US" w:eastAsia="zh-CN"/>
              </w:rPr>
              <w:t>686200.00</w:t>
            </w:r>
          </w:p>
        </w:tc>
        <w:tc>
          <w:tcPr>
            <w:tcW w:w="3993" w:type="dxa"/>
            <w:gridSpan w:val="3"/>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大写（人民币）：陆拾捌万陆仟贰佰元整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92" w:type="pct"/>
            <w:gridSpan w:val="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合计（报价）</w:t>
            </w:r>
          </w:p>
        </w:tc>
        <w:tc>
          <w:tcPr>
            <w:tcW w:w="1423" w:type="pct"/>
            <w:gridSpan w:val="3"/>
            <w:noWrap/>
            <w:vAlign w:val="center"/>
          </w:tcPr>
          <w:p>
            <w:pPr>
              <w:jc w:val="center"/>
              <w:rPr>
                <w:rFonts w:hint="default" w:ascii="Arial" w:hAnsi="Arial" w:cs="Arial"/>
                <w:i w:val="0"/>
                <w:iCs w:val="0"/>
                <w:color w:val="000000"/>
                <w:sz w:val="20"/>
                <w:szCs w:val="20"/>
                <w:highlight w:val="none"/>
                <w:u w:val="none"/>
              </w:rPr>
            </w:pPr>
          </w:p>
        </w:tc>
        <w:tc>
          <w:tcPr>
            <w:tcW w:w="2083" w:type="pct"/>
            <w:gridSpan w:val="3"/>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5000" w:type="pct"/>
            <w:gridSpan w:val="1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备注：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上述服务价格为向外部物业服务公司支付的费用，包括含税费、人员工资、社保、年终福利、生活费、服装费、保洁养护耗材工具费、交通费等。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报价保留两位小数。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为保证本项目物业服务质量，本物业服务项目各岗位人员基本工资不得低于重庆市最低工资标准。（重庆市最低月工资标准为2100元）</w:t>
            </w:r>
          </w:p>
        </w:tc>
      </w:tr>
    </w:tbl>
    <w:p>
      <w:pPr>
        <w:jc w:val="center"/>
        <w:rPr>
          <w:rFonts w:hint="eastAsia" w:ascii="仿宋_GB2312" w:hAnsi="仿宋_GB2312" w:eastAsia="仿宋_GB2312" w:cs="仿宋_GB2312"/>
          <w:b/>
          <w:sz w:val="28"/>
          <w:szCs w:val="28"/>
          <w:highlight w:val="none"/>
        </w:rPr>
      </w:pPr>
    </w:p>
    <w:p>
      <w:pPr>
        <w:jc w:val="center"/>
        <w:rPr>
          <w:rFonts w:hint="eastAsia" w:ascii="仿宋_GB2312" w:hAnsi="仿宋_GB2312" w:eastAsia="仿宋_GB2312" w:cs="仿宋_GB2312"/>
          <w:b/>
          <w:sz w:val="28"/>
          <w:szCs w:val="28"/>
          <w:highlight w:val="none"/>
        </w:rPr>
      </w:pPr>
    </w:p>
    <w:tbl>
      <w:tblPr>
        <w:tblStyle w:val="16"/>
        <w:tblpPr w:leftFromText="180" w:rightFromText="180" w:vertAnchor="text" w:horzAnchor="page" w:tblpX="5304" w:tblpY="71"/>
        <w:tblW w:w="0" w:type="auto"/>
        <w:tblInd w:w="0" w:type="dxa"/>
        <w:tblLayout w:type="fixed"/>
        <w:tblCellMar>
          <w:top w:w="0" w:type="dxa"/>
          <w:left w:w="108" w:type="dxa"/>
          <w:bottom w:w="0" w:type="dxa"/>
          <w:right w:w="108" w:type="dxa"/>
        </w:tblCellMar>
      </w:tblPr>
      <w:tblGrid>
        <w:gridCol w:w="1838"/>
        <w:gridCol w:w="3741"/>
      </w:tblGrid>
      <w:tr>
        <w:tblPrEx>
          <w:tblCellMar>
            <w:top w:w="0" w:type="dxa"/>
            <w:left w:w="108" w:type="dxa"/>
            <w:bottom w:w="0" w:type="dxa"/>
            <w:right w:w="108" w:type="dxa"/>
          </w:tblCellMar>
        </w:tblPrEx>
        <w:trPr>
          <w:trHeight w:val="268" w:hRule="atLeast"/>
        </w:trPr>
        <w:tc>
          <w:tcPr>
            <w:tcW w:w="1838" w:type="dxa"/>
            <w:tcBorders>
              <w:top w:val="nil"/>
              <w:left w:val="nil"/>
              <w:bottom w:val="nil"/>
              <w:right w:val="nil"/>
            </w:tcBorders>
            <w:noWrap w:val="0"/>
            <w:vAlign w:val="center"/>
          </w:tcPr>
          <w:p>
            <w:pPr>
              <w:pStyle w:val="38"/>
              <w:spacing w:line="360" w:lineRule="auto"/>
              <w:jc w:val="both"/>
              <w:rPr>
                <w:rFonts w:hAnsi="宋体"/>
                <w:szCs w:val="24"/>
                <w:highlight w:val="none"/>
              </w:rPr>
            </w:pPr>
            <w:r>
              <w:rPr>
                <w:rFonts w:hint="eastAsia" w:hAnsi="宋体"/>
                <w:szCs w:val="24"/>
                <w:highlight w:val="none"/>
              </w:rPr>
              <w:t>参选人：</w:t>
            </w:r>
          </w:p>
        </w:tc>
        <w:tc>
          <w:tcPr>
            <w:tcW w:w="3741" w:type="dxa"/>
            <w:tcBorders>
              <w:top w:val="nil"/>
              <w:left w:val="nil"/>
              <w:bottom w:val="single" w:color="auto" w:sz="4" w:space="0"/>
              <w:right w:val="nil"/>
            </w:tcBorders>
            <w:noWrap w:val="0"/>
            <w:vAlign w:val="center"/>
          </w:tcPr>
          <w:p>
            <w:pPr>
              <w:pStyle w:val="38"/>
              <w:spacing w:line="360" w:lineRule="auto"/>
              <w:jc w:val="both"/>
              <w:rPr>
                <w:rFonts w:hAnsi="宋体"/>
                <w:szCs w:val="24"/>
                <w:highlight w:val="none"/>
              </w:rPr>
            </w:pPr>
            <w:r>
              <w:rPr>
                <w:rFonts w:hint="eastAsia" w:hAnsi="宋体"/>
                <w:szCs w:val="24"/>
                <w:highlight w:val="none"/>
              </w:rPr>
              <w:t>(盖单位公章)</w:t>
            </w:r>
          </w:p>
        </w:tc>
      </w:tr>
      <w:tr>
        <w:tblPrEx>
          <w:tblCellMar>
            <w:top w:w="0" w:type="dxa"/>
            <w:left w:w="108" w:type="dxa"/>
            <w:bottom w:w="0" w:type="dxa"/>
            <w:right w:w="108" w:type="dxa"/>
          </w:tblCellMar>
        </w:tblPrEx>
        <w:trPr>
          <w:trHeight w:val="495" w:hRule="atLeast"/>
        </w:trPr>
        <w:tc>
          <w:tcPr>
            <w:tcW w:w="1838" w:type="dxa"/>
            <w:tcBorders>
              <w:top w:val="nil"/>
              <w:left w:val="nil"/>
              <w:bottom w:val="nil"/>
              <w:right w:val="nil"/>
            </w:tcBorders>
            <w:noWrap w:val="0"/>
            <w:vAlign w:val="center"/>
          </w:tcPr>
          <w:p>
            <w:pPr>
              <w:pStyle w:val="38"/>
              <w:spacing w:line="360" w:lineRule="auto"/>
              <w:jc w:val="both"/>
              <w:rPr>
                <w:rFonts w:hAnsi="宋体"/>
                <w:szCs w:val="24"/>
                <w:highlight w:val="none"/>
              </w:rPr>
            </w:pPr>
            <w:r>
              <w:rPr>
                <w:rFonts w:hint="eastAsia" w:hAnsi="宋体"/>
                <w:szCs w:val="24"/>
                <w:highlight w:val="none"/>
              </w:rPr>
              <w:t>法定代表人或委托代理人：</w:t>
            </w:r>
          </w:p>
        </w:tc>
        <w:tc>
          <w:tcPr>
            <w:tcW w:w="3741" w:type="dxa"/>
            <w:tcBorders>
              <w:top w:val="nil"/>
              <w:left w:val="nil"/>
              <w:bottom w:val="single" w:color="auto" w:sz="4" w:space="0"/>
              <w:right w:val="nil"/>
            </w:tcBorders>
            <w:noWrap w:val="0"/>
            <w:vAlign w:val="center"/>
          </w:tcPr>
          <w:p>
            <w:pPr>
              <w:pStyle w:val="38"/>
              <w:spacing w:line="360" w:lineRule="auto"/>
              <w:jc w:val="both"/>
              <w:rPr>
                <w:rFonts w:hAnsi="宋体"/>
                <w:szCs w:val="24"/>
                <w:highlight w:val="none"/>
              </w:rPr>
            </w:pPr>
            <w:r>
              <w:rPr>
                <w:rFonts w:hint="eastAsia" w:hAnsi="宋体"/>
                <w:szCs w:val="24"/>
                <w:highlight w:val="none"/>
              </w:rPr>
              <w:t>（签字）</w:t>
            </w:r>
          </w:p>
        </w:tc>
      </w:tr>
      <w:tr>
        <w:tblPrEx>
          <w:tblCellMar>
            <w:top w:w="0" w:type="dxa"/>
            <w:left w:w="108" w:type="dxa"/>
            <w:bottom w:w="0" w:type="dxa"/>
            <w:right w:w="108" w:type="dxa"/>
          </w:tblCellMar>
        </w:tblPrEx>
        <w:trPr>
          <w:trHeight w:val="495" w:hRule="atLeast"/>
        </w:trPr>
        <w:tc>
          <w:tcPr>
            <w:tcW w:w="1838" w:type="dxa"/>
            <w:tcBorders>
              <w:top w:val="nil"/>
              <w:left w:val="nil"/>
              <w:bottom w:val="nil"/>
              <w:right w:val="nil"/>
            </w:tcBorders>
            <w:noWrap w:val="0"/>
            <w:vAlign w:val="center"/>
          </w:tcPr>
          <w:p>
            <w:pPr>
              <w:pStyle w:val="38"/>
              <w:spacing w:line="360" w:lineRule="auto"/>
              <w:jc w:val="both"/>
              <w:rPr>
                <w:rFonts w:hAnsi="宋体"/>
                <w:szCs w:val="24"/>
                <w:highlight w:val="none"/>
              </w:rPr>
            </w:pPr>
            <w:r>
              <w:rPr>
                <w:rFonts w:hint="eastAsia" w:hAnsi="宋体"/>
                <w:highlight w:val="none"/>
              </w:rPr>
              <w:t>联系人及电话：</w:t>
            </w:r>
          </w:p>
        </w:tc>
        <w:tc>
          <w:tcPr>
            <w:tcW w:w="3741" w:type="dxa"/>
            <w:tcBorders>
              <w:top w:val="nil"/>
              <w:left w:val="nil"/>
              <w:bottom w:val="single" w:color="auto" w:sz="4" w:space="0"/>
              <w:right w:val="nil"/>
            </w:tcBorders>
            <w:noWrap w:val="0"/>
            <w:vAlign w:val="center"/>
          </w:tcPr>
          <w:p>
            <w:pPr>
              <w:pStyle w:val="38"/>
              <w:spacing w:line="360" w:lineRule="auto"/>
              <w:jc w:val="both"/>
              <w:rPr>
                <w:rFonts w:hAnsi="宋体"/>
                <w:szCs w:val="24"/>
                <w:highlight w:val="none"/>
              </w:rPr>
            </w:pPr>
          </w:p>
        </w:tc>
      </w:tr>
      <w:tr>
        <w:tblPrEx>
          <w:tblCellMar>
            <w:top w:w="0" w:type="dxa"/>
            <w:left w:w="108" w:type="dxa"/>
            <w:bottom w:w="0" w:type="dxa"/>
            <w:right w:w="108" w:type="dxa"/>
          </w:tblCellMar>
        </w:tblPrEx>
        <w:trPr>
          <w:trHeight w:val="495" w:hRule="atLeast"/>
        </w:trPr>
        <w:tc>
          <w:tcPr>
            <w:tcW w:w="1838" w:type="dxa"/>
            <w:tcBorders>
              <w:top w:val="nil"/>
              <w:left w:val="nil"/>
              <w:bottom w:val="nil"/>
              <w:right w:val="nil"/>
            </w:tcBorders>
            <w:noWrap w:val="0"/>
            <w:vAlign w:val="center"/>
          </w:tcPr>
          <w:p>
            <w:pPr>
              <w:pStyle w:val="38"/>
              <w:spacing w:line="360" w:lineRule="auto"/>
              <w:jc w:val="both"/>
              <w:rPr>
                <w:rFonts w:hAnsi="宋体"/>
                <w:szCs w:val="24"/>
                <w:highlight w:val="none"/>
              </w:rPr>
            </w:pPr>
            <w:r>
              <w:rPr>
                <w:rFonts w:hint="eastAsia" w:hAnsi="宋体"/>
                <w:szCs w:val="24"/>
                <w:highlight w:val="none"/>
              </w:rPr>
              <w:t>日期：</w:t>
            </w:r>
          </w:p>
        </w:tc>
        <w:tc>
          <w:tcPr>
            <w:tcW w:w="3741" w:type="dxa"/>
            <w:tcBorders>
              <w:top w:val="single" w:color="auto" w:sz="4" w:space="0"/>
              <w:left w:val="nil"/>
              <w:bottom w:val="single" w:color="auto" w:sz="4" w:space="0"/>
              <w:right w:val="nil"/>
            </w:tcBorders>
            <w:noWrap w:val="0"/>
            <w:vAlign w:val="center"/>
          </w:tcPr>
          <w:p>
            <w:pPr>
              <w:pStyle w:val="38"/>
              <w:spacing w:line="360" w:lineRule="auto"/>
              <w:jc w:val="both"/>
              <w:rPr>
                <w:rFonts w:hAnsi="宋体"/>
                <w:szCs w:val="24"/>
                <w:highlight w:val="none"/>
              </w:rPr>
            </w:pPr>
          </w:p>
        </w:tc>
      </w:tr>
    </w:tbl>
    <w:p>
      <w:pPr>
        <w:jc w:val="center"/>
        <w:rPr>
          <w:rFonts w:hint="eastAsia" w:ascii="仿宋_GB2312" w:hAnsi="仿宋_GB2312" w:eastAsia="仿宋_GB2312" w:cs="仿宋_GB2312"/>
          <w:b/>
          <w:sz w:val="28"/>
          <w:szCs w:val="28"/>
          <w:highlight w:val="none"/>
        </w:rPr>
      </w:pPr>
    </w:p>
    <w:p>
      <w:pPr>
        <w:jc w:val="center"/>
        <w:rPr>
          <w:rFonts w:hint="eastAsia" w:ascii="仿宋_GB2312" w:hAnsi="仿宋_GB2312" w:eastAsia="仿宋_GB2312" w:cs="仿宋_GB2312"/>
          <w:b/>
          <w:sz w:val="28"/>
          <w:szCs w:val="28"/>
          <w:highlight w:val="none"/>
        </w:rPr>
      </w:pPr>
    </w:p>
    <w:p>
      <w:pPr>
        <w:jc w:val="center"/>
        <w:rPr>
          <w:rFonts w:hint="eastAsia" w:ascii="仿宋_GB2312" w:hAnsi="仿宋_GB2312" w:eastAsia="仿宋_GB2312" w:cs="仿宋_GB2312"/>
          <w:b/>
          <w:sz w:val="28"/>
          <w:szCs w:val="28"/>
          <w:highlight w:val="none"/>
        </w:rPr>
      </w:pPr>
    </w:p>
    <w:p>
      <w:pPr>
        <w:jc w:val="center"/>
        <w:rPr>
          <w:rFonts w:hint="eastAsia" w:ascii="仿宋_GB2312" w:hAnsi="仿宋_GB2312" w:eastAsia="仿宋_GB2312" w:cs="仿宋_GB2312"/>
          <w:b/>
          <w:sz w:val="28"/>
          <w:szCs w:val="28"/>
          <w:highlight w:val="none"/>
        </w:rPr>
      </w:pPr>
    </w:p>
    <w:p>
      <w:pPr>
        <w:jc w:val="center"/>
        <w:rPr>
          <w:rFonts w:hint="eastAsia" w:ascii="仿宋_GB2312" w:hAnsi="仿宋_GB2312" w:eastAsia="仿宋_GB2312" w:cs="仿宋_GB2312"/>
          <w:b/>
          <w:sz w:val="28"/>
          <w:szCs w:val="28"/>
          <w:highlight w:val="none"/>
        </w:rPr>
      </w:pPr>
    </w:p>
    <w:p>
      <w:pPr>
        <w:jc w:val="center"/>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p>
    <w:p>
      <w:pPr>
        <w:numPr>
          <w:ilvl w:val="0"/>
          <w:numId w:val="1"/>
        </w:numPr>
        <w:adjustRightInd w:val="0"/>
        <w:snapToGrid w:val="0"/>
        <w:spacing w:line="560" w:lineRule="exact"/>
        <w:jc w:val="center"/>
        <w:rPr>
          <w:rFonts w:hint="eastAsia" w:ascii="仿宋_GB2312" w:hAnsi="仿宋_GB2312" w:eastAsia="仿宋_GB2312" w:cs="仿宋_GB2312"/>
          <w:b/>
          <w:sz w:val="36"/>
          <w:szCs w:val="36"/>
          <w:highlight w:val="none"/>
          <w:lang w:val="en-US" w:eastAsia="zh-CN"/>
        </w:rPr>
      </w:pPr>
      <w:r>
        <w:rPr>
          <w:rFonts w:hint="eastAsia" w:ascii="仿宋_GB2312" w:hAnsi="仿宋_GB2312" w:eastAsia="仿宋_GB2312" w:cs="仿宋_GB2312"/>
          <w:b/>
          <w:sz w:val="36"/>
          <w:szCs w:val="36"/>
          <w:highlight w:val="none"/>
          <w:lang w:val="en-US" w:eastAsia="zh-CN"/>
        </w:rPr>
        <w:t>资格条件相关资料</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参选人应按照比选文件</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 xml:space="preserve">第二章 参选人须知 </w:t>
      </w:r>
      <w:r>
        <w:rPr>
          <w:rFonts w:hint="eastAsia" w:ascii="仿宋_GB2312" w:hAnsi="仿宋_GB2312" w:eastAsia="仿宋_GB2312" w:cs="仿宋_GB2312"/>
          <w:sz w:val="32"/>
          <w:szCs w:val="32"/>
          <w:highlight w:val="none"/>
          <w:lang w:val="en-US" w:eastAsia="zh-CN"/>
        </w:rPr>
        <w:t xml:space="preserve">/第一节 总则/ </w:t>
      </w:r>
      <w:r>
        <w:rPr>
          <w:rFonts w:hint="default" w:ascii="仿宋_GB2312" w:hAnsi="仿宋_GB2312" w:eastAsia="仿宋_GB2312" w:cs="仿宋_GB2312"/>
          <w:sz w:val="32"/>
          <w:szCs w:val="32"/>
          <w:highlight w:val="none"/>
          <w:lang w:val="en-US" w:eastAsia="zh-CN"/>
        </w:rPr>
        <w:t>3.参选人合格条件要求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提供相应的证明材料；</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）参选人的注册资本不低于</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00万元（含本为数），提供营业执照复印件；</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）参选人参选前一年内（202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年），在经营活动中无亏损情况，提供公司</w:t>
      </w:r>
      <w:r>
        <w:rPr>
          <w:rFonts w:hint="eastAsia" w:ascii="仿宋_GB2312" w:hAnsi="仿宋_GB2312" w:eastAsia="仿宋_GB2312" w:cs="仿宋_GB2312"/>
          <w:sz w:val="32"/>
          <w:szCs w:val="32"/>
          <w:highlight w:val="none"/>
          <w:lang w:val="en-US" w:eastAsia="zh-CN"/>
        </w:rPr>
        <w:t>2022年及2023年两年的财务审计报告，若2023年审计报告未出，提供盖章版年度财务报表</w:t>
      </w:r>
      <w:r>
        <w:rPr>
          <w:rFonts w:hint="default" w:ascii="仿宋_GB2312" w:hAnsi="仿宋_GB2312" w:eastAsia="仿宋_GB2312" w:cs="仿宋_GB2312"/>
          <w:sz w:val="32"/>
          <w:szCs w:val="32"/>
          <w:highlight w:val="none"/>
          <w:lang w:val="en-US" w:eastAsia="zh-CN"/>
        </w:rPr>
        <w:t>；</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）参选人营业执照范围须全部涵盖物业管理、餐饮服务、城市绿化管理的相关服务内容，提供营业执照复印件；</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）参选人具有食品经营许可证，</w:t>
      </w:r>
      <w:r>
        <w:rPr>
          <w:rFonts w:hint="eastAsia" w:ascii="仿宋_GB2312" w:hAnsi="仿宋_GB2312" w:eastAsia="仿宋_GB2312" w:cs="仿宋_GB2312"/>
          <w:sz w:val="32"/>
          <w:szCs w:val="32"/>
          <w:highlight w:val="none"/>
          <w:lang w:val="en-US" w:eastAsia="zh-CN"/>
        </w:rPr>
        <w:t>提供食品经营许可证的复印件</w:t>
      </w:r>
      <w:r>
        <w:rPr>
          <w:rFonts w:hint="default" w:ascii="仿宋_GB2312" w:hAnsi="仿宋_GB2312" w:eastAsia="仿宋_GB2312" w:cs="仿宋_GB2312"/>
          <w:sz w:val="32"/>
          <w:szCs w:val="32"/>
          <w:highlight w:val="none"/>
          <w:lang w:val="en-US" w:eastAsia="zh-CN"/>
        </w:rPr>
        <w:t>；</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）至少具有1个合同金额不低于100万元的业绩（含本为数），服务内容为物业服务类似项目业绩，提供合同的复印件（体现金额、服务内容）</w:t>
      </w:r>
      <w:r>
        <w:rPr>
          <w:rFonts w:hint="eastAsia" w:ascii="仿宋_GB2312" w:hAnsi="仿宋_GB2312" w:eastAsia="仿宋_GB2312" w:cs="仿宋_GB2312"/>
          <w:sz w:val="32"/>
          <w:szCs w:val="32"/>
          <w:highlight w:val="none"/>
          <w:lang w:val="en-US" w:eastAsia="zh-CN"/>
        </w:rPr>
        <w:t>。</w:t>
      </w: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widowControl w:val="0"/>
        <w:numPr>
          <w:ilvl w:val="0"/>
          <w:numId w:val="0"/>
        </w:numPr>
        <w:adjustRightInd w:val="0"/>
        <w:snapToGrid w:val="0"/>
        <w:spacing w:line="560" w:lineRule="exact"/>
        <w:jc w:val="center"/>
        <w:rPr>
          <w:rFonts w:hint="default" w:ascii="仿宋_GB2312" w:hAnsi="仿宋_GB2312" w:eastAsia="仿宋_GB2312" w:cs="仿宋_GB2312"/>
          <w:b/>
          <w:sz w:val="36"/>
          <w:szCs w:val="36"/>
          <w:highlight w:val="none"/>
          <w:lang w:val="en-US" w:eastAsia="zh-CN"/>
        </w:rPr>
      </w:pPr>
    </w:p>
    <w:p>
      <w:pPr>
        <w:numPr>
          <w:ilvl w:val="0"/>
          <w:numId w:val="0"/>
        </w:numPr>
        <w:jc w:val="center"/>
        <w:rPr>
          <w:rFonts w:hint="default" w:ascii="仿宋_GB2312" w:hAnsi="仿宋_GB2312" w:eastAsia="仿宋_GB2312" w:cs="仿宋_GB2312"/>
          <w:b/>
          <w:sz w:val="36"/>
          <w:szCs w:val="36"/>
          <w:highlight w:val="none"/>
          <w:lang w:val="en-US" w:eastAsia="zh-CN"/>
        </w:rPr>
      </w:pPr>
      <w:r>
        <w:rPr>
          <w:rFonts w:hint="eastAsia" w:ascii="仿宋_GB2312" w:hAnsi="仿宋_GB2312" w:eastAsia="仿宋_GB2312" w:cs="仿宋_GB2312"/>
          <w:b/>
          <w:color w:val="auto"/>
          <w:sz w:val="36"/>
          <w:szCs w:val="36"/>
          <w:highlight w:val="none"/>
          <w:lang w:eastAsia="zh-CN"/>
        </w:rPr>
        <w:t>（</w:t>
      </w:r>
      <w:r>
        <w:rPr>
          <w:rFonts w:hint="eastAsia" w:ascii="仿宋_GB2312" w:hAnsi="仿宋_GB2312" w:eastAsia="仿宋_GB2312" w:cs="仿宋_GB2312"/>
          <w:b/>
          <w:color w:val="auto"/>
          <w:sz w:val="36"/>
          <w:szCs w:val="36"/>
          <w:highlight w:val="none"/>
          <w:lang w:val="en-US" w:eastAsia="zh-CN"/>
        </w:rPr>
        <w:t>六</w:t>
      </w:r>
      <w:r>
        <w:rPr>
          <w:rFonts w:hint="eastAsia" w:ascii="仿宋_GB2312" w:hAnsi="仿宋_GB2312" w:eastAsia="仿宋_GB2312" w:cs="仿宋_GB2312"/>
          <w:b/>
          <w:color w:val="auto"/>
          <w:sz w:val="36"/>
          <w:szCs w:val="36"/>
          <w:highlight w:val="none"/>
          <w:lang w:eastAsia="zh-CN"/>
        </w:rPr>
        <w:t>）</w:t>
      </w:r>
      <w:r>
        <w:rPr>
          <w:rFonts w:hint="eastAsia" w:ascii="仿宋_GB2312" w:hAnsi="仿宋_GB2312" w:eastAsia="仿宋_GB2312" w:cs="仿宋_GB2312"/>
          <w:b/>
          <w:color w:val="auto"/>
          <w:sz w:val="36"/>
          <w:szCs w:val="36"/>
          <w:highlight w:val="none"/>
          <w:lang w:val="en-US" w:eastAsia="zh-CN"/>
        </w:rPr>
        <w:t>商务部分相关资料</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参选人应按照比选文件</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 xml:space="preserve">第二章 参选人须知 </w:t>
      </w:r>
      <w:r>
        <w:rPr>
          <w:rFonts w:hint="eastAsia" w:ascii="仿宋_GB2312" w:hAnsi="仿宋_GB2312" w:eastAsia="仿宋_GB2312" w:cs="仿宋_GB2312"/>
          <w:sz w:val="32"/>
          <w:szCs w:val="32"/>
          <w:highlight w:val="none"/>
          <w:lang w:val="en-US" w:eastAsia="zh-CN"/>
        </w:rPr>
        <w:t xml:space="preserve">/第四节 评选/ </w:t>
      </w:r>
      <w:r>
        <w:rPr>
          <w:rFonts w:hint="default" w:ascii="仿宋_GB2312" w:hAnsi="仿宋_GB2312" w:eastAsia="仿宋_GB2312" w:cs="仿宋_GB2312"/>
          <w:sz w:val="32"/>
          <w:szCs w:val="32"/>
          <w:highlight w:val="none"/>
          <w:lang w:val="en-US" w:eastAsia="zh-CN"/>
        </w:rPr>
        <w:t>16.3.3 评选规则</w:t>
      </w:r>
      <w:r>
        <w:rPr>
          <w:rFonts w:hint="eastAsia" w:ascii="仿宋_GB2312" w:hAnsi="仿宋_GB2312" w:eastAsia="仿宋_GB2312" w:cs="仿宋_GB2312"/>
          <w:sz w:val="32"/>
          <w:szCs w:val="32"/>
          <w:highlight w:val="none"/>
          <w:lang w:val="en-US" w:eastAsia="zh-CN"/>
        </w:rPr>
        <w:t>”中商务部分</w:t>
      </w:r>
      <w:r>
        <w:rPr>
          <w:rFonts w:hint="default" w:ascii="仿宋_GB2312" w:hAnsi="仿宋_GB2312" w:eastAsia="仿宋_GB2312" w:cs="仿宋_GB2312"/>
          <w:sz w:val="32"/>
          <w:szCs w:val="32"/>
          <w:highlight w:val="none"/>
          <w:lang w:val="en-US" w:eastAsia="zh-CN"/>
        </w:rPr>
        <w:t>提供相应的证明材料；</w:t>
      </w:r>
    </w:p>
    <w:p>
      <w:pPr>
        <w:spacing w:line="460" w:lineRule="exact"/>
        <w:jc w:val="left"/>
        <w:rPr>
          <w:rFonts w:hint="eastAsia" w:ascii="宋体" w:hAnsi="宋体"/>
          <w:sz w:val="24"/>
          <w:highlight w:val="none"/>
        </w:rPr>
      </w:pPr>
    </w:p>
    <w:p>
      <w:pPr>
        <w:spacing w:line="460" w:lineRule="exact"/>
        <w:jc w:val="left"/>
        <w:rPr>
          <w:rFonts w:hint="eastAsia" w:ascii="宋体" w:hAnsi="宋体"/>
          <w:sz w:val="24"/>
          <w:highlight w:val="none"/>
        </w:rPr>
      </w:pPr>
    </w:p>
    <w:p>
      <w:pPr>
        <w:spacing w:line="460" w:lineRule="exact"/>
        <w:jc w:val="left"/>
        <w:rPr>
          <w:rFonts w:hint="eastAsia" w:ascii="宋体" w:hAnsi="宋体"/>
          <w:sz w:val="24"/>
          <w:highlight w:val="none"/>
        </w:rPr>
      </w:pPr>
    </w:p>
    <w:p>
      <w:pPr>
        <w:adjustRightInd w:val="0"/>
        <w:snapToGrid w:val="0"/>
        <w:spacing w:line="560" w:lineRule="exact"/>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br w:type="page"/>
      </w:r>
      <w:bookmarkStart w:id="96" w:name="_Toc303077383"/>
      <w:bookmarkStart w:id="97" w:name="_Toc304911248"/>
      <w:bookmarkStart w:id="98" w:name="_Toc300337322"/>
      <w:r>
        <w:rPr>
          <w:rFonts w:hint="eastAsia" w:ascii="仿宋_GB2312" w:hAnsi="仿宋_GB2312" w:eastAsia="仿宋_GB2312" w:cs="仿宋_GB2312"/>
          <w:b/>
          <w:sz w:val="36"/>
          <w:szCs w:val="36"/>
          <w:highlight w:val="none"/>
        </w:rPr>
        <w:t>（</w:t>
      </w:r>
      <w:r>
        <w:rPr>
          <w:rFonts w:hint="eastAsia" w:ascii="仿宋_GB2312" w:hAnsi="仿宋_GB2312" w:eastAsia="仿宋_GB2312" w:cs="仿宋_GB2312"/>
          <w:b/>
          <w:sz w:val="36"/>
          <w:szCs w:val="36"/>
          <w:highlight w:val="none"/>
          <w:lang w:val="en-US" w:eastAsia="zh-CN"/>
        </w:rPr>
        <w:t>七</w:t>
      </w:r>
      <w:r>
        <w:rPr>
          <w:rFonts w:hint="eastAsia" w:ascii="仿宋_GB2312" w:hAnsi="仿宋_GB2312" w:eastAsia="仿宋_GB2312" w:cs="仿宋_GB2312"/>
          <w:b/>
          <w:sz w:val="36"/>
          <w:szCs w:val="36"/>
          <w:highlight w:val="none"/>
        </w:rPr>
        <w:t>）技术文件</w:t>
      </w:r>
    </w:p>
    <w:p>
      <w:pPr>
        <w:tabs>
          <w:tab w:val="left" w:pos="766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参选人应按照比选文件</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 xml:space="preserve">第二章 参选人须知 </w:t>
      </w:r>
      <w:r>
        <w:rPr>
          <w:rFonts w:hint="eastAsia" w:ascii="仿宋_GB2312" w:hAnsi="仿宋_GB2312" w:eastAsia="仿宋_GB2312" w:cs="仿宋_GB2312"/>
          <w:sz w:val="32"/>
          <w:szCs w:val="32"/>
          <w:highlight w:val="none"/>
          <w:lang w:val="en-US" w:eastAsia="zh-CN"/>
        </w:rPr>
        <w:t xml:space="preserve">/第四节 评选/ </w:t>
      </w:r>
      <w:r>
        <w:rPr>
          <w:rFonts w:hint="default" w:ascii="仿宋_GB2312" w:hAnsi="仿宋_GB2312" w:eastAsia="仿宋_GB2312" w:cs="仿宋_GB2312"/>
          <w:sz w:val="32"/>
          <w:szCs w:val="32"/>
          <w:highlight w:val="none"/>
          <w:lang w:val="en-US" w:eastAsia="zh-CN"/>
        </w:rPr>
        <w:t>16.3.3 评选规则</w:t>
      </w:r>
      <w:r>
        <w:rPr>
          <w:rFonts w:hint="eastAsia" w:ascii="仿宋_GB2312" w:hAnsi="仿宋_GB2312" w:eastAsia="仿宋_GB2312" w:cs="仿宋_GB2312"/>
          <w:sz w:val="32"/>
          <w:szCs w:val="32"/>
          <w:highlight w:val="none"/>
          <w:lang w:val="en-US" w:eastAsia="zh-CN"/>
        </w:rPr>
        <w:t>”中技术部分</w:t>
      </w:r>
      <w:r>
        <w:rPr>
          <w:rFonts w:hint="default" w:ascii="仿宋_GB2312" w:hAnsi="仿宋_GB2312" w:eastAsia="仿宋_GB2312" w:cs="仿宋_GB2312"/>
          <w:sz w:val="32"/>
          <w:szCs w:val="32"/>
          <w:highlight w:val="none"/>
          <w:lang w:val="en-US" w:eastAsia="zh-CN"/>
        </w:rPr>
        <w:t>提供相应的</w:t>
      </w:r>
      <w:r>
        <w:rPr>
          <w:rFonts w:hint="eastAsia" w:ascii="仿宋_GB2312" w:hAnsi="仿宋_GB2312" w:eastAsia="仿宋_GB2312" w:cs="仿宋_GB2312"/>
          <w:sz w:val="32"/>
          <w:szCs w:val="32"/>
          <w:highlight w:val="none"/>
          <w:lang w:val="en-US" w:eastAsia="zh-CN"/>
        </w:rPr>
        <w:t>证明材料</w:t>
      </w:r>
      <w:r>
        <w:rPr>
          <w:rFonts w:hint="default" w:ascii="仿宋_GB2312" w:hAnsi="仿宋_GB2312" w:eastAsia="仿宋_GB2312" w:cs="仿宋_GB2312"/>
          <w:sz w:val="32"/>
          <w:szCs w:val="32"/>
          <w:highlight w:val="none"/>
          <w:lang w:val="en-US" w:eastAsia="zh-CN"/>
        </w:rPr>
        <w:t>；</w:t>
      </w:r>
    </w:p>
    <w:p>
      <w:pPr>
        <w:pStyle w:val="11"/>
        <w:spacing w:line="460" w:lineRule="exact"/>
        <w:ind w:firstLine="0" w:firstLineChars="0"/>
        <w:jc w:val="both"/>
        <w:rPr>
          <w:rFonts w:hint="eastAsia" w:ascii="仿宋_GB2312" w:hAnsi="仿宋_GB2312" w:eastAsia="仿宋_GB2312" w:cs="仿宋_GB2312"/>
          <w:b/>
          <w:sz w:val="36"/>
          <w:szCs w:val="36"/>
          <w:highlight w:val="none"/>
        </w:rPr>
      </w:pPr>
    </w:p>
    <w:p>
      <w:pPr>
        <w:pStyle w:val="11"/>
        <w:spacing w:line="460" w:lineRule="exact"/>
        <w:ind w:firstLine="0" w:firstLineChars="0"/>
        <w:jc w:val="center"/>
        <w:rPr>
          <w:rFonts w:hint="eastAsia" w:ascii="仿宋_GB2312" w:hAnsi="仿宋_GB2312" w:eastAsia="仿宋_GB2312" w:cs="仿宋_GB2312"/>
          <w:b/>
          <w:sz w:val="36"/>
          <w:szCs w:val="36"/>
          <w:highlight w:val="none"/>
        </w:rPr>
      </w:pPr>
    </w:p>
    <w:p>
      <w:pPr>
        <w:pStyle w:val="11"/>
        <w:spacing w:line="460" w:lineRule="exact"/>
        <w:ind w:firstLine="0" w:firstLineChars="0"/>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p>
    <w:p>
      <w:pPr>
        <w:spacing w:before="156" w:beforeLines="50" w:after="156" w:afterLines="50" w:line="460" w:lineRule="exact"/>
        <w:jc w:val="center"/>
        <w:rPr>
          <w:rFonts w:hint="eastAsia"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br w:type="page"/>
      </w:r>
      <w:r>
        <w:rPr>
          <w:rFonts w:hint="eastAsia" w:ascii="仿宋_GB2312" w:hAnsi="仿宋_GB2312" w:eastAsia="仿宋_GB2312" w:cs="仿宋_GB2312"/>
          <w:b/>
          <w:sz w:val="36"/>
          <w:szCs w:val="36"/>
          <w:highlight w:val="none"/>
        </w:rPr>
        <w:t>（</w:t>
      </w:r>
      <w:r>
        <w:rPr>
          <w:rFonts w:hint="eastAsia" w:ascii="仿宋_GB2312" w:hAnsi="仿宋_GB2312" w:eastAsia="仿宋_GB2312" w:cs="仿宋_GB2312"/>
          <w:b/>
          <w:sz w:val="36"/>
          <w:szCs w:val="36"/>
          <w:highlight w:val="none"/>
          <w:lang w:val="en-US" w:eastAsia="zh-CN"/>
        </w:rPr>
        <w:t>八</w:t>
      </w:r>
      <w:r>
        <w:rPr>
          <w:rFonts w:hint="eastAsia" w:ascii="仿宋_GB2312" w:hAnsi="仿宋_GB2312" w:eastAsia="仿宋_GB2312" w:cs="仿宋_GB2312"/>
          <w:b/>
          <w:sz w:val="36"/>
          <w:szCs w:val="36"/>
          <w:highlight w:val="none"/>
        </w:rPr>
        <w:t>）参选保证金</w:t>
      </w:r>
    </w:p>
    <w:p>
      <w:pPr>
        <w:spacing w:line="560" w:lineRule="exact"/>
        <w:ind w:right="125"/>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color w:val="auto"/>
          <w:sz w:val="32"/>
          <w:szCs w:val="32"/>
          <w:highlight w:val="none"/>
        </w:rPr>
        <w:t>重庆九洲智造科技有限公司</w:t>
      </w:r>
    </w:p>
    <w:p>
      <w:pPr>
        <w:spacing w:line="560" w:lineRule="exact"/>
        <w:ind w:right="125"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我方已于</w:t>
      </w:r>
      <w:r>
        <w:rPr>
          <w:rFonts w:hint="eastAsia" w:ascii="仿宋_GB2312" w:hAnsi="仿宋_GB2312" w:eastAsia="仿宋_GB2312" w:cs="仿宋_GB2312"/>
          <w:sz w:val="32"/>
          <w:szCs w:val="32"/>
          <w:highlight w:val="none"/>
          <w:u w:val="single"/>
        </w:rPr>
        <w:t>XXXX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XX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XX</w:t>
      </w:r>
      <w:r>
        <w:rPr>
          <w:rFonts w:hint="eastAsia" w:ascii="仿宋_GB2312" w:hAnsi="仿宋_GB2312" w:eastAsia="仿宋_GB2312" w:cs="仿宋_GB2312"/>
          <w:sz w:val="32"/>
          <w:szCs w:val="32"/>
          <w:highlight w:val="none"/>
        </w:rPr>
        <w:t>日，按照贵司</w:t>
      </w:r>
      <w:r>
        <w:rPr>
          <w:rFonts w:hint="eastAsia" w:ascii="仿宋_GB2312" w:hAnsi="仿宋_GB2312" w:eastAsia="仿宋_GB2312" w:cs="仿宋_GB2312"/>
          <w:sz w:val="32"/>
          <w:szCs w:val="32"/>
          <w:highlight w:val="none"/>
          <w:u w:val="single"/>
        </w:rPr>
        <w:t xml:space="preserve">  XXXX项目（项目编号）</w:t>
      </w:r>
      <w:r>
        <w:rPr>
          <w:rFonts w:hint="eastAsia" w:ascii="仿宋_GB2312" w:hAnsi="仿宋_GB2312" w:eastAsia="仿宋_GB2312" w:cs="仿宋_GB2312"/>
          <w:sz w:val="32"/>
          <w:szCs w:val="32"/>
          <w:highlight w:val="none"/>
        </w:rPr>
        <w:t>比选文件要求将参选保证金通过基本账户转账至贵司对公账户。</w:t>
      </w:r>
    </w:p>
    <w:p>
      <w:pPr>
        <w:spacing w:line="560" w:lineRule="exact"/>
        <w:ind w:right="125"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（附上银行转账回执单）</w:t>
      </w:r>
    </w:p>
    <w:p>
      <w:pPr>
        <w:spacing w:line="560" w:lineRule="exact"/>
        <w:ind w:right="125" w:firstLine="640" w:firstLineChars="200"/>
        <w:rPr>
          <w:rFonts w:hint="eastAsia" w:ascii="仿宋_GB2312" w:hAnsi="仿宋_GB2312" w:eastAsia="仿宋_GB2312" w:cs="仿宋_GB2312"/>
          <w:sz w:val="32"/>
          <w:szCs w:val="32"/>
          <w:highlight w:val="none"/>
        </w:rPr>
      </w:pPr>
    </w:p>
    <w:p>
      <w:pPr>
        <w:spacing w:line="560" w:lineRule="exact"/>
        <w:ind w:right="125" w:firstLine="640" w:firstLineChars="200"/>
        <w:rPr>
          <w:rFonts w:hint="eastAsia" w:ascii="仿宋_GB2312" w:hAnsi="仿宋_GB2312" w:eastAsia="仿宋_GB2312" w:cs="仿宋_GB2312"/>
          <w:sz w:val="32"/>
          <w:szCs w:val="32"/>
          <w:highlight w:val="none"/>
        </w:rPr>
      </w:pPr>
    </w:p>
    <w:tbl>
      <w:tblPr>
        <w:tblStyle w:val="16"/>
        <w:tblpPr w:leftFromText="180" w:rightFromText="180" w:vertAnchor="text" w:horzAnchor="page" w:tblpX="5020" w:tblpY="453"/>
        <w:tblW w:w="0" w:type="auto"/>
        <w:tblInd w:w="0" w:type="dxa"/>
        <w:tblLayout w:type="fixed"/>
        <w:tblCellMar>
          <w:top w:w="0" w:type="dxa"/>
          <w:left w:w="108" w:type="dxa"/>
          <w:bottom w:w="0" w:type="dxa"/>
          <w:right w:w="108" w:type="dxa"/>
        </w:tblCellMar>
      </w:tblPr>
      <w:tblGrid>
        <w:gridCol w:w="2235"/>
        <w:gridCol w:w="3741"/>
      </w:tblGrid>
      <w:tr>
        <w:tblPrEx>
          <w:tblCellMar>
            <w:top w:w="0" w:type="dxa"/>
            <w:left w:w="108" w:type="dxa"/>
            <w:bottom w:w="0" w:type="dxa"/>
            <w:right w:w="108" w:type="dxa"/>
          </w:tblCellMar>
        </w:tblPrEx>
        <w:trPr>
          <w:cantSplit/>
          <w:trHeight w:val="567"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tc>
        <w:tc>
          <w:tcPr>
            <w:tcW w:w="3741" w:type="dxa"/>
            <w:tcBorders>
              <w:top w:val="nil"/>
              <w:left w:val="nil"/>
              <w:bottom w:val="single" w:color="auto" w:sz="4" w:space="0"/>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(盖单位公章)</w:t>
            </w:r>
          </w:p>
        </w:tc>
      </w:tr>
      <w:tr>
        <w:tblPrEx>
          <w:tblCellMar>
            <w:top w:w="0" w:type="dxa"/>
            <w:left w:w="108" w:type="dxa"/>
            <w:bottom w:w="0" w:type="dxa"/>
            <w:right w:w="108" w:type="dxa"/>
          </w:tblCellMar>
        </w:tblPrEx>
        <w:trPr>
          <w:cantSplit/>
          <w:trHeight w:val="850"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p>
        </w:tc>
        <w:tc>
          <w:tcPr>
            <w:tcW w:w="3741" w:type="dxa"/>
            <w:tcBorders>
              <w:top w:val="nil"/>
              <w:left w:val="nil"/>
              <w:bottom w:val="single" w:color="auto" w:sz="4" w:space="0"/>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r>
      <w:tr>
        <w:tblPrEx>
          <w:tblCellMar>
            <w:top w:w="0" w:type="dxa"/>
            <w:left w:w="108" w:type="dxa"/>
            <w:bottom w:w="0" w:type="dxa"/>
            <w:right w:w="108" w:type="dxa"/>
          </w:tblCellMar>
        </w:tblPrEx>
        <w:trPr>
          <w:cantSplit/>
          <w:trHeight w:val="567"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3741" w:type="dxa"/>
            <w:tcBorders>
              <w:top w:val="single" w:color="auto" w:sz="4" w:space="0"/>
              <w:left w:val="nil"/>
              <w:bottom w:val="single" w:color="auto" w:sz="4" w:space="0"/>
              <w:right w:val="nil"/>
            </w:tcBorders>
            <w:noWrap w:val="0"/>
            <w:vAlign w:val="center"/>
          </w:tcPr>
          <w:p>
            <w:pPr>
              <w:pStyle w:val="38"/>
              <w:adjustRightInd w:val="0"/>
              <w:snapToGrid w:val="0"/>
              <w:spacing w:line="240" w:lineRule="auto"/>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tc>
      </w:tr>
    </w:tbl>
    <w:p>
      <w:pPr>
        <w:spacing w:line="560" w:lineRule="exact"/>
        <w:ind w:right="125" w:firstLine="640" w:firstLineChars="200"/>
        <w:rPr>
          <w:rFonts w:ascii="仿宋_GB2312" w:hAnsi="仿宋_GB2312" w:eastAsia="仿宋_GB2312" w:cs="仿宋_GB2312"/>
          <w:sz w:val="32"/>
          <w:szCs w:val="32"/>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rPr>
          <w:rFonts w:hint="eastAsia" w:ascii="仿宋_GB2312" w:hAnsi="仿宋_GB2312" w:eastAsia="仿宋_GB2312" w:cs="仿宋_GB2312"/>
          <w:bCs/>
          <w:sz w:val="28"/>
          <w:szCs w:val="28"/>
          <w:highlight w:val="none"/>
        </w:rPr>
      </w:pPr>
    </w:p>
    <w:p>
      <w:pPr>
        <w:spacing w:before="156" w:beforeLines="50" w:after="156" w:afterLines="50" w:line="460" w:lineRule="exact"/>
        <w:jc w:val="center"/>
        <w:rPr>
          <w:rFonts w:hint="eastAsia" w:ascii="仿宋_GB2312" w:hAnsi="仿宋_GB2312" w:eastAsia="仿宋_GB2312" w:cs="仿宋_GB2312"/>
          <w:sz w:val="36"/>
          <w:szCs w:val="36"/>
          <w:highlight w:val="none"/>
        </w:rPr>
      </w:pPr>
      <w:r>
        <w:rPr>
          <w:rFonts w:hint="eastAsia" w:ascii="仿宋_GB2312" w:hAnsi="仿宋_GB2312" w:eastAsia="仿宋_GB2312" w:cs="仿宋_GB2312"/>
          <w:b/>
          <w:sz w:val="36"/>
          <w:szCs w:val="36"/>
          <w:highlight w:val="none"/>
        </w:rPr>
        <w:t>（</w:t>
      </w:r>
      <w:r>
        <w:rPr>
          <w:rFonts w:hint="eastAsia" w:ascii="仿宋_GB2312" w:hAnsi="仿宋_GB2312" w:eastAsia="仿宋_GB2312" w:cs="仿宋_GB2312"/>
          <w:b/>
          <w:sz w:val="36"/>
          <w:szCs w:val="36"/>
          <w:highlight w:val="none"/>
          <w:lang w:val="en-US" w:eastAsia="zh-CN"/>
        </w:rPr>
        <w:t>九</w:t>
      </w:r>
      <w:r>
        <w:rPr>
          <w:rFonts w:hint="eastAsia" w:ascii="仿宋_GB2312" w:hAnsi="仿宋_GB2312" w:eastAsia="仿宋_GB2312" w:cs="仿宋_GB2312"/>
          <w:b/>
          <w:sz w:val="36"/>
          <w:szCs w:val="36"/>
          <w:highlight w:val="none"/>
        </w:rPr>
        <w:t>）参选人基本情况表</w:t>
      </w:r>
      <w:bookmarkEnd w:id="96"/>
      <w:bookmarkEnd w:id="97"/>
      <w:bookmarkEnd w:id="98"/>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2"/>
        <w:gridCol w:w="1372"/>
        <w:gridCol w:w="2223"/>
        <w:gridCol w:w="1545"/>
        <w:gridCol w:w="23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216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参选人名称</w:t>
            </w:r>
          </w:p>
        </w:tc>
        <w:tc>
          <w:tcPr>
            <w:tcW w:w="744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6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注册地址</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注册资金</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6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成立时间</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2162"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联系方式</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  话</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  真</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  址</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216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经营范围</w:t>
            </w:r>
          </w:p>
        </w:tc>
        <w:tc>
          <w:tcPr>
            <w:tcW w:w="744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ind w:firstLine="160" w:firstLineChars="50"/>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216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企业资质证书</w:t>
            </w:r>
          </w:p>
        </w:tc>
        <w:tc>
          <w:tcPr>
            <w:tcW w:w="744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2162" w:type="dxa"/>
            <w:tcBorders>
              <w:top w:val="single" w:color="auto" w:sz="4" w:space="0"/>
              <w:left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公司近三年经营业绩及获奖情况</w:t>
            </w:r>
          </w:p>
        </w:tc>
        <w:tc>
          <w:tcPr>
            <w:tcW w:w="7446" w:type="dxa"/>
            <w:gridSpan w:val="4"/>
            <w:tcBorders>
              <w:top w:val="single" w:color="auto" w:sz="4" w:space="0"/>
              <w:left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2162" w:type="dxa"/>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其它</w:t>
            </w:r>
          </w:p>
        </w:tc>
        <w:tc>
          <w:tcPr>
            <w:tcW w:w="744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00" w:lineRule="exact"/>
              <w:jc w:val="center"/>
              <w:rPr>
                <w:rFonts w:hint="eastAsia" w:ascii="仿宋_GB2312" w:hAnsi="仿宋_GB2312" w:eastAsia="仿宋_GB2312" w:cs="仿宋_GB2312"/>
                <w:sz w:val="32"/>
                <w:szCs w:val="32"/>
                <w:highlight w:val="none"/>
              </w:rPr>
            </w:pPr>
          </w:p>
        </w:tc>
      </w:tr>
    </w:tbl>
    <w:p>
      <w:pPr>
        <w:spacing w:line="460" w:lineRule="exact"/>
        <w:rPr>
          <w:rFonts w:hint="eastAsia" w:ascii="仿宋_GB2312" w:hAnsi="仿宋_GB2312" w:eastAsia="仿宋_GB2312" w:cs="仿宋_GB2312"/>
          <w:highlight w:val="none"/>
        </w:rPr>
      </w:pPr>
    </w:p>
    <w:p>
      <w:pPr>
        <w:spacing w:line="460" w:lineRule="exact"/>
        <w:rPr>
          <w:rFonts w:hint="eastAsia" w:ascii="仿宋_GB2312" w:hAnsi="仿宋_GB2312" w:eastAsia="仿宋_GB2312" w:cs="仿宋_GB2312"/>
          <w:highlight w:val="none"/>
        </w:rPr>
      </w:pPr>
    </w:p>
    <w:tbl>
      <w:tblPr>
        <w:tblStyle w:val="16"/>
        <w:tblpPr w:leftFromText="180" w:rightFromText="180" w:vertAnchor="text" w:horzAnchor="page" w:tblpX="5020" w:tblpY="453"/>
        <w:tblW w:w="0" w:type="auto"/>
        <w:tblInd w:w="0" w:type="dxa"/>
        <w:tblLayout w:type="fixed"/>
        <w:tblCellMar>
          <w:top w:w="0" w:type="dxa"/>
          <w:left w:w="108" w:type="dxa"/>
          <w:bottom w:w="0" w:type="dxa"/>
          <w:right w:w="108" w:type="dxa"/>
        </w:tblCellMar>
      </w:tblPr>
      <w:tblGrid>
        <w:gridCol w:w="2235"/>
        <w:gridCol w:w="3741"/>
      </w:tblGrid>
      <w:tr>
        <w:tblPrEx>
          <w:tblCellMar>
            <w:top w:w="0" w:type="dxa"/>
            <w:left w:w="108" w:type="dxa"/>
            <w:bottom w:w="0" w:type="dxa"/>
            <w:right w:w="108" w:type="dxa"/>
          </w:tblCellMar>
        </w:tblPrEx>
        <w:trPr>
          <w:cantSplit/>
          <w:trHeight w:val="567"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tc>
        <w:tc>
          <w:tcPr>
            <w:tcW w:w="3741" w:type="dxa"/>
            <w:tcBorders>
              <w:top w:val="nil"/>
              <w:left w:val="nil"/>
              <w:bottom w:val="single" w:color="auto" w:sz="4" w:space="0"/>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(盖单位公章)</w:t>
            </w:r>
          </w:p>
        </w:tc>
      </w:tr>
      <w:tr>
        <w:tblPrEx>
          <w:tblCellMar>
            <w:top w:w="0" w:type="dxa"/>
            <w:left w:w="108" w:type="dxa"/>
            <w:bottom w:w="0" w:type="dxa"/>
            <w:right w:w="108" w:type="dxa"/>
          </w:tblCellMar>
        </w:tblPrEx>
        <w:trPr>
          <w:cantSplit/>
          <w:trHeight w:val="850"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p>
        </w:tc>
        <w:tc>
          <w:tcPr>
            <w:tcW w:w="3741" w:type="dxa"/>
            <w:tcBorders>
              <w:top w:val="nil"/>
              <w:left w:val="nil"/>
              <w:bottom w:val="single" w:color="auto" w:sz="4" w:space="0"/>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r>
      <w:tr>
        <w:tblPrEx>
          <w:tblCellMar>
            <w:top w:w="0" w:type="dxa"/>
            <w:left w:w="108" w:type="dxa"/>
            <w:bottom w:w="0" w:type="dxa"/>
            <w:right w:w="108" w:type="dxa"/>
          </w:tblCellMar>
        </w:tblPrEx>
        <w:trPr>
          <w:cantSplit/>
          <w:trHeight w:val="567" w:hRule="exact"/>
        </w:trPr>
        <w:tc>
          <w:tcPr>
            <w:tcW w:w="2235" w:type="dxa"/>
            <w:tcBorders>
              <w:top w:val="nil"/>
              <w:left w:val="nil"/>
              <w:bottom w:val="nil"/>
              <w:right w:val="nil"/>
            </w:tcBorders>
            <w:noWrap w:val="0"/>
            <w:vAlign w:val="center"/>
          </w:tcPr>
          <w:p>
            <w:pPr>
              <w:pStyle w:val="38"/>
              <w:adjustRightInd w:val="0"/>
              <w:snapToGrid w:val="0"/>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3741" w:type="dxa"/>
            <w:tcBorders>
              <w:top w:val="single" w:color="auto" w:sz="4" w:space="0"/>
              <w:left w:val="nil"/>
              <w:bottom w:val="single" w:color="auto" w:sz="4" w:space="0"/>
              <w:right w:val="nil"/>
            </w:tcBorders>
            <w:noWrap w:val="0"/>
            <w:vAlign w:val="center"/>
          </w:tcPr>
          <w:p>
            <w:pPr>
              <w:pStyle w:val="38"/>
              <w:adjustRightInd w:val="0"/>
              <w:snapToGrid w:val="0"/>
              <w:spacing w:line="240" w:lineRule="auto"/>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tc>
      </w:tr>
    </w:tbl>
    <w:p>
      <w:pPr>
        <w:pStyle w:val="10"/>
        <w:spacing w:line="460" w:lineRule="exact"/>
        <w:rPr>
          <w:rFonts w:hint="eastAsia" w:ascii="仿宋_GB2312" w:hAnsi="仿宋_GB2312" w:eastAsia="仿宋_GB2312" w:cs="仿宋_GB2312"/>
          <w:b/>
          <w:sz w:val="28"/>
          <w:szCs w:val="28"/>
          <w:highlight w:val="none"/>
        </w:rPr>
      </w:pPr>
    </w:p>
    <w:p>
      <w:pPr>
        <w:pStyle w:val="10"/>
        <w:spacing w:line="460" w:lineRule="exact"/>
        <w:rPr>
          <w:rFonts w:hint="eastAsia" w:ascii="仿宋_GB2312" w:hAnsi="仿宋_GB2312" w:eastAsia="仿宋_GB2312" w:cs="仿宋_GB2312"/>
          <w:b/>
          <w:sz w:val="28"/>
          <w:szCs w:val="28"/>
          <w:highlight w:val="none"/>
        </w:rPr>
      </w:pPr>
    </w:p>
    <w:p>
      <w:pPr>
        <w:pStyle w:val="10"/>
        <w:spacing w:line="460" w:lineRule="exact"/>
        <w:rPr>
          <w:rFonts w:hint="eastAsia" w:ascii="仿宋_GB2312" w:hAnsi="仿宋_GB2312" w:eastAsia="仿宋_GB2312" w:cs="仿宋_GB2312"/>
          <w:b/>
          <w:sz w:val="28"/>
          <w:szCs w:val="28"/>
          <w:highlight w:val="none"/>
        </w:rPr>
      </w:pPr>
    </w:p>
    <w:p>
      <w:pPr>
        <w:pStyle w:val="10"/>
        <w:spacing w:line="460" w:lineRule="exact"/>
        <w:rPr>
          <w:rFonts w:hint="eastAsia" w:ascii="仿宋_GB2312" w:hAnsi="仿宋_GB2312" w:eastAsia="仿宋_GB2312" w:cs="仿宋_GB2312"/>
          <w:b/>
          <w:sz w:val="28"/>
          <w:szCs w:val="28"/>
          <w:highlight w:val="none"/>
        </w:rPr>
      </w:pPr>
    </w:p>
    <w:p>
      <w:pPr>
        <w:spacing w:line="460" w:lineRule="exact"/>
        <w:rPr>
          <w:rFonts w:hint="eastAsia" w:ascii="仿宋_GB2312" w:hAnsi="仿宋_GB2312" w:eastAsia="仿宋_GB2312" w:cs="仿宋_GB2312"/>
          <w:b/>
          <w:sz w:val="28"/>
          <w:szCs w:val="28"/>
          <w:highlight w:val="none"/>
        </w:rPr>
      </w:pPr>
      <w:bookmarkStart w:id="99" w:name="_Toc232509455"/>
      <w:bookmarkStart w:id="100" w:name="_Toc213141112"/>
    </w:p>
    <w:p>
      <w:pPr>
        <w:spacing w:before="156" w:beforeLines="50" w:after="156" w:afterLines="50" w:line="460" w:lineRule="exact"/>
        <w:jc w:val="center"/>
        <w:rPr>
          <w:rFonts w:hint="eastAsia" w:ascii="仿宋_GB2312" w:hAnsi="仿宋_GB2312" w:eastAsia="仿宋_GB2312" w:cs="仿宋_GB2312"/>
          <w:b/>
          <w:sz w:val="28"/>
          <w:szCs w:val="28"/>
          <w:highlight w:val="none"/>
        </w:rPr>
      </w:pPr>
    </w:p>
    <w:p>
      <w:pPr>
        <w:spacing w:before="156" w:beforeLines="50" w:after="156" w:afterLines="50" w:line="460" w:lineRule="exact"/>
        <w:jc w:val="center"/>
        <w:rPr>
          <w:rFonts w:hint="eastAsia" w:ascii="仿宋_GB2312" w:hAnsi="仿宋_GB2312" w:eastAsia="仿宋_GB2312" w:cs="仿宋_GB2312"/>
          <w:b/>
          <w:sz w:val="28"/>
          <w:szCs w:val="28"/>
          <w:highlight w:val="none"/>
        </w:rPr>
      </w:pPr>
    </w:p>
    <w:p>
      <w:pPr>
        <w:spacing w:before="156" w:beforeLines="50" w:after="156" w:afterLines="50" w:line="460" w:lineRule="exact"/>
        <w:jc w:val="center"/>
        <w:rPr>
          <w:rFonts w:hint="eastAsia" w:ascii="仿宋_GB2312" w:hAnsi="仿宋_GB2312" w:eastAsia="仿宋_GB2312" w:cs="仿宋_GB2312"/>
          <w:b/>
          <w:sz w:val="28"/>
          <w:szCs w:val="28"/>
          <w:highlight w:val="none"/>
        </w:rPr>
      </w:pPr>
    </w:p>
    <w:p>
      <w:pPr>
        <w:spacing w:before="156" w:beforeLines="50" w:after="156" w:afterLines="50" w:line="460" w:lineRule="exact"/>
        <w:jc w:val="center"/>
        <w:rPr>
          <w:rFonts w:hint="eastAsia" w:ascii="仿宋_GB2312" w:hAnsi="仿宋_GB2312" w:eastAsia="仿宋_GB2312" w:cs="仿宋_GB2312"/>
          <w:b/>
          <w:sz w:val="28"/>
          <w:szCs w:val="28"/>
          <w:highlight w:val="none"/>
        </w:rPr>
      </w:pPr>
    </w:p>
    <w:p>
      <w:pPr>
        <w:spacing w:before="156" w:beforeLines="50" w:after="156" w:afterLines="50" w:line="460" w:lineRule="exact"/>
        <w:rPr>
          <w:rFonts w:hint="eastAsia" w:ascii="仿宋_GB2312" w:hAnsi="仿宋_GB2312" w:eastAsia="仿宋_GB2312" w:cs="仿宋_GB2312"/>
          <w:b/>
          <w:sz w:val="28"/>
          <w:szCs w:val="28"/>
          <w:highlight w:val="none"/>
        </w:rPr>
      </w:pPr>
    </w:p>
    <w:p>
      <w:pPr>
        <w:adjustRightInd w:val="0"/>
        <w:snapToGrid w:val="0"/>
        <w:spacing w:before="156" w:beforeLines="50" w:after="156" w:afterLines="50" w:line="56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6"/>
          <w:szCs w:val="36"/>
          <w:highlight w:val="none"/>
        </w:rPr>
        <w:t>（十）参选人资质证明材料</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注：1.参选人应按照比选文件第一章“比选</w:t>
      </w:r>
      <w:r>
        <w:rPr>
          <w:rFonts w:hint="eastAsia" w:ascii="仿宋_GB2312" w:hAnsi="仿宋_GB2312" w:eastAsia="仿宋_GB2312" w:cs="仿宋_GB2312"/>
          <w:sz w:val="32"/>
          <w:szCs w:val="32"/>
          <w:highlight w:val="none"/>
          <w:lang w:val="en-US" w:eastAsia="zh-CN"/>
        </w:rPr>
        <w:t>公告</w:t>
      </w:r>
      <w:r>
        <w:rPr>
          <w:rFonts w:hint="eastAsia" w:ascii="仿宋_GB2312" w:hAnsi="仿宋_GB2312" w:eastAsia="仿宋_GB2312" w:cs="仿宋_GB2312"/>
          <w:sz w:val="32"/>
          <w:szCs w:val="32"/>
          <w:highlight w:val="none"/>
        </w:rPr>
        <w:t>”要求的资质提供相应的证明材料；</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bookmarkEnd w:id="99"/>
      <w:bookmarkEnd w:id="100"/>
      <w:r>
        <w:rPr>
          <w:rFonts w:hint="eastAsia" w:ascii="仿宋_GB2312" w:hAnsi="仿宋_GB2312" w:eastAsia="仿宋_GB2312" w:cs="仿宋_GB2312"/>
          <w:sz w:val="32"/>
          <w:szCs w:val="32"/>
          <w:highlight w:val="none"/>
        </w:rPr>
        <w:t>参选人认为需要提供给的其他资料（如营业执照、代理授权书、企业资质证书、公司近三年经营业绩及获奖情况等），格式自拟。</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6"/>
          <w:szCs w:val="36"/>
          <w:highlight w:val="none"/>
        </w:rPr>
        <w:t>（十</w:t>
      </w:r>
      <w:r>
        <w:rPr>
          <w:rFonts w:hint="eastAsia" w:ascii="仿宋_GB2312" w:hAnsi="仿宋_GB2312" w:eastAsia="仿宋_GB2312" w:cs="仿宋_GB2312"/>
          <w:b/>
          <w:sz w:val="36"/>
          <w:szCs w:val="36"/>
          <w:highlight w:val="none"/>
          <w:lang w:val="en-US" w:eastAsia="zh-CN"/>
        </w:rPr>
        <w:t>一</w:t>
      </w:r>
      <w:r>
        <w:rPr>
          <w:rFonts w:hint="eastAsia" w:ascii="仿宋_GB2312" w:hAnsi="仿宋_GB2312" w:eastAsia="仿宋_GB2312" w:cs="仿宋_GB2312"/>
          <w:b/>
          <w:sz w:val="36"/>
          <w:szCs w:val="36"/>
          <w:highlight w:val="none"/>
        </w:rPr>
        <w:t>）参选人反商业贿赂承诺书</w:t>
      </w:r>
    </w:p>
    <w:p>
      <w:pPr>
        <w:adjustRightInd w:val="0"/>
        <w:snapToGrid w:val="0"/>
        <w:spacing w:line="560" w:lineRule="exact"/>
        <w:jc w:val="center"/>
        <w:rPr>
          <w:rFonts w:hint="eastAsia" w:ascii="仿宋_GB2312" w:hAnsi="仿宋_GB2312" w:eastAsia="仿宋_GB2312" w:cs="仿宋_GB2312"/>
          <w:sz w:val="32"/>
          <w:szCs w:val="32"/>
          <w:highlight w:val="none"/>
        </w:rPr>
      </w:pPr>
    </w:p>
    <w:p>
      <w:pPr>
        <w:adjustRightInd w:val="0"/>
        <w:snapToGrid w:val="0"/>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color w:val="auto"/>
          <w:sz w:val="32"/>
          <w:szCs w:val="32"/>
          <w:highlight w:val="none"/>
        </w:rPr>
        <w:t>重庆九洲智造科技有限公司</w:t>
      </w:r>
    </w:p>
    <w:p>
      <w:pPr>
        <w:adjustRightInd w:val="0"/>
        <w:snapToGrid w:val="0"/>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我方承诺在</w:t>
      </w:r>
      <w:r>
        <w:rPr>
          <w:rFonts w:hint="eastAsia" w:ascii="仿宋_GB2312" w:hAnsi="仿宋_GB2312" w:eastAsia="仿宋_GB2312" w:cs="仿宋_GB2312"/>
          <w:sz w:val="32"/>
          <w:szCs w:val="32"/>
          <w:highlight w:val="none"/>
          <w:u w:val="single"/>
        </w:rPr>
        <w:t>（项目编号、项目名称）</w:t>
      </w:r>
      <w:r>
        <w:rPr>
          <w:rFonts w:hint="eastAsia" w:ascii="仿宋_GB2312" w:hAnsi="仿宋_GB2312" w:eastAsia="仿宋_GB2312" w:cs="仿宋_GB2312"/>
          <w:sz w:val="32"/>
          <w:szCs w:val="32"/>
          <w:highlight w:val="none"/>
        </w:rPr>
        <w:t>比选活动中，不给予比选人相关工作人员及其亲属任何形式的商业贿赂（包括送礼金礼品、有价证券、购物券、回扣、佣金、咨询费、劳务费、赞助费、宣传费、支付旅游费用、报销各种消费凭证、宴请、娱乐等），如有上述行为，我方及项目参与人员愿意按照《反不正当竞争法》的有关规定接受处罚。</w:t>
      </w:r>
    </w:p>
    <w:p>
      <w:pPr>
        <w:adjustRightInd w:val="0"/>
        <w:snapToGrid w:val="0"/>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如有上述行为，我公司及项目参与人员自愿放弃本次项目的参选、报价资格，若为中选人，也自愿放弃中选资格。</w:t>
      </w:r>
    </w:p>
    <w:p>
      <w:pPr>
        <w:adjustRightInd w:val="0"/>
        <w:snapToGrid w:val="0"/>
        <w:spacing w:line="560" w:lineRule="exact"/>
        <w:ind w:firstLine="640"/>
        <w:jc w:val="left"/>
        <w:rPr>
          <w:rFonts w:hint="eastAsia" w:ascii="仿宋_GB2312" w:hAnsi="仿宋_GB2312" w:eastAsia="仿宋_GB2312" w:cs="仿宋_GB2312"/>
          <w:sz w:val="32"/>
          <w:szCs w:val="32"/>
          <w:highlight w:val="none"/>
        </w:rPr>
      </w:pPr>
    </w:p>
    <w:p>
      <w:pPr>
        <w:adjustRightInd w:val="0"/>
        <w:snapToGrid w:val="0"/>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公司名称（加盖公章）：</w:t>
      </w:r>
    </w:p>
    <w:p>
      <w:pPr>
        <w:adjustRightInd w:val="0"/>
        <w:snapToGrid w:val="0"/>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        期：</w:t>
      </w:r>
    </w:p>
    <w:p>
      <w:pPr>
        <w:spacing w:line="460" w:lineRule="exact"/>
        <w:jc w:val="left"/>
        <w:rPr>
          <w:rFonts w:ascii="宋体" w:hAnsi="宋体"/>
          <w:szCs w:val="21"/>
          <w:highlight w:val="none"/>
        </w:rPr>
      </w:pPr>
    </w:p>
    <w:p>
      <w:pPr>
        <w:spacing w:line="460" w:lineRule="exact"/>
        <w:jc w:val="left"/>
        <w:rPr>
          <w:rFonts w:ascii="宋体" w:hAnsi="宋体"/>
          <w:szCs w:val="21"/>
          <w:highlight w:val="none"/>
        </w:rPr>
      </w:pPr>
    </w:p>
    <w:p>
      <w:pPr>
        <w:spacing w:line="460" w:lineRule="exact"/>
        <w:jc w:val="left"/>
        <w:rPr>
          <w:rFonts w:ascii="宋体" w:hAnsi="宋体"/>
          <w:szCs w:val="21"/>
          <w:highlight w:val="none"/>
        </w:rPr>
      </w:pPr>
    </w:p>
    <w:p>
      <w:pPr>
        <w:pStyle w:val="11"/>
        <w:spacing w:line="460" w:lineRule="exact"/>
        <w:ind w:firstLine="0" w:firstLineChars="0"/>
        <w:rPr>
          <w:rFonts w:hint="eastAsia" w:ascii="仿宋_GB2312" w:hAnsi="仿宋_GB2312" w:eastAsia="仿宋_GB2312" w:cs="仿宋_GB2312"/>
          <w:sz w:val="32"/>
          <w:szCs w:val="32"/>
          <w:highlight w:val="none"/>
        </w:rPr>
      </w:pP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1C626B-CA3E-49E5-B8F0-9A27B76E969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D4D6ADA-6F1C-4607-90DF-50C7926B8569}"/>
  </w:font>
  <w:font w:name="仿宋">
    <w:panose1 w:val="02010609060101010101"/>
    <w:charset w:val="86"/>
    <w:family w:val="modern"/>
    <w:pitch w:val="default"/>
    <w:sig w:usb0="800002BF" w:usb1="38CF7CFA" w:usb2="00000016" w:usb3="00000000" w:csb0="00040001" w:csb1="00000000"/>
    <w:embedRegular r:id="rId3" w:fontKey="{7111200A-9109-4FEC-B36D-9745C3F93A94}"/>
  </w:font>
  <w:font w:name="方正仿宋_GB2312">
    <w:panose1 w:val="02000000000000000000"/>
    <w:charset w:val="86"/>
    <w:family w:val="auto"/>
    <w:pitch w:val="default"/>
    <w:sig w:usb0="A00002BF" w:usb1="184F6CFA" w:usb2="00000012" w:usb3="00000000" w:csb0="00040001" w:csb1="00000000"/>
    <w:embedRegular r:id="rId4" w:fontKey="{BF3C02F1-3645-4487-81A9-721A581037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rPr>
                    </w:pPr>
                    <w:r>
                      <w:rPr>
                        <w:rFonts w:hint="eastAsia"/>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rPr>
                      <w:t xml:space="preserve"> —</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CA3AB"/>
    <w:multiLevelType w:val="singleLevel"/>
    <w:tmpl w:val="78DCA3A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TdjNzRlZDk5MmIwMDk1ZGJmYmZjNDgxMGI2OGUifQ=="/>
    <w:docVar w:name="KSO_WPS_MARK_KEY" w:val="c792fa89-3b80-4939-bad4-227e69782f40"/>
  </w:docVars>
  <w:rsids>
    <w:rsidRoot w:val="003A5219"/>
    <w:rsid w:val="00053515"/>
    <w:rsid w:val="000918FD"/>
    <w:rsid w:val="000B154F"/>
    <w:rsid w:val="000D058D"/>
    <w:rsid w:val="000E5141"/>
    <w:rsid w:val="000F26AE"/>
    <w:rsid w:val="001179F1"/>
    <w:rsid w:val="00126E95"/>
    <w:rsid w:val="001355C6"/>
    <w:rsid w:val="001627AF"/>
    <w:rsid w:val="00173DFE"/>
    <w:rsid w:val="001A4B50"/>
    <w:rsid w:val="001D22D5"/>
    <w:rsid w:val="00202629"/>
    <w:rsid w:val="00207852"/>
    <w:rsid w:val="00237B09"/>
    <w:rsid w:val="00264226"/>
    <w:rsid w:val="00280430"/>
    <w:rsid w:val="00283EF7"/>
    <w:rsid w:val="00294959"/>
    <w:rsid w:val="002A6872"/>
    <w:rsid w:val="002C09B8"/>
    <w:rsid w:val="002E709B"/>
    <w:rsid w:val="00317FA3"/>
    <w:rsid w:val="003778BF"/>
    <w:rsid w:val="00381FA0"/>
    <w:rsid w:val="003A5219"/>
    <w:rsid w:val="003C1932"/>
    <w:rsid w:val="004070CE"/>
    <w:rsid w:val="004408BA"/>
    <w:rsid w:val="00482960"/>
    <w:rsid w:val="00483B81"/>
    <w:rsid w:val="004942E4"/>
    <w:rsid w:val="004A6783"/>
    <w:rsid w:val="004D3799"/>
    <w:rsid w:val="0051701B"/>
    <w:rsid w:val="00575E0B"/>
    <w:rsid w:val="005936CF"/>
    <w:rsid w:val="005A6606"/>
    <w:rsid w:val="005B7794"/>
    <w:rsid w:val="005D1168"/>
    <w:rsid w:val="006070B0"/>
    <w:rsid w:val="00652C39"/>
    <w:rsid w:val="006705C1"/>
    <w:rsid w:val="00682C6C"/>
    <w:rsid w:val="006A6BB6"/>
    <w:rsid w:val="006C30C8"/>
    <w:rsid w:val="006F15EB"/>
    <w:rsid w:val="00700D01"/>
    <w:rsid w:val="00716420"/>
    <w:rsid w:val="00756596"/>
    <w:rsid w:val="0076407A"/>
    <w:rsid w:val="00771CCC"/>
    <w:rsid w:val="00782BA5"/>
    <w:rsid w:val="00790369"/>
    <w:rsid w:val="007A0EE5"/>
    <w:rsid w:val="007C2EC5"/>
    <w:rsid w:val="007C336B"/>
    <w:rsid w:val="00822674"/>
    <w:rsid w:val="00884F53"/>
    <w:rsid w:val="008A41E1"/>
    <w:rsid w:val="008C1C49"/>
    <w:rsid w:val="008D5D89"/>
    <w:rsid w:val="008F6A2D"/>
    <w:rsid w:val="00902AAA"/>
    <w:rsid w:val="00904484"/>
    <w:rsid w:val="00920750"/>
    <w:rsid w:val="0096318E"/>
    <w:rsid w:val="009904BB"/>
    <w:rsid w:val="009D04A5"/>
    <w:rsid w:val="00A45317"/>
    <w:rsid w:val="00AB6C93"/>
    <w:rsid w:val="00AE0D42"/>
    <w:rsid w:val="00AE1A61"/>
    <w:rsid w:val="00AE26A3"/>
    <w:rsid w:val="00B0691E"/>
    <w:rsid w:val="00B20DF2"/>
    <w:rsid w:val="00B61856"/>
    <w:rsid w:val="00B81508"/>
    <w:rsid w:val="00B9172E"/>
    <w:rsid w:val="00BB4F15"/>
    <w:rsid w:val="00BB751B"/>
    <w:rsid w:val="00BC3B5A"/>
    <w:rsid w:val="00BE2721"/>
    <w:rsid w:val="00BF08EF"/>
    <w:rsid w:val="00C02ABD"/>
    <w:rsid w:val="00C368B6"/>
    <w:rsid w:val="00C73724"/>
    <w:rsid w:val="00C7442E"/>
    <w:rsid w:val="00C83CC5"/>
    <w:rsid w:val="00C97B81"/>
    <w:rsid w:val="00CC6B14"/>
    <w:rsid w:val="00CE5C62"/>
    <w:rsid w:val="00D02B55"/>
    <w:rsid w:val="00D34958"/>
    <w:rsid w:val="00D443F0"/>
    <w:rsid w:val="00D47113"/>
    <w:rsid w:val="00D57493"/>
    <w:rsid w:val="00D60511"/>
    <w:rsid w:val="00D72F22"/>
    <w:rsid w:val="00D7764F"/>
    <w:rsid w:val="00DA3456"/>
    <w:rsid w:val="00E14A0C"/>
    <w:rsid w:val="00E67CCE"/>
    <w:rsid w:val="00E86675"/>
    <w:rsid w:val="00EB467A"/>
    <w:rsid w:val="00EB4A37"/>
    <w:rsid w:val="00EB55B1"/>
    <w:rsid w:val="00EE4B69"/>
    <w:rsid w:val="00EE4FCC"/>
    <w:rsid w:val="00F0132A"/>
    <w:rsid w:val="00F80135"/>
    <w:rsid w:val="00F80377"/>
    <w:rsid w:val="00F8437D"/>
    <w:rsid w:val="00F863A8"/>
    <w:rsid w:val="00F9251F"/>
    <w:rsid w:val="00F9644C"/>
    <w:rsid w:val="00F9662D"/>
    <w:rsid w:val="00FC7806"/>
    <w:rsid w:val="00FF43C0"/>
    <w:rsid w:val="00FF4BDF"/>
    <w:rsid w:val="011D0E2B"/>
    <w:rsid w:val="01227D26"/>
    <w:rsid w:val="012E7392"/>
    <w:rsid w:val="01325C5D"/>
    <w:rsid w:val="013F77E5"/>
    <w:rsid w:val="015D3F03"/>
    <w:rsid w:val="016A189A"/>
    <w:rsid w:val="018C5534"/>
    <w:rsid w:val="01AA1AC9"/>
    <w:rsid w:val="01C62799"/>
    <w:rsid w:val="01CD5534"/>
    <w:rsid w:val="01DB7369"/>
    <w:rsid w:val="0203441B"/>
    <w:rsid w:val="02072818"/>
    <w:rsid w:val="026223A4"/>
    <w:rsid w:val="027427F8"/>
    <w:rsid w:val="02936ABD"/>
    <w:rsid w:val="02C46BBB"/>
    <w:rsid w:val="02C941D1"/>
    <w:rsid w:val="02E35293"/>
    <w:rsid w:val="02E64F63"/>
    <w:rsid w:val="03052BFA"/>
    <w:rsid w:val="030C40D7"/>
    <w:rsid w:val="03266136"/>
    <w:rsid w:val="03280AEE"/>
    <w:rsid w:val="032D650E"/>
    <w:rsid w:val="03304250"/>
    <w:rsid w:val="0374238F"/>
    <w:rsid w:val="03795BF7"/>
    <w:rsid w:val="03BA488E"/>
    <w:rsid w:val="03E67A42"/>
    <w:rsid w:val="03F60FF6"/>
    <w:rsid w:val="03FE3078"/>
    <w:rsid w:val="03FE4B04"/>
    <w:rsid w:val="04133956"/>
    <w:rsid w:val="043419F2"/>
    <w:rsid w:val="043E7D37"/>
    <w:rsid w:val="044D0BDB"/>
    <w:rsid w:val="0450601A"/>
    <w:rsid w:val="045320E6"/>
    <w:rsid w:val="04640655"/>
    <w:rsid w:val="04935315"/>
    <w:rsid w:val="04A6247C"/>
    <w:rsid w:val="04AC7907"/>
    <w:rsid w:val="04D3305D"/>
    <w:rsid w:val="051438C1"/>
    <w:rsid w:val="051F457C"/>
    <w:rsid w:val="054B55BB"/>
    <w:rsid w:val="056A3A4A"/>
    <w:rsid w:val="05706B86"/>
    <w:rsid w:val="057324D1"/>
    <w:rsid w:val="058D7D45"/>
    <w:rsid w:val="058F32EA"/>
    <w:rsid w:val="05C07B0D"/>
    <w:rsid w:val="05EC0902"/>
    <w:rsid w:val="06387284"/>
    <w:rsid w:val="067A7CBC"/>
    <w:rsid w:val="067B1C86"/>
    <w:rsid w:val="068801A2"/>
    <w:rsid w:val="06C33F26"/>
    <w:rsid w:val="06C743E2"/>
    <w:rsid w:val="06E77E02"/>
    <w:rsid w:val="06FF0744"/>
    <w:rsid w:val="07300CC3"/>
    <w:rsid w:val="07417276"/>
    <w:rsid w:val="074448A8"/>
    <w:rsid w:val="074C55E6"/>
    <w:rsid w:val="075A062D"/>
    <w:rsid w:val="075A6102"/>
    <w:rsid w:val="075C129D"/>
    <w:rsid w:val="077E3F50"/>
    <w:rsid w:val="078537F9"/>
    <w:rsid w:val="07CB67FD"/>
    <w:rsid w:val="08053EFD"/>
    <w:rsid w:val="085B3B1D"/>
    <w:rsid w:val="08710CDA"/>
    <w:rsid w:val="087514BD"/>
    <w:rsid w:val="087E6739"/>
    <w:rsid w:val="088023BD"/>
    <w:rsid w:val="08915791"/>
    <w:rsid w:val="089B6610"/>
    <w:rsid w:val="08A86A50"/>
    <w:rsid w:val="08B535AB"/>
    <w:rsid w:val="08C47915"/>
    <w:rsid w:val="08D15B8E"/>
    <w:rsid w:val="08E91129"/>
    <w:rsid w:val="08E91905"/>
    <w:rsid w:val="091C32AD"/>
    <w:rsid w:val="093563CD"/>
    <w:rsid w:val="0939592C"/>
    <w:rsid w:val="09415C46"/>
    <w:rsid w:val="09460376"/>
    <w:rsid w:val="095567BF"/>
    <w:rsid w:val="095968D8"/>
    <w:rsid w:val="096236D4"/>
    <w:rsid w:val="09694FD8"/>
    <w:rsid w:val="099A2873"/>
    <w:rsid w:val="09E13A61"/>
    <w:rsid w:val="0A0D39EF"/>
    <w:rsid w:val="0A186241"/>
    <w:rsid w:val="0A3007AE"/>
    <w:rsid w:val="0A3208AE"/>
    <w:rsid w:val="0A391C3C"/>
    <w:rsid w:val="0A395EFF"/>
    <w:rsid w:val="0A5A38C7"/>
    <w:rsid w:val="0A5A67DB"/>
    <w:rsid w:val="0A6870B0"/>
    <w:rsid w:val="0A786C09"/>
    <w:rsid w:val="0A8D3D36"/>
    <w:rsid w:val="0AAB4275"/>
    <w:rsid w:val="0B051D43"/>
    <w:rsid w:val="0B0B5014"/>
    <w:rsid w:val="0B3814A4"/>
    <w:rsid w:val="0B432CF3"/>
    <w:rsid w:val="0B505490"/>
    <w:rsid w:val="0B61144B"/>
    <w:rsid w:val="0B9B0AE6"/>
    <w:rsid w:val="0B9D4265"/>
    <w:rsid w:val="0BB0165C"/>
    <w:rsid w:val="0BEC5E1D"/>
    <w:rsid w:val="0C4E500A"/>
    <w:rsid w:val="0CA53A89"/>
    <w:rsid w:val="0CE85549"/>
    <w:rsid w:val="0CF236F8"/>
    <w:rsid w:val="0D674F63"/>
    <w:rsid w:val="0D9C1147"/>
    <w:rsid w:val="0D9D0CBD"/>
    <w:rsid w:val="0DC43F13"/>
    <w:rsid w:val="0DD95C10"/>
    <w:rsid w:val="0DF45AFF"/>
    <w:rsid w:val="0DFA5B87"/>
    <w:rsid w:val="0E0213E6"/>
    <w:rsid w:val="0E0A7582"/>
    <w:rsid w:val="0E1172C8"/>
    <w:rsid w:val="0E19425F"/>
    <w:rsid w:val="0E1F266B"/>
    <w:rsid w:val="0E320988"/>
    <w:rsid w:val="0E462B7A"/>
    <w:rsid w:val="0E4665D9"/>
    <w:rsid w:val="0E476EC2"/>
    <w:rsid w:val="0E4D7441"/>
    <w:rsid w:val="0E587A76"/>
    <w:rsid w:val="0E7E40C2"/>
    <w:rsid w:val="0E81124B"/>
    <w:rsid w:val="0E8F3606"/>
    <w:rsid w:val="0E903CEC"/>
    <w:rsid w:val="0E9F0A24"/>
    <w:rsid w:val="0EA31D7A"/>
    <w:rsid w:val="0EB4347D"/>
    <w:rsid w:val="0EB9159E"/>
    <w:rsid w:val="0ECD102C"/>
    <w:rsid w:val="0ED463D8"/>
    <w:rsid w:val="0EE24651"/>
    <w:rsid w:val="0EE40F64"/>
    <w:rsid w:val="0EF85201"/>
    <w:rsid w:val="0F032819"/>
    <w:rsid w:val="0F15557D"/>
    <w:rsid w:val="0F1C3BC3"/>
    <w:rsid w:val="0F327020"/>
    <w:rsid w:val="0FDD1B84"/>
    <w:rsid w:val="0FEA691C"/>
    <w:rsid w:val="0FFC7994"/>
    <w:rsid w:val="10060813"/>
    <w:rsid w:val="100619CF"/>
    <w:rsid w:val="101A42BE"/>
    <w:rsid w:val="104A3CE3"/>
    <w:rsid w:val="10645539"/>
    <w:rsid w:val="10650D36"/>
    <w:rsid w:val="106B1AD9"/>
    <w:rsid w:val="106F038A"/>
    <w:rsid w:val="10852C3B"/>
    <w:rsid w:val="10C078EB"/>
    <w:rsid w:val="111F32EB"/>
    <w:rsid w:val="11206A38"/>
    <w:rsid w:val="114006A7"/>
    <w:rsid w:val="1142587A"/>
    <w:rsid w:val="11521E94"/>
    <w:rsid w:val="11633E4C"/>
    <w:rsid w:val="11637A4E"/>
    <w:rsid w:val="11AB0715"/>
    <w:rsid w:val="11D555B3"/>
    <w:rsid w:val="11D84D25"/>
    <w:rsid w:val="11E758C7"/>
    <w:rsid w:val="12072ABB"/>
    <w:rsid w:val="12202B2A"/>
    <w:rsid w:val="122E5E1C"/>
    <w:rsid w:val="123863FE"/>
    <w:rsid w:val="124B5771"/>
    <w:rsid w:val="125353CE"/>
    <w:rsid w:val="125A4E46"/>
    <w:rsid w:val="12680676"/>
    <w:rsid w:val="126D4B79"/>
    <w:rsid w:val="128A74D9"/>
    <w:rsid w:val="12A07FC1"/>
    <w:rsid w:val="12BC78AF"/>
    <w:rsid w:val="12FD5F09"/>
    <w:rsid w:val="13017D08"/>
    <w:rsid w:val="132B6604"/>
    <w:rsid w:val="13556C72"/>
    <w:rsid w:val="13566046"/>
    <w:rsid w:val="13570C88"/>
    <w:rsid w:val="136100E1"/>
    <w:rsid w:val="136424EA"/>
    <w:rsid w:val="13B866DA"/>
    <w:rsid w:val="13BE3D26"/>
    <w:rsid w:val="13C06F2A"/>
    <w:rsid w:val="13C653BB"/>
    <w:rsid w:val="13C67017"/>
    <w:rsid w:val="13D36C5E"/>
    <w:rsid w:val="13DC1FB6"/>
    <w:rsid w:val="13E65510"/>
    <w:rsid w:val="1404704F"/>
    <w:rsid w:val="14084528"/>
    <w:rsid w:val="141A7E1F"/>
    <w:rsid w:val="1454412C"/>
    <w:rsid w:val="145D7CC7"/>
    <w:rsid w:val="148B7538"/>
    <w:rsid w:val="148D1BC9"/>
    <w:rsid w:val="14975EDD"/>
    <w:rsid w:val="14996AE3"/>
    <w:rsid w:val="14AC2147"/>
    <w:rsid w:val="14AD5B6B"/>
    <w:rsid w:val="14B86439"/>
    <w:rsid w:val="150967AD"/>
    <w:rsid w:val="151412DC"/>
    <w:rsid w:val="15181AA4"/>
    <w:rsid w:val="15207E98"/>
    <w:rsid w:val="155472A8"/>
    <w:rsid w:val="15942918"/>
    <w:rsid w:val="159A501E"/>
    <w:rsid w:val="15A7732F"/>
    <w:rsid w:val="15A80E50"/>
    <w:rsid w:val="15AC7766"/>
    <w:rsid w:val="15B74CDF"/>
    <w:rsid w:val="15BF393E"/>
    <w:rsid w:val="15D74C61"/>
    <w:rsid w:val="15E94314"/>
    <w:rsid w:val="15F12D2B"/>
    <w:rsid w:val="15FC0ABF"/>
    <w:rsid w:val="16162E74"/>
    <w:rsid w:val="162C735B"/>
    <w:rsid w:val="163253E4"/>
    <w:rsid w:val="163F05DA"/>
    <w:rsid w:val="16443A7F"/>
    <w:rsid w:val="164A4B9D"/>
    <w:rsid w:val="16504438"/>
    <w:rsid w:val="165D5A57"/>
    <w:rsid w:val="166465DC"/>
    <w:rsid w:val="16655280"/>
    <w:rsid w:val="166938A9"/>
    <w:rsid w:val="16726C02"/>
    <w:rsid w:val="16864E15"/>
    <w:rsid w:val="16C15382"/>
    <w:rsid w:val="16D354BC"/>
    <w:rsid w:val="16DD5E52"/>
    <w:rsid w:val="16F2111B"/>
    <w:rsid w:val="16F45869"/>
    <w:rsid w:val="170B2BB3"/>
    <w:rsid w:val="170D2487"/>
    <w:rsid w:val="171C6B6E"/>
    <w:rsid w:val="17231CAA"/>
    <w:rsid w:val="172F1D58"/>
    <w:rsid w:val="17571875"/>
    <w:rsid w:val="175D5E44"/>
    <w:rsid w:val="17603FEB"/>
    <w:rsid w:val="17632BD5"/>
    <w:rsid w:val="1764095F"/>
    <w:rsid w:val="17742506"/>
    <w:rsid w:val="17A03978"/>
    <w:rsid w:val="17C34B7C"/>
    <w:rsid w:val="17F504EA"/>
    <w:rsid w:val="180709A4"/>
    <w:rsid w:val="18100480"/>
    <w:rsid w:val="181635BD"/>
    <w:rsid w:val="182520FF"/>
    <w:rsid w:val="18253055"/>
    <w:rsid w:val="18441ED8"/>
    <w:rsid w:val="18605433"/>
    <w:rsid w:val="18610CDC"/>
    <w:rsid w:val="1864558B"/>
    <w:rsid w:val="188A0F1D"/>
    <w:rsid w:val="188C387F"/>
    <w:rsid w:val="188E75F7"/>
    <w:rsid w:val="18934C0E"/>
    <w:rsid w:val="189D5A8C"/>
    <w:rsid w:val="18A839A0"/>
    <w:rsid w:val="18ED431E"/>
    <w:rsid w:val="18F338FE"/>
    <w:rsid w:val="18F71640"/>
    <w:rsid w:val="19007A24"/>
    <w:rsid w:val="19272A45"/>
    <w:rsid w:val="192E525C"/>
    <w:rsid w:val="193C52A5"/>
    <w:rsid w:val="193D2449"/>
    <w:rsid w:val="193E3B3B"/>
    <w:rsid w:val="19632D1C"/>
    <w:rsid w:val="198479AD"/>
    <w:rsid w:val="19867FF4"/>
    <w:rsid w:val="1991739F"/>
    <w:rsid w:val="19A52E4A"/>
    <w:rsid w:val="19BF7497"/>
    <w:rsid w:val="19C9662C"/>
    <w:rsid w:val="19D46B51"/>
    <w:rsid w:val="1A0511F4"/>
    <w:rsid w:val="1A5B06BB"/>
    <w:rsid w:val="1A887B5F"/>
    <w:rsid w:val="1A913CB1"/>
    <w:rsid w:val="1A973EFB"/>
    <w:rsid w:val="1AAE23E9"/>
    <w:rsid w:val="1AD10964"/>
    <w:rsid w:val="1ADD44C4"/>
    <w:rsid w:val="1AF65FE8"/>
    <w:rsid w:val="1AFD2812"/>
    <w:rsid w:val="1B3657C4"/>
    <w:rsid w:val="1B3721C8"/>
    <w:rsid w:val="1B546912"/>
    <w:rsid w:val="1B653131"/>
    <w:rsid w:val="1B95232D"/>
    <w:rsid w:val="1B9C202B"/>
    <w:rsid w:val="1BF45260"/>
    <w:rsid w:val="1C00080C"/>
    <w:rsid w:val="1C192BA2"/>
    <w:rsid w:val="1C44694B"/>
    <w:rsid w:val="1C5237EF"/>
    <w:rsid w:val="1C531278"/>
    <w:rsid w:val="1C5D7A0C"/>
    <w:rsid w:val="1C744599"/>
    <w:rsid w:val="1CD50095"/>
    <w:rsid w:val="1CF7423E"/>
    <w:rsid w:val="1CFD741C"/>
    <w:rsid w:val="1D392227"/>
    <w:rsid w:val="1D514F58"/>
    <w:rsid w:val="1D552DD9"/>
    <w:rsid w:val="1D721295"/>
    <w:rsid w:val="1D732387"/>
    <w:rsid w:val="1D7B58E0"/>
    <w:rsid w:val="1D7E0451"/>
    <w:rsid w:val="1D927B8A"/>
    <w:rsid w:val="1DB13CD7"/>
    <w:rsid w:val="1DD2442A"/>
    <w:rsid w:val="1DE877AA"/>
    <w:rsid w:val="1E1E5E01"/>
    <w:rsid w:val="1E2459D7"/>
    <w:rsid w:val="1E3A090A"/>
    <w:rsid w:val="1E4934AD"/>
    <w:rsid w:val="1E544BF3"/>
    <w:rsid w:val="1E6F039B"/>
    <w:rsid w:val="1E862986"/>
    <w:rsid w:val="1E8A6763"/>
    <w:rsid w:val="1EAC4C7B"/>
    <w:rsid w:val="1EEA31C1"/>
    <w:rsid w:val="1EEE7042"/>
    <w:rsid w:val="1EEF25F6"/>
    <w:rsid w:val="1F1D16D5"/>
    <w:rsid w:val="1F2111C5"/>
    <w:rsid w:val="1F265082"/>
    <w:rsid w:val="1F3839A6"/>
    <w:rsid w:val="1F3D299A"/>
    <w:rsid w:val="1F45212D"/>
    <w:rsid w:val="1F4A5BA1"/>
    <w:rsid w:val="1FA871F0"/>
    <w:rsid w:val="1FCE7F21"/>
    <w:rsid w:val="1FE02E2E"/>
    <w:rsid w:val="1FE72E30"/>
    <w:rsid w:val="20191E9C"/>
    <w:rsid w:val="201D0DE2"/>
    <w:rsid w:val="20280346"/>
    <w:rsid w:val="203E1903"/>
    <w:rsid w:val="203E7B55"/>
    <w:rsid w:val="20635CA6"/>
    <w:rsid w:val="20645B6B"/>
    <w:rsid w:val="2081004E"/>
    <w:rsid w:val="2084196E"/>
    <w:rsid w:val="2096173F"/>
    <w:rsid w:val="209F0638"/>
    <w:rsid w:val="20C7656C"/>
    <w:rsid w:val="20D671A4"/>
    <w:rsid w:val="21073289"/>
    <w:rsid w:val="210C37AF"/>
    <w:rsid w:val="21294A18"/>
    <w:rsid w:val="215C0944"/>
    <w:rsid w:val="2167282F"/>
    <w:rsid w:val="218B0B78"/>
    <w:rsid w:val="219B78EA"/>
    <w:rsid w:val="21AB746C"/>
    <w:rsid w:val="21B53E47"/>
    <w:rsid w:val="21B84C67"/>
    <w:rsid w:val="21C127EB"/>
    <w:rsid w:val="21FC143A"/>
    <w:rsid w:val="22206CFA"/>
    <w:rsid w:val="222F69F1"/>
    <w:rsid w:val="22352957"/>
    <w:rsid w:val="223E74D8"/>
    <w:rsid w:val="225E1CA0"/>
    <w:rsid w:val="226D549E"/>
    <w:rsid w:val="22965A26"/>
    <w:rsid w:val="22B3272E"/>
    <w:rsid w:val="22E9024C"/>
    <w:rsid w:val="230C3F3A"/>
    <w:rsid w:val="230C6174"/>
    <w:rsid w:val="23270606"/>
    <w:rsid w:val="23405992"/>
    <w:rsid w:val="234731C4"/>
    <w:rsid w:val="234E3F4B"/>
    <w:rsid w:val="236D58E8"/>
    <w:rsid w:val="23722DE0"/>
    <w:rsid w:val="23857832"/>
    <w:rsid w:val="238910E7"/>
    <w:rsid w:val="239D2DE4"/>
    <w:rsid w:val="23DE4ABD"/>
    <w:rsid w:val="23FD0DF6"/>
    <w:rsid w:val="241A2687"/>
    <w:rsid w:val="24286950"/>
    <w:rsid w:val="24342F65"/>
    <w:rsid w:val="243F5C4A"/>
    <w:rsid w:val="245165E7"/>
    <w:rsid w:val="2480698E"/>
    <w:rsid w:val="248903D4"/>
    <w:rsid w:val="248A3369"/>
    <w:rsid w:val="248C70E1"/>
    <w:rsid w:val="24AD6781"/>
    <w:rsid w:val="24B52C0D"/>
    <w:rsid w:val="24DB3BC4"/>
    <w:rsid w:val="24F12465"/>
    <w:rsid w:val="24F57FF0"/>
    <w:rsid w:val="25382DC5"/>
    <w:rsid w:val="253A7BBC"/>
    <w:rsid w:val="255A0693"/>
    <w:rsid w:val="255A0F8D"/>
    <w:rsid w:val="255E0351"/>
    <w:rsid w:val="256E6E3B"/>
    <w:rsid w:val="259D531E"/>
    <w:rsid w:val="25C37372"/>
    <w:rsid w:val="25CE1DB0"/>
    <w:rsid w:val="25D23219"/>
    <w:rsid w:val="25E46D85"/>
    <w:rsid w:val="26213859"/>
    <w:rsid w:val="2686745B"/>
    <w:rsid w:val="26A66F10"/>
    <w:rsid w:val="26A70447"/>
    <w:rsid w:val="26A80CBB"/>
    <w:rsid w:val="26EC030B"/>
    <w:rsid w:val="271D04C4"/>
    <w:rsid w:val="27702CEA"/>
    <w:rsid w:val="279D6398"/>
    <w:rsid w:val="27AF1764"/>
    <w:rsid w:val="27BF4D5C"/>
    <w:rsid w:val="27CB6172"/>
    <w:rsid w:val="27CF3A7B"/>
    <w:rsid w:val="27E05BCB"/>
    <w:rsid w:val="2807039F"/>
    <w:rsid w:val="28091E67"/>
    <w:rsid w:val="281A2C55"/>
    <w:rsid w:val="28862099"/>
    <w:rsid w:val="28913719"/>
    <w:rsid w:val="289522DC"/>
    <w:rsid w:val="28DC4BA3"/>
    <w:rsid w:val="28FB01FA"/>
    <w:rsid w:val="29115734"/>
    <w:rsid w:val="2917355D"/>
    <w:rsid w:val="29464609"/>
    <w:rsid w:val="2953641F"/>
    <w:rsid w:val="2961658A"/>
    <w:rsid w:val="29752323"/>
    <w:rsid w:val="29985E04"/>
    <w:rsid w:val="29C236CA"/>
    <w:rsid w:val="29C94933"/>
    <w:rsid w:val="29CE3CF8"/>
    <w:rsid w:val="29D03297"/>
    <w:rsid w:val="29D35A8C"/>
    <w:rsid w:val="2A372993"/>
    <w:rsid w:val="2A3A4D15"/>
    <w:rsid w:val="2A5331C9"/>
    <w:rsid w:val="2A617821"/>
    <w:rsid w:val="2A6808A2"/>
    <w:rsid w:val="2A692689"/>
    <w:rsid w:val="2A7C3754"/>
    <w:rsid w:val="2AA607D0"/>
    <w:rsid w:val="2AB259AD"/>
    <w:rsid w:val="2ABC3DD5"/>
    <w:rsid w:val="2AC860BC"/>
    <w:rsid w:val="2AD65E9B"/>
    <w:rsid w:val="2B20195C"/>
    <w:rsid w:val="2B3A71B4"/>
    <w:rsid w:val="2BA833F3"/>
    <w:rsid w:val="2BBA09D7"/>
    <w:rsid w:val="2BBD4305"/>
    <w:rsid w:val="2BBF053C"/>
    <w:rsid w:val="2BC93D21"/>
    <w:rsid w:val="2BCD1E61"/>
    <w:rsid w:val="2BD10984"/>
    <w:rsid w:val="2BD24891"/>
    <w:rsid w:val="2BD83CCF"/>
    <w:rsid w:val="2BDF21EC"/>
    <w:rsid w:val="2BF15497"/>
    <w:rsid w:val="2BF96EAC"/>
    <w:rsid w:val="2C041C52"/>
    <w:rsid w:val="2C116371"/>
    <w:rsid w:val="2C832A41"/>
    <w:rsid w:val="2C866317"/>
    <w:rsid w:val="2CD23AFF"/>
    <w:rsid w:val="2CD40916"/>
    <w:rsid w:val="2CDC5A58"/>
    <w:rsid w:val="2CEA2EFC"/>
    <w:rsid w:val="2CF52FCB"/>
    <w:rsid w:val="2D2154E0"/>
    <w:rsid w:val="2D324360"/>
    <w:rsid w:val="2D346B0E"/>
    <w:rsid w:val="2D4D7512"/>
    <w:rsid w:val="2D5C240F"/>
    <w:rsid w:val="2D5C5ABE"/>
    <w:rsid w:val="2D960FD0"/>
    <w:rsid w:val="2DC22980"/>
    <w:rsid w:val="2DD32751"/>
    <w:rsid w:val="2DE975BC"/>
    <w:rsid w:val="2E0055A2"/>
    <w:rsid w:val="2E5073D1"/>
    <w:rsid w:val="2E6B373D"/>
    <w:rsid w:val="2E80280D"/>
    <w:rsid w:val="2E9D1E16"/>
    <w:rsid w:val="2EE825E0"/>
    <w:rsid w:val="2EEB0EA8"/>
    <w:rsid w:val="2EFA10EB"/>
    <w:rsid w:val="2F132413"/>
    <w:rsid w:val="2F1E302B"/>
    <w:rsid w:val="2F34284F"/>
    <w:rsid w:val="2F561E23"/>
    <w:rsid w:val="2F89438B"/>
    <w:rsid w:val="2F8D1F5F"/>
    <w:rsid w:val="2F9E00D1"/>
    <w:rsid w:val="2FB41BE1"/>
    <w:rsid w:val="2FC7476F"/>
    <w:rsid w:val="2FD65A8A"/>
    <w:rsid w:val="2FE36023"/>
    <w:rsid w:val="30073ABF"/>
    <w:rsid w:val="300D4D09"/>
    <w:rsid w:val="300D4E4E"/>
    <w:rsid w:val="30227AED"/>
    <w:rsid w:val="30333A3B"/>
    <w:rsid w:val="304E5B92"/>
    <w:rsid w:val="3061485C"/>
    <w:rsid w:val="306C7DC6"/>
    <w:rsid w:val="309317F7"/>
    <w:rsid w:val="30A35E12"/>
    <w:rsid w:val="30A4659E"/>
    <w:rsid w:val="30B11C7D"/>
    <w:rsid w:val="30C23E8A"/>
    <w:rsid w:val="30D069C3"/>
    <w:rsid w:val="30FD3114"/>
    <w:rsid w:val="31064313"/>
    <w:rsid w:val="312D6C6A"/>
    <w:rsid w:val="314239BA"/>
    <w:rsid w:val="315076E8"/>
    <w:rsid w:val="316D2EE9"/>
    <w:rsid w:val="31BC1356"/>
    <w:rsid w:val="31C06907"/>
    <w:rsid w:val="31EC5663"/>
    <w:rsid w:val="31F26756"/>
    <w:rsid w:val="31F340BE"/>
    <w:rsid w:val="31F7433A"/>
    <w:rsid w:val="32236BAB"/>
    <w:rsid w:val="322D52BF"/>
    <w:rsid w:val="32317BC9"/>
    <w:rsid w:val="325552FD"/>
    <w:rsid w:val="326F4CBC"/>
    <w:rsid w:val="327D450D"/>
    <w:rsid w:val="328E6425"/>
    <w:rsid w:val="32A777DC"/>
    <w:rsid w:val="32B1229C"/>
    <w:rsid w:val="32B8441A"/>
    <w:rsid w:val="32B9726C"/>
    <w:rsid w:val="32E53E60"/>
    <w:rsid w:val="330063E4"/>
    <w:rsid w:val="3308106F"/>
    <w:rsid w:val="330A1F8E"/>
    <w:rsid w:val="3319179D"/>
    <w:rsid w:val="33246890"/>
    <w:rsid w:val="33267647"/>
    <w:rsid w:val="33695B92"/>
    <w:rsid w:val="337A6C9E"/>
    <w:rsid w:val="338213DC"/>
    <w:rsid w:val="33953AD8"/>
    <w:rsid w:val="33B96A0C"/>
    <w:rsid w:val="341B3FDD"/>
    <w:rsid w:val="342F5CDB"/>
    <w:rsid w:val="3431735D"/>
    <w:rsid w:val="343D03F7"/>
    <w:rsid w:val="34473024"/>
    <w:rsid w:val="34512C92"/>
    <w:rsid w:val="345A7984"/>
    <w:rsid w:val="349F6F6B"/>
    <w:rsid w:val="34C208FD"/>
    <w:rsid w:val="34C77BA1"/>
    <w:rsid w:val="34FD7B87"/>
    <w:rsid w:val="350334B7"/>
    <w:rsid w:val="350D09A5"/>
    <w:rsid w:val="3522139B"/>
    <w:rsid w:val="35262C3A"/>
    <w:rsid w:val="35414FEB"/>
    <w:rsid w:val="3555680F"/>
    <w:rsid w:val="356B2E70"/>
    <w:rsid w:val="359C2EFC"/>
    <w:rsid w:val="36016953"/>
    <w:rsid w:val="362A758D"/>
    <w:rsid w:val="362D4D69"/>
    <w:rsid w:val="362F548C"/>
    <w:rsid w:val="366F13BA"/>
    <w:rsid w:val="36723E76"/>
    <w:rsid w:val="367D1792"/>
    <w:rsid w:val="369022F3"/>
    <w:rsid w:val="36C00E6C"/>
    <w:rsid w:val="36C3283B"/>
    <w:rsid w:val="36CE01E2"/>
    <w:rsid w:val="36D84407"/>
    <w:rsid w:val="370C6123"/>
    <w:rsid w:val="371A4A20"/>
    <w:rsid w:val="37217B5C"/>
    <w:rsid w:val="3723101A"/>
    <w:rsid w:val="373F4D58"/>
    <w:rsid w:val="377250FA"/>
    <w:rsid w:val="378B147A"/>
    <w:rsid w:val="37B26A07"/>
    <w:rsid w:val="37D03331"/>
    <w:rsid w:val="37FA04A9"/>
    <w:rsid w:val="38084878"/>
    <w:rsid w:val="380C35A1"/>
    <w:rsid w:val="381A7C09"/>
    <w:rsid w:val="384358B1"/>
    <w:rsid w:val="38585F45"/>
    <w:rsid w:val="385B0444"/>
    <w:rsid w:val="386110CA"/>
    <w:rsid w:val="38741F0E"/>
    <w:rsid w:val="388D1222"/>
    <w:rsid w:val="38A418A1"/>
    <w:rsid w:val="38AC2B4D"/>
    <w:rsid w:val="38C42E95"/>
    <w:rsid w:val="38DC5BC5"/>
    <w:rsid w:val="38E10A82"/>
    <w:rsid w:val="38FD1F03"/>
    <w:rsid w:val="391159AF"/>
    <w:rsid w:val="39394757"/>
    <w:rsid w:val="39402561"/>
    <w:rsid w:val="3952467F"/>
    <w:rsid w:val="39592C39"/>
    <w:rsid w:val="395B4E7C"/>
    <w:rsid w:val="3961128B"/>
    <w:rsid w:val="397E2E78"/>
    <w:rsid w:val="398D7749"/>
    <w:rsid w:val="3994483C"/>
    <w:rsid w:val="399A7CBE"/>
    <w:rsid w:val="39A42825"/>
    <w:rsid w:val="39B21EB5"/>
    <w:rsid w:val="39D70B11"/>
    <w:rsid w:val="3A1411D4"/>
    <w:rsid w:val="3A274697"/>
    <w:rsid w:val="3A296D28"/>
    <w:rsid w:val="3A304D32"/>
    <w:rsid w:val="3A3A4B80"/>
    <w:rsid w:val="3A4122C4"/>
    <w:rsid w:val="3A433D46"/>
    <w:rsid w:val="3A4B3142"/>
    <w:rsid w:val="3A6E4392"/>
    <w:rsid w:val="3A847DA5"/>
    <w:rsid w:val="3AAA1A3B"/>
    <w:rsid w:val="3AB17449"/>
    <w:rsid w:val="3AC52EF5"/>
    <w:rsid w:val="3AC86541"/>
    <w:rsid w:val="3ACC4B0A"/>
    <w:rsid w:val="3AF7503B"/>
    <w:rsid w:val="3AFD61EB"/>
    <w:rsid w:val="3B1A5B48"/>
    <w:rsid w:val="3B1E7233"/>
    <w:rsid w:val="3B2220F5"/>
    <w:rsid w:val="3B2714BA"/>
    <w:rsid w:val="3B4A2CBE"/>
    <w:rsid w:val="3B6A4987"/>
    <w:rsid w:val="3B842468"/>
    <w:rsid w:val="3BA52564"/>
    <w:rsid w:val="3BAA1068"/>
    <w:rsid w:val="3BC35686"/>
    <w:rsid w:val="3BF17324"/>
    <w:rsid w:val="3C0B2B89"/>
    <w:rsid w:val="3C372FB5"/>
    <w:rsid w:val="3C3E2F5F"/>
    <w:rsid w:val="3C681D8A"/>
    <w:rsid w:val="3C7A53F7"/>
    <w:rsid w:val="3C8A61A4"/>
    <w:rsid w:val="3CBE3D94"/>
    <w:rsid w:val="3CCE631F"/>
    <w:rsid w:val="3D17730C"/>
    <w:rsid w:val="3D256D6E"/>
    <w:rsid w:val="3D3267C4"/>
    <w:rsid w:val="3D344362"/>
    <w:rsid w:val="3D621B62"/>
    <w:rsid w:val="3D663649"/>
    <w:rsid w:val="3D98044D"/>
    <w:rsid w:val="3DB50FFF"/>
    <w:rsid w:val="3DBD54FC"/>
    <w:rsid w:val="3DC254CA"/>
    <w:rsid w:val="3DCA3DBC"/>
    <w:rsid w:val="3DDB453D"/>
    <w:rsid w:val="3E0F1060"/>
    <w:rsid w:val="3E506F79"/>
    <w:rsid w:val="3E5A4E9A"/>
    <w:rsid w:val="3E6C1410"/>
    <w:rsid w:val="3E6C6D24"/>
    <w:rsid w:val="3E8804C1"/>
    <w:rsid w:val="3E8F1850"/>
    <w:rsid w:val="3E906080"/>
    <w:rsid w:val="3EA76514"/>
    <w:rsid w:val="3EA836B6"/>
    <w:rsid w:val="3EE14075"/>
    <w:rsid w:val="3EE32F44"/>
    <w:rsid w:val="3EFE0783"/>
    <w:rsid w:val="3F0A75E5"/>
    <w:rsid w:val="3F4C0949"/>
    <w:rsid w:val="3F752ACF"/>
    <w:rsid w:val="3F7722E4"/>
    <w:rsid w:val="3F8D7CA5"/>
    <w:rsid w:val="3FB3156E"/>
    <w:rsid w:val="3FC714BD"/>
    <w:rsid w:val="3FCB7E3B"/>
    <w:rsid w:val="3FD31C10"/>
    <w:rsid w:val="3FDB2873"/>
    <w:rsid w:val="3FDB6D16"/>
    <w:rsid w:val="40210BCD"/>
    <w:rsid w:val="40237C35"/>
    <w:rsid w:val="402D759A"/>
    <w:rsid w:val="4037624E"/>
    <w:rsid w:val="404448BC"/>
    <w:rsid w:val="40502CE2"/>
    <w:rsid w:val="40833636"/>
    <w:rsid w:val="40903E82"/>
    <w:rsid w:val="40C7329D"/>
    <w:rsid w:val="40EB2F89"/>
    <w:rsid w:val="41230EF6"/>
    <w:rsid w:val="41354052"/>
    <w:rsid w:val="4148218A"/>
    <w:rsid w:val="41630DD2"/>
    <w:rsid w:val="41717932"/>
    <w:rsid w:val="417B17C8"/>
    <w:rsid w:val="4185679F"/>
    <w:rsid w:val="418725EA"/>
    <w:rsid w:val="41912A34"/>
    <w:rsid w:val="41A93740"/>
    <w:rsid w:val="41F6142A"/>
    <w:rsid w:val="425012F6"/>
    <w:rsid w:val="42660B19"/>
    <w:rsid w:val="42892A5A"/>
    <w:rsid w:val="428D6663"/>
    <w:rsid w:val="42B37D55"/>
    <w:rsid w:val="42C67AC2"/>
    <w:rsid w:val="42DA1507"/>
    <w:rsid w:val="436F1C50"/>
    <w:rsid w:val="436F39FE"/>
    <w:rsid w:val="43913A9F"/>
    <w:rsid w:val="43AE4011"/>
    <w:rsid w:val="43B104BA"/>
    <w:rsid w:val="43F411F3"/>
    <w:rsid w:val="440158FD"/>
    <w:rsid w:val="44037317"/>
    <w:rsid w:val="441C2A04"/>
    <w:rsid w:val="442540DC"/>
    <w:rsid w:val="44326EAD"/>
    <w:rsid w:val="448444FA"/>
    <w:rsid w:val="44B26298"/>
    <w:rsid w:val="44BA6CBC"/>
    <w:rsid w:val="44C13AE3"/>
    <w:rsid w:val="44C55CAC"/>
    <w:rsid w:val="44CF24CB"/>
    <w:rsid w:val="44DC50C3"/>
    <w:rsid w:val="44E23DC6"/>
    <w:rsid w:val="44E34064"/>
    <w:rsid w:val="44F708AA"/>
    <w:rsid w:val="44FA7582"/>
    <w:rsid w:val="451773C0"/>
    <w:rsid w:val="4556165E"/>
    <w:rsid w:val="457D5D93"/>
    <w:rsid w:val="457E3893"/>
    <w:rsid w:val="4587492C"/>
    <w:rsid w:val="459A2D5F"/>
    <w:rsid w:val="45A27A47"/>
    <w:rsid w:val="45AB2E8E"/>
    <w:rsid w:val="45D264C6"/>
    <w:rsid w:val="45D71D2E"/>
    <w:rsid w:val="45E83F3B"/>
    <w:rsid w:val="46292D4F"/>
    <w:rsid w:val="4632030E"/>
    <w:rsid w:val="46385A98"/>
    <w:rsid w:val="46454EEA"/>
    <w:rsid w:val="464A0752"/>
    <w:rsid w:val="4680159C"/>
    <w:rsid w:val="468D0D0B"/>
    <w:rsid w:val="469C5A0B"/>
    <w:rsid w:val="46A200C8"/>
    <w:rsid w:val="46AB0386"/>
    <w:rsid w:val="46B67B95"/>
    <w:rsid w:val="46BA1434"/>
    <w:rsid w:val="46E2098A"/>
    <w:rsid w:val="4737794F"/>
    <w:rsid w:val="473C107A"/>
    <w:rsid w:val="474451A1"/>
    <w:rsid w:val="478B2DD0"/>
    <w:rsid w:val="479A37C5"/>
    <w:rsid w:val="47A83982"/>
    <w:rsid w:val="47CF782B"/>
    <w:rsid w:val="47E80BC9"/>
    <w:rsid w:val="47F3074F"/>
    <w:rsid w:val="47F40975"/>
    <w:rsid w:val="48051924"/>
    <w:rsid w:val="480706A9"/>
    <w:rsid w:val="481F6AA4"/>
    <w:rsid w:val="48235940"/>
    <w:rsid w:val="48343468"/>
    <w:rsid w:val="483960F8"/>
    <w:rsid w:val="483A25D9"/>
    <w:rsid w:val="483B65A4"/>
    <w:rsid w:val="484C255F"/>
    <w:rsid w:val="48504572"/>
    <w:rsid w:val="48574D5E"/>
    <w:rsid w:val="485A4609"/>
    <w:rsid w:val="48BF0F83"/>
    <w:rsid w:val="48C90606"/>
    <w:rsid w:val="48EA5CD2"/>
    <w:rsid w:val="48FD1AAC"/>
    <w:rsid w:val="490B41C9"/>
    <w:rsid w:val="49126F48"/>
    <w:rsid w:val="49470B63"/>
    <w:rsid w:val="495F3BEB"/>
    <w:rsid w:val="496200DC"/>
    <w:rsid w:val="496E4757"/>
    <w:rsid w:val="49796A30"/>
    <w:rsid w:val="49862820"/>
    <w:rsid w:val="49B45159"/>
    <w:rsid w:val="49C9082F"/>
    <w:rsid w:val="49F71ACC"/>
    <w:rsid w:val="4A1113A5"/>
    <w:rsid w:val="4A1946C3"/>
    <w:rsid w:val="4A34774F"/>
    <w:rsid w:val="4A36378E"/>
    <w:rsid w:val="4A4649E7"/>
    <w:rsid w:val="4A496D87"/>
    <w:rsid w:val="4A5146CC"/>
    <w:rsid w:val="4A53158B"/>
    <w:rsid w:val="4A9B2FEE"/>
    <w:rsid w:val="4AAF5028"/>
    <w:rsid w:val="4AEB6050"/>
    <w:rsid w:val="4AED5E23"/>
    <w:rsid w:val="4B044A43"/>
    <w:rsid w:val="4B06733D"/>
    <w:rsid w:val="4B282333"/>
    <w:rsid w:val="4B490FD8"/>
    <w:rsid w:val="4B4E5276"/>
    <w:rsid w:val="4B6E6C91"/>
    <w:rsid w:val="4BFA0524"/>
    <w:rsid w:val="4C061134"/>
    <w:rsid w:val="4C20728C"/>
    <w:rsid w:val="4C231681"/>
    <w:rsid w:val="4C3E24B6"/>
    <w:rsid w:val="4C3E475F"/>
    <w:rsid w:val="4C60482B"/>
    <w:rsid w:val="4C9646F1"/>
    <w:rsid w:val="4CAE1A3B"/>
    <w:rsid w:val="4CBC20C1"/>
    <w:rsid w:val="4CC0176E"/>
    <w:rsid w:val="4D1A2C2C"/>
    <w:rsid w:val="4D203FBB"/>
    <w:rsid w:val="4D394F80"/>
    <w:rsid w:val="4D4203D5"/>
    <w:rsid w:val="4D455D2A"/>
    <w:rsid w:val="4D7C0892"/>
    <w:rsid w:val="4D9549A9"/>
    <w:rsid w:val="4DB12222"/>
    <w:rsid w:val="4DBE3EFF"/>
    <w:rsid w:val="4DCA708B"/>
    <w:rsid w:val="4DD21030"/>
    <w:rsid w:val="4DD728CB"/>
    <w:rsid w:val="4DE374C2"/>
    <w:rsid w:val="4DF3347D"/>
    <w:rsid w:val="4DF347B2"/>
    <w:rsid w:val="4E064079"/>
    <w:rsid w:val="4E2318A0"/>
    <w:rsid w:val="4E3A4FA8"/>
    <w:rsid w:val="4E41243B"/>
    <w:rsid w:val="4E46007D"/>
    <w:rsid w:val="4E5956D7"/>
    <w:rsid w:val="4E7F4415"/>
    <w:rsid w:val="4E8F386A"/>
    <w:rsid w:val="4E9904C8"/>
    <w:rsid w:val="4E9C33FD"/>
    <w:rsid w:val="4F041DA9"/>
    <w:rsid w:val="4F1420D5"/>
    <w:rsid w:val="4F252DAB"/>
    <w:rsid w:val="4F556EBE"/>
    <w:rsid w:val="4F675ED1"/>
    <w:rsid w:val="4F824AB9"/>
    <w:rsid w:val="4F9A7250"/>
    <w:rsid w:val="4FAB2261"/>
    <w:rsid w:val="4FD70D1B"/>
    <w:rsid w:val="4FE17451"/>
    <w:rsid w:val="4FF05EC6"/>
    <w:rsid w:val="4FF82FCD"/>
    <w:rsid w:val="50306C0B"/>
    <w:rsid w:val="50461F8A"/>
    <w:rsid w:val="50552AC9"/>
    <w:rsid w:val="50B45146"/>
    <w:rsid w:val="50DA6E4B"/>
    <w:rsid w:val="50DD469C"/>
    <w:rsid w:val="51183B63"/>
    <w:rsid w:val="51452242"/>
    <w:rsid w:val="516B68A8"/>
    <w:rsid w:val="517E1107"/>
    <w:rsid w:val="518620EC"/>
    <w:rsid w:val="51AB6549"/>
    <w:rsid w:val="51B3364F"/>
    <w:rsid w:val="51C4037D"/>
    <w:rsid w:val="51D91D5F"/>
    <w:rsid w:val="51ED58F1"/>
    <w:rsid w:val="51EF4DEB"/>
    <w:rsid w:val="51F43D2D"/>
    <w:rsid w:val="520A6248"/>
    <w:rsid w:val="521679FC"/>
    <w:rsid w:val="524349D3"/>
    <w:rsid w:val="525D2C3E"/>
    <w:rsid w:val="52611934"/>
    <w:rsid w:val="52636E23"/>
    <w:rsid w:val="52737A76"/>
    <w:rsid w:val="52754DA9"/>
    <w:rsid w:val="527F1098"/>
    <w:rsid w:val="52854FEC"/>
    <w:rsid w:val="52A42F98"/>
    <w:rsid w:val="52D735DC"/>
    <w:rsid w:val="52D94C18"/>
    <w:rsid w:val="52E303F3"/>
    <w:rsid w:val="53191A28"/>
    <w:rsid w:val="538F0A7D"/>
    <w:rsid w:val="539114CC"/>
    <w:rsid w:val="53AC5E67"/>
    <w:rsid w:val="53D31D87"/>
    <w:rsid w:val="53DB13CB"/>
    <w:rsid w:val="53E762EC"/>
    <w:rsid w:val="53EB2290"/>
    <w:rsid w:val="543C792C"/>
    <w:rsid w:val="546D3F89"/>
    <w:rsid w:val="546E299B"/>
    <w:rsid w:val="54816505"/>
    <w:rsid w:val="54962859"/>
    <w:rsid w:val="54BF230B"/>
    <w:rsid w:val="54F04DBD"/>
    <w:rsid w:val="550A17D8"/>
    <w:rsid w:val="553A66DD"/>
    <w:rsid w:val="554177EE"/>
    <w:rsid w:val="554C67B5"/>
    <w:rsid w:val="557152BE"/>
    <w:rsid w:val="559D089E"/>
    <w:rsid w:val="55A8594B"/>
    <w:rsid w:val="55B17EA6"/>
    <w:rsid w:val="55D46802"/>
    <w:rsid w:val="55F67FAE"/>
    <w:rsid w:val="55FA184D"/>
    <w:rsid w:val="55FA608D"/>
    <w:rsid w:val="560721BC"/>
    <w:rsid w:val="561C4F57"/>
    <w:rsid w:val="561F5757"/>
    <w:rsid w:val="562C47CA"/>
    <w:rsid w:val="563F3703"/>
    <w:rsid w:val="5667370B"/>
    <w:rsid w:val="56736F24"/>
    <w:rsid w:val="567D0A67"/>
    <w:rsid w:val="56CC33FA"/>
    <w:rsid w:val="56F60925"/>
    <w:rsid w:val="56FC15F5"/>
    <w:rsid w:val="57032983"/>
    <w:rsid w:val="5713792B"/>
    <w:rsid w:val="571937AE"/>
    <w:rsid w:val="572E59CD"/>
    <w:rsid w:val="57364B06"/>
    <w:rsid w:val="575A5F4F"/>
    <w:rsid w:val="57640815"/>
    <w:rsid w:val="5768338C"/>
    <w:rsid w:val="5779694F"/>
    <w:rsid w:val="57940A5C"/>
    <w:rsid w:val="57A337F7"/>
    <w:rsid w:val="57A8519B"/>
    <w:rsid w:val="57BC2B32"/>
    <w:rsid w:val="57BF2D4E"/>
    <w:rsid w:val="57D04CCF"/>
    <w:rsid w:val="57DA1F20"/>
    <w:rsid w:val="57FB41B8"/>
    <w:rsid w:val="582B7086"/>
    <w:rsid w:val="58322DBB"/>
    <w:rsid w:val="58480E2A"/>
    <w:rsid w:val="5870229A"/>
    <w:rsid w:val="587105BD"/>
    <w:rsid w:val="588441A5"/>
    <w:rsid w:val="588E44CE"/>
    <w:rsid w:val="58920462"/>
    <w:rsid w:val="58B66751"/>
    <w:rsid w:val="58C37A47"/>
    <w:rsid w:val="58CB5722"/>
    <w:rsid w:val="59170968"/>
    <w:rsid w:val="59197310"/>
    <w:rsid w:val="59211311"/>
    <w:rsid w:val="594F47B1"/>
    <w:rsid w:val="5966544B"/>
    <w:rsid w:val="59AC684D"/>
    <w:rsid w:val="59BE0DE3"/>
    <w:rsid w:val="59CC1D30"/>
    <w:rsid w:val="5A08368E"/>
    <w:rsid w:val="5A091B79"/>
    <w:rsid w:val="5A0E58C7"/>
    <w:rsid w:val="5A5D684E"/>
    <w:rsid w:val="5A6148B7"/>
    <w:rsid w:val="5A855E22"/>
    <w:rsid w:val="5A9B67CB"/>
    <w:rsid w:val="5ABB5B05"/>
    <w:rsid w:val="5AE90947"/>
    <w:rsid w:val="5AED1980"/>
    <w:rsid w:val="5AF2343A"/>
    <w:rsid w:val="5AF5136E"/>
    <w:rsid w:val="5B013F5E"/>
    <w:rsid w:val="5B24584B"/>
    <w:rsid w:val="5B27186E"/>
    <w:rsid w:val="5B4D68C3"/>
    <w:rsid w:val="5B6D0D13"/>
    <w:rsid w:val="5B7F093D"/>
    <w:rsid w:val="5B811178"/>
    <w:rsid w:val="5B884CFD"/>
    <w:rsid w:val="5B8D6CBF"/>
    <w:rsid w:val="5BA5225B"/>
    <w:rsid w:val="5BA705D4"/>
    <w:rsid w:val="5BAC183B"/>
    <w:rsid w:val="5BD657ED"/>
    <w:rsid w:val="5C090A3C"/>
    <w:rsid w:val="5C1C7F5E"/>
    <w:rsid w:val="5C3D4C9A"/>
    <w:rsid w:val="5C533CEE"/>
    <w:rsid w:val="5C642116"/>
    <w:rsid w:val="5C870746"/>
    <w:rsid w:val="5CB63FF4"/>
    <w:rsid w:val="5CC60F58"/>
    <w:rsid w:val="5CE974AF"/>
    <w:rsid w:val="5D043CE1"/>
    <w:rsid w:val="5D122B55"/>
    <w:rsid w:val="5D3D3BDE"/>
    <w:rsid w:val="5D47271F"/>
    <w:rsid w:val="5D8442B7"/>
    <w:rsid w:val="5D857C77"/>
    <w:rsid w:val="5DB82D9A"/>
    <w:rsid w:val="5DE74DAC"/>
    <w:rsid w:val="5E0A73A7"/>
    <w:rsid w:val="5E2674EF"/>
    <w:rsid w:val="5E50453B"/>
    <w:rsid w:val="5E6160E7"/>
    <w:rsid w:val="5E626DA6"/>
    <w:rsid w:val="5E821335"/>
    <w:rsid w:val="5E9C0936"/>
    <w:rsid w:val="5EA92062"/>
    <w:rsid w:val="5EBB3B43"/>
    <w:rsid w:val="5EC450EE"/>
    <w:rsid w:val="5ED6630A"/>
    <w:rsid w:val="5EF75BFE"/>
    <w:rsid w:val="5F006597"/>
    <w:rsid w:val="5F5244A8"/>
    <w:rsid w:val="5F5E109E"/>
    <w:rsid w:val="5F83683B"/>
    <w:rsid w:val="5FBD42B1"/>
    <w:rsid w:val="5FC03C79"/>
    <w:rsid w:val="5FD52358"/>
    <w:rsid w:val="5FE17121"/>
    <w:rsid w:val="5FFB68ED"/>
    <w:rsid w:val="600E229A"/>
    <w:rsid w:val="602B5122"/>
    <w:rsid w:val="60373879"/>
    <w:rsid w:val="605268E6"/>
    <w:rsid w:val="60714178"/>
    <w:rsid w:val="608C1C2D"/>
    <w:rsid w:val="60A21A75"/>
    <w:rsid w:val="61027AF3"/>
    <w:rsid w:val="6110284C"/>
    <w:rsid w:val="61113EEE"/>
    <w:rsid w:val="611B0A42"/>
    <w:rsid w:val="61256B12"/>
    <w:rsid w:val="613320B7"/>
    <w:rsid w:val="61424BE3"/>
    <w:rsid w:val="615A6E6C"/>
    <w:rsid w:val="61B8204D"/>
    <w:rsid w:val="61BF7310"/>
    <w:rsid w:val="61CB2131"/>
    <w:rsid w:val="61ED2D92"/>
    <w:rsid w:val="61F97494"/>
    <w:rsid w:val="620A1292"/>
    <w:rsid w:val="623941ED"/>
    <w:rsid w:val="623954AB"/>
    <w:rsid w:val="62492416"/>
    <w:rsid w:val="627F7C71"/>
    <w:rsid w:val="62952C6F"/>
    <w:rsid w:val="62A8211B"/>
    <w:rsid w:val="62AE1CFD"/>
    <w:rsid w:val="62C13087"/>
    <w:rsid w:val="630D2D25"/>
    <w:rsid w:val="6315416A"/>
    <w:rsid w:val="63235F4B"/>
    <w:rsid w:val="632C5010"/>
    <w:rsid w:val="632D5948"/>
    <w:rsid w:val="632F28E7"/>
    <w:rsid w:val="636E06A6"/>
    <w:rsid w:val="637F15E3"/>
    <w:rsid w:val="638D1F52"/>
    <w:rsid w:val="63B219B9"/>
    <w:rsid w:val="63B868A3"/>
    <w:rsid w:val="63D57455"/>
    <w:rsid w:val="63D72267"/>
    <w:rsid w:val="63DD6201"/>
    <w:rsid w:val="63E8362C"/>
    <w:rsid w:val="645F02E8"/>
    <w:rsid w:val="6486616E"/>
    <w:rsid w:val="6497295D"/>
    <w:rsid w:val="64977B0E"/>
    <w:rsid w:val="64AD2B6E"/>
    <w:rsid w:val="64C574CA"/>
    <w:rsid w:val="64CD45D0"/>
    <w:rsid w:val="64EC0EFA"/>
    <w:rsid w:val="64FC1DBA"/>
    <w:rsid w:val="65000502"/>
    <w:rsid w:val="65064640"/>
    <w:rsid w:val="655B398A"/>
    <w:rsid w:val="65AB2B63"/>
    <w:rsid w:val="65E3354B"/>
    <w:rsid w:val="65F17468"/>
    <w:rsid w:val="65F22B10"/>
    <w:rsid w:val="660D737A"/>
    <w:rsid w:val="662C281B"/>
    <w:rsid w:val="664B7760"/>
    <w:rsid w:val="664F5C5B"/>
    <w:rsid w:val="66564FF1"/>
    <w:rsid w:val="665E40FC"/>
    <w:rsid w:val="66AD6467"/>
    <w:rsid w:val="66B50A84"/>
    <w:rsid w:val="66B72E2C"/>
    <w:rsid w:val="66B93A71"/>
    <w:rsid w:val="66C33EDD"/>
    <w:rsid w:val="66EE2624"/>
    <w:rsid w:val="66F03E5F"/>
    <w:rsid w:val="67193AFD"/>
    <w:rsid w:val="672142A6"/>
    <w:rsid w:val="67483F65"/>
    <w:rsid w:val="674F716C"/>
    <w:rsid w:val="677B47B7"/>
    <w:rsid w:val="67840C08"/>
    <w:rsid w:val="67CB4268"/>
    <w:rsid w:val="67E307DC"/>
    <w:rsid w:val="68093B71"/>
    <w:rsid w:val="68210EC1"/>
    <w:rsid w:val="68607198"/>
    <w:rsid w:val="68626822"/>
    <w:rsid w:val="68665D70"/>
    <w:rsid w:val="68815C80"/>
    <w:rsid w:val="688D02FE"/>
    <w:rsid w:val="68B0223F"/>
    <w:rsid w:val="68C92162"/>
    <w:rsid w:val="68D52B30"/>
    <w:rsid w:val="68FB6C36"/>
    <w:rsid w:val="69252C4E"/>
    <w:rsid w:val="69330553"/>
    <w:rsid w:val="69613DB2"/>
    <w:rsid w:val="696561E3"/>
    <w:rsid w:val="69843709"/>
    <w:rsid w:val="69B0795A"/>
    <w:rsid w:val="6A2B7DCF"/>
    <w:rsid w:val="6A3900F4"/>
    <w:rsid w:val="6A627569"/>
    <w:rsid w:val="6A694D9B"/>
    <w:rsid w:val="6A6D3C3C"/>
    <w:rsid w:val="6A877744"/>
    <w:rsid w:val="6A8C6101"/>
    <w:rsid w:val="6ACE66E6"/>
    <w:rsid w:val="6AE61F48"/>
    <w:rsid w:val="6AEA1A38"/>
    <w:rsid w:val="6AF44665"/>
    <w:rsid w:val="6B374A03"/>
    <w:rsid w:val="6B382957"/>
    <w:rsid w:val="6B3E6008"/>
    <w:rsid w:val="6B6716A4"/>
    <w:rsid w:val="6B6A1373"/>
    <w:rsid w:val="6B9E1F1F"/>
    <w:rsid w:val="6BAD5364"/>
    <w:rsid w:val="6BB777FD"/>
    <w:rsid w:val="6BC24763"/>
    <w:rsid w:val="6BFC571C"/>
    <w:rsid w:val="6C0B7952"/>
    <w:rsid w:val="6C0C3355"/>
    <w:rsid w:val="6C2E7A9F"/>
    <w:rsid w:val="6C4C227F"/>
    <w:rsid w:val="6C982956"/>
    <w:rsid w:val="6CA2084A"/>
    <w:rsid w:val="6CA344BF"/>
    <w:rsid w:val="6CA60FBD"/>
    <w:rsid w:val="6CAD71C1"/>
    <w:rsid w:val="6CAE1D6D"/>
    <w:rsid w:val="6CB87914"/>
    <w:rsid w:val="6CC4450B"/>
    <w:rsid w:val="6CD2735B"/>
    <w:rsid w:val="6CD8230B"/>
    <w:rsid w:val="6CE04DB0"/>
    <w:rsid w:val="6CE900F4"/>
    <w:rsid w:val="6D3978A6"/>
    <w:rsid w:val="6D4D4AD4"/>
    <w:rsid w:val="6D666074"/>
    <w:rsid w:val="6D835527"/>
    <w:rsid w:val="6D8819DC"/>
    <w:rsid w:val="6DA00AD4"/>
    <w:rsid w:val="6DA17FC1"/>
    <w:rsid w:val="6DAA26BB"/>
    <w:rsid w:val="6DBC2271"/>
    <w:rsid w:val="6DD26B90"/>
    <w:rsid w:val="6DE22E9A"/>
    <w:rsid w:val="6DE6538C"/>
    <w:rsid w:val="6DF2413B"/>
    <w:rsid w:val="6DF93CE2"/>
    <w:rsid w:val="6E070B53"/>
    <w:rsid w:val="6E2F165A"/>
    <w:rsid w:val="6E3E65A2"/>
    <w:rsid w:val="6E472A6E"/>
    <w:rsid w:val="6E476192"/>
    <w:rsid w:val="6E535B46"/>
    <w:rsid w:val="6E5377AC"/>
    <w:rsid w:val="6E557B10"/>
    <w:rsid w:val="6E867CCA"/>
    <w:rsid w:val="6E8C5638"/>
    <w:rsid w:val="6E963C85"/>
    <w:rsid w:val="6EE844E0"/>
    <w:rsid w:val="6F202742"/>
    <w:rsid w:val="6F4002B0"/>
    <w:rsid w:val="6F405AA0"/>
    <w:rsid w:val="6F4831D1"/>
    <w:rsid w:val="6F5C20CD"/>
    <w:rsid w:val="6F655B31"/>
    <w:rsid w:val="6F686576"/>
    <w:rsid w:val="6F6C08B9"/>
    <w:rsid w:val="6F755C7D"/>
    <w:rsid w:val="6F9208F0"/>
    <w:rsid w:val="6FA10B33"/>
    <w:rsid w:val="6FB86B60"/>
    <w:rsid w:val="6FEA24DA"/>
    <w:rsid w:val="6FF03E73"/>
    <w:rsid w:val="70000B2F"/>
    <w:rsid w:val="70161521"/>
    <w:rsid w:val="70200B50"/>
    <w:rsid w:val="706202C3"/>
    <w:rsid w:val="70625A09"/>
    <w:rsid w:val="706347FA"/>
    <w:rsid w:val="706A7177"/>
    <w:rsid w:val="7072571C"/>
    <w:rsid w:val="708244C1"/>
    <w:rsid w:val="7083070B"/>
    <w:rsid w:val="70926B4C"/>
    <w:rsid w:val="70986263"/>
    <w:rsid w:val="70A34A72"/>
    <w:rsid w:val="70A64653"/>
    <w:rsid w:val="70F03B20"/>
    <w:rsid w:val="71055202"/>
    <w:rsid w:val="710E4D50"/>
    <w:rsid w:val="71304804"/>
    <w:rsid w:val="71704E7E"/>
    <w:rsid w:val="71747FD9"/>
    <w:rsid w:val="7177258D"/>
    <w:rsid w:val="718405DF"/>
    <w:rsid w:val="71B41B1D"/>
    <w:rsid w:val="71C77CB6"/>
    <w:rsid w:val="721B2E1F"/>
    <w:rsid w:val="72213F27"/>
    <w:rsid w:val="723B19A8"/>
    <w:rsid w:val="723B5E7A"/>
    <w:rsid w:val="725C3430"/>
    <w:rsid w:val="725F3A17"/>
    <w:rsid w:val="727C0E6A"/>
    <w:rsid w:val="72903084"/>
    <w:rsid w:val="72917305"/>
    <w:rsid w:val="72DF5533"/>
    <w:rsid w:val="73235365"/>
    <w:rsid w:val="7324523E"/>
    <w:rsid w:val="73267CCD"/>
    <w:rsid w:val="735A7977"/>
    <w:rsid w:val="73906614"/>
    <w:rsid w:val="739C1D3D"/>
    <w:rsid w:val="73B00D78"/>
    <w:rsid w:val="73C739A0"/>
    <w:rsid w:val="73FF1AEC"/>
    <w:rsid w:val="740D7083"/>
    <w:rsid w:val="7416564C"/>
    <w:rsid w:val="7419338E"/>
    <w:rsid w:val="742C4E6F"/>
    <w:rsid w:val="74314A3D"/>
    <w:rsid w:val="7442453E"/>
    <w:rsid w:val="74671C85"/>
    <w:rsid w:val="74767411"/>
    <w:rsid w:val="748121FA"/>
    <w:rsid w:val="749B0247"/>
    <w:rsid w:val="749E5641"/>
    <w:rsid w:val="74DD6830"/>
    <w:rsid w:val="74EC2851"/>
    <w:rsid w:val="75101F79"/>
    <w:rsid w:val="75120509"/>
    <w:rsid w:val="751F6EBD"/>
    <w:rsid w:val="75244E96"/>
    <w:rsid w:val="75491A51"/>
    <w:rsid w:val="754B57C9"/>
    <w:rsid w:val="7558539D"/>
    <w:rsid w:val="75722D56"/>
    <w:rsid w:val="75972B6E"/>
    <w:rsid w:val="75982815"/>
    <w:rsid w:val="75B9315B"/>
    <w:rsid w:val="75BF0D87"/>
    <w:rsid w:val="75C40DCD"/>
    <w:rsid w:val="75DF5F11"/>
    <w:rsid w:val="75EF084A"/>
    <w:rsid w:val="762F1370"/>
    <w:rsid w:val="764346F2"/>
    <w:rsid w:val="76481D09"/>
    <w:rsid w:val="76487FF5"/>
    <w:rsid w:val="765C57B4"/>
    <w:rsid w:val="76607052"/>
    <w:rsid w:val="76876B13"/>
    <w:rsid w:val="768B4852"/>
    <w:rsid w:val="7693693E"/>
    <w:rsid w:val="76BD44A5"/>
    <w:rsid w:val="76E00193"/>
    <w:rsid w:val="76E63D17"/>
    <w:rsid w:val="7702635B"/>
    <w:rsid w:val="770E2A5F"/>
    <w:rsid w:val="77152FEE"/>
    <w:rsid w:val="7735228D"/>
    <w:rsid w:val="775972A4"/>
    <w:rsid w:val="777D71E9"/>
    <w:rsid w:val="7786623F"/>
    <w:rsid w:val="77B02172"/>
    <w:rsid w:val="77C61BDD"/>
    <w:rsid w:val="77CE4490"/>
    <w:rsid w:val="78085BF3"/>
    <w:rsid w:val="780F0D30"/>
    <w:rsid w:val="781F4CEB"/>
    <w:rsid w:val="782D565A"/>
    <w:rsid w:val="78474F31"/>
    <w:rsid w:val="78496F33"/>
    <w:rsid w:val="78A969DB"/>
    <w:rsid w:val="78E56E61"/>
    <w:rsid w:val="78E77BE4"/>
    <w:rsid w:val="792425B9"/>
    <w:rsid w:val="79336CA0"/>
    <w:rsid w:val="79426EE3"/>
    <w:rsid w:val="79524D4E"/>
    <w:rsid w:val="799139C7"/>
    <w:rsid w:val="79AA3C58"/>
    <w:rsid w:val="79D0629D"/>
    <w:rsid w:val="79E0568C"/>
    <w:rsid w:val="79F226B7"/>
    <w:rsid w:val="79FD1A8F"/>
    <w:rsid w:val="7A0A4EAC"/>
    <w:rsid w:val="7A1461E3"/>
    <w:rsid w:val="7A1F0FD2"/>
    <w:rsid w:val="7A4144E3"/>
    <w:rsid w:val="7A8774AE"/>
    <w:rsid w:val="7A88301C"/>
    <w:rsid w:val="7AA011E4"/>
    <w:rsid w:val="7AAD65DE"/>
    <w:rsid w:val="7ABD61F0"/>
    <w:rsid w:val="7AC005D3"/>
    <w:rsid w:val="7AE53FCA"/>
    <w:rsid w:val="7AFE6E12"/>
    <w:rsid w:val="7B0703E4"/>
    <w:rsid w:val="7B290B62"/>
    <w:rsid w:val="7B473CE8"/>
    <w:rsid w:val="7B4F73D1"/>
    <w:rsid w:val="7B5864E7"/>
    <w:rsid w:val="7B5D0004"/>
    <w:rsid w:val="7B6E6735"/>
    <w:rsid w:val="7B7812D7"/>
    <w:rsid w:val="7B88720A"/>
    <w:rsid w:val="7BBD4F47"/>
    <w:rsid w:val="7BD30D83"/>
    <w:rsid w:val="7C4B3C40"/>
    <w:rsid w:val="7C4E0D97"/>
    <w:rsid w:val="7C705B15"/>
    <w:rsid w:val="7C7E6E83"/>
    <w:rsid w:val="7CDB5685"/>
    <w:rsid w:val="7CDD5394"/>
    <w:rsid w:val="7CF46746"/>
    <w:rsid w:val="7D1D19FB"/>
    <w:rsid w:val="7D396911"/>
    <w:rsid w:val="7D425704"/>
    <w:rsid w:val="7D847ACA"/>
    <w:rsid w:val="7D8A3DF0"/>
    <w:rsid w:val="7D967C31"/>
    <w:rsid w:val="7DB81494"/>
    <w:rsid w:val="7DCC2F19"/>
    <w:rsid w:val="7DD3057E"/>
    <w:rsid w:val="7DF12C86"/>
    <w:rsid w:val="7E0E4770"/>
    <w:rsid w:val="7E1F617E"/>
    <w:rsid w:val="7E4A6396"/>
    <w:rsid w:val="7E5356DB"/>
    <w:rsid w:val="7E5F4093"/>
    <w:rsid w:val="7E6D59C2"/>
    <w:rsid w:val="7E861620"/>
    <w:rsid w:val="7E875C5D"/>
    <w:rsid w:val="7E8C61F7"/>
    <w:rsid w:val="7E90249F"/>
    <w:rsid w:val="7E9D1982"/>
    <w:rsid w:val="7EA238E0"/>
    <w:rsid w:val="7EA83C8C"/>
    <w:rsid w:val="7EB616F8"/>
    <w:rsid w:val="7EB91B6B"/>
    <w:rsid w:val="7ED91003"/>
    <w:rsid w:val="7EE051D4"/>
    <w:rsid w:val="7F186CA2"/>
    <w:rsid w:val="7F2D362E"/>
    <w:rsid w:val="7F6000C3"/>
    <w:rsid w:val="7F695EA5"/>
    <w:rsid w:val="7F6A0F42"/>
    <w:rsid w:val="7F800312"/>
    <w:rsid w:val="7F875EA1"/>
    <w:rsid w:val="7F8E525D"/>
    <w:rsid w:val="7F985AAF"/>
    <w:rsid w:val="7F9A2311"/>
    <w:rsid w:val="7F9A4C81"/>
    <w:rsid w:val="7FB844F1"/>
    <w:rsid w:val="7FC03627"/>
    <w:rsid w:val="7FD83B4E"/>
    <w:rsid w:val="7FDE55A2"/>
    <w:rsid w:val="7FE32BA2"/>
    <w:rsid w:val="7FFE3F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0"/>
    <w:pPr>
      <w:keepNext/>
      <w:keepLines/>
      <w:spacing w:before="340" w:after="330" w:line="576" w:lineRule="auto"/>
      <w:outlineLvl w:val="0"/>
    </w:pPr>
    <w:rPr>
      <w:rFonts w:cs="宋体"/>
      <w:b/>
      <w:bCs/>
      <w:kern w:val="44"/>
      <w:sz w:val="44"/>
      <w:szCs w:val="44"/>
    </w:rPr>
  </w:style>
  <w:style w:type="paragraph" w:styleId="3">
    <w:name w:val="heading 2"/>
    <w:basedOn w:val="1"/>
    <w:next w:val="1"/>
    <w:link w:val="22"/>
    <w:autoRedefine/>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23"/>
    <w:autoRedefine/>
    <w:qFormat/>
    <w:uiPriority w:val="0"/>
    <w:pPr>
      <w:keepNext/>
      <w:keepLines/>
      <w:spacing w:before="260" w:after="260" w:line="412" w:lineRule="auto"/>
      <w:outlineLvl w:val="2"/>
    </w:pPr>
    <w:rPr>
      <w:rFonts w:cs="宋体"/>
      <w:b/>
      <w:bCs/>
      <w:sz w:val="32"/>
      <w:szCs w:val="32"/>
    </w:rPr>
  </w:style>
  <w:style w:type="character" w:default="1" w:styleId="17">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200" w:firstLineChars="200"/>
    </w:pPr>
  </w:style>
  <w:style w:type="paragraph" w:styleId="6">
    <w:name w:val="annotation text"/>
    <w:basedOn w:val="1"/>
    <w:autoRedefine/>
    <w:qFormat/>
    <w:uiPriority w:val="0"/>
    <w:pPr>
      <w:adjustRightInd w:val="0"/>
      <w:spacing w:line="360" w:lineRule="atLeast"/>
      <w:jc w:val="left"/>
      <w:textAlignment w:val="baseline"/>
    </w:pPr>
    <w:rPr>
      <w:kern w:val="0"/>
      <w:sz w:val="24"/>
      <w:szCs w:val="20"/>
    </w:rPr>
  </w:style>
  <w:style w:type="paragraph" w:styleId="7">
    <w:name w:val="Body Text 3"/>
    <w:basedOn w:val="1"/>
    <w:autoRedefine/>
    <w:qFormat/>
    <w:uiPriority w:val="0"/>
    <w:pPr>
      <w:tabs>
        <w:tab w:val="left" w:pos="1080"/>
      </w:tabs>
      <w:adjustRightInd w:val="0"/>
      <w:snapToGrid w:val="0"/>
      <w:spacing w:before="120" w:line="300" w:lineRule="atLeast"/>
    </w:pPr>
    <w:rPr>
      <w:sz w:val="18"/>
      <w:szCs w:val="20"/>
    </w:rPr>
  </w:style>
  <w:style w:type="paragraph" w:styleId="8">
    <w:name w:val="Body Text"/>
    <w:basedOn w:val="1"/>
    <w:autoRedefine/>
    <w:qFormat/>
    <w:uiPriority w:val="0"/>
    <w:pPr>
      <w:spacing w:after="120"/>
    </w:pPr>
  </w:style>
  <w:style w:type="paragraph" w:styleId="9">
    <w:name w:val="Body Text Indent"/>
    <w:basedOn w:val="1"/>
    <w:link w:val="24"/>
    <w:autoRedefine/>
    <w:unhideWhenUsed/>
    <w:qFormat/>
    <w:uiPriority w:val="0"/>
    <w:pPr>
      <w:ind w:firstLine="630"/>
    </w:pPr>
    <w:rPr>
      <w:sz w:val="32"/>
      <w:szCs w:val="20"/>
    </w:rPr>
  </w:style>
  <w:style w:type="paragraph" w:styleId="10">
    <w:name w:val="Plain Text"/>
    <w:basedOn w:val="1"/>
    <w:link w:val="25"/>
    <w:autoRedefine/>
    <w:unhideWhenUsed/>
    <w:qFormat/>
    <w:uiPriority w:val="99"/>
    <w:rPr>
      <w:rFonts w:ascii="宋体" w:hAnsi="Courier New" w:cs="Courier New"/>
      <w:szCs w:val="21"/>
    </w:rPr>
  </w:style>
  <w:style w:type="paragraph" w:styleId="11">
    <w:name w:val="Body Text Indent 2"/>
    <w:basedOn w:val="1"/>
    <w:autoRedefine/>
    <w:qFormat/>
    <w:uiPriority w:val="99"/>
    <w:pPr>
      <w:ind w:firstLine="420" w:firstLineChars="150"/>
      <w:jc w:val="left"/>
    </w:p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Normal (Web)"/>
    <w:basedOn w:val="1"/>
    <w:autoRedefine/>
    <w:unhideWhenUsed/>
    <w:qFormat/>
    <w:uiPriority w:val="0"/>
    <w:pPr>
      <w:widowControl/>
      <w:spacing w:before="100" w:beforeAutospacing="1" w:after="100" w:afterAutospacing="1"/>
      <w:jc w:val="left"/>
    </w:pPr>
    <w:rPr>
      <w:rFonts w:ascii="宋体"/>
      <w:kern w:val="0"/>
      <w:sz w:val="18"/>
      <w:szCs w:val="18"/>
    </w:rPr>
  </w:style>
  <w:style w:type="character" w:styleId="18">
    <w:name w:val="Strong"/>
    <w:autoRedefine/>
    <w:qFormat/>
    <w:uiPriority w:val="22"/>
    <w:rPr>
      <w:b/>
    </w:rPr>
  </w:style>
  <w:style w:type="character" w:styleId="19">
    <w:name w:val="page number"/>
    <w:basedOn w:val="17"/>
    <w:autoRedefine/>
    <w:qFormat/>
    <w:uiPriority w:val="0"/>
  </w:style>
  <w:style w:type="character" w:styleId="20">
    <w:name w:val="Hyperlink"/>
    <w:autoRedefine/>
    <w:unhideWhenUsed/>
    <w:qFormat/>
    <w:uiPriority w:val="99"/>
    <w:rPr>
      <w:color w:val="0563C1"/>
      <w:u w:val="single"/>
    </w:rPr>
  </w:style>
  <w:style w:type="character" w:customStyle="1" w:styleId="21">
    <w:name w:val="标题 1 字符"/>
    <w:link w:val="2"/>
    <w:autoRedefine/>
    <w:qFormat/>
    <w:uiPriority w:val="0"/>
    <w:rPr>
      <w:rFonts w:ascii="Calibri" w:hAnsi="Calibri" w:eastAsia="宋体" w:cs="宋体"/>
      <w:b/>
      <w:bCs/>
      <w:kern w:val="44"/>
      <w:sz w:val="44"/>
      <w:szCs w:val="44"/>
    </w:rPr>
  </w:style>
  <w:style w:type="character" w:customStyle="1" w:styleId="22">
    <w:name w:val="标题 2 字符"/>
    <w:link w:val="3"/>
    <w:autoRedefine/>
    <w:semiHidden/>
    <w:qFormat/>
    <w:uiPriority w:val="0"/>
    <w:rPr>
      <w:rFonts w:ascii="Arial" w:hAnsi="Arial" w:eastAsia="黑体" w:cs="Times New Roman"/>
      <w:b/>
      <w:bCs/>
      <w:sz w:val="32"/>
      <w:szCs w:val="32"/>
    </w:rPr>
  </w:style>
  <w:style w:type="character" w:customStyle="1" w:styleId="23">
    <w:name w:val="标题 3 字符"/>
    <w:link w:val="4"/>
    <w:autoRedefine/>
    <w:semiHidden/>
    <w:qFormat/>
    <w:uiPriority w:val="0"/>
    <w:rPr>
      <w:rFonts w:ascii="Calibri" w:hAnsi="Calibri" w:eastAsia="宋体" w:cs="宋体"/>
      <w:b/>
      <w:bCs/>
      <w:sz w:val="32"/>
      <w:szCs w:val="32"/>
    </w:rPr>
  </w:style>
  <w:style w:type="character" w:customStyle="1" w:styleId="24">
    <w:name w:val="正文文本缩进 字符"/>
    <w:link w:val="9"/>
    <w:autoRedefine/>
    <w:semiHidden/>
    <w:qFormat/>
    <w:uiPriority w:val="0"/>
    <w:rPr>
      <w:rFonts w:ascii="Calibri" w:hAnsi="Calibri" w:eastAsia="宋体" w:cs="Times New Roman"/>
      <w:sz w:val="32"/>
      <w:szCs w:val="20"/>
    </w:rPr>
  </w:style>
  <w:style w:type="character" w:customStyle="1" w:styleId="25">
    <w:name w:val="纯文本 字符"/>
    <w:link w:val="10"/>
    <w:autoRedefine/>
    <w:semiHidden/>
    <w:qFormat/>
    <w:uiPriority w:val="99"/>
    <w:rPr>
      <w:rFonts w:ascii="宋体" w:hAnsi="Courier New" w:eastAsia="宋体" w:cs="Courier New"/>
      <w:szCs w:val="21"/>
    </w:rPr>
  </w:style>
  <w:style w:type="character" w:customStyle="1" w:styleId="26">
    <w:name w:val="页脚 字符"/>
    <w:link w:val="12"/>
    <w:autoRedefine/>
    <w:qFormat/>
    <w:uiPriority w:val="99"/>
    <w:rPr>
      <w:kern w:val="2"/>
      <w:sz w:val="18"/>
      <w:szCs w:val="18"/>
    </w:rPr>
  </w:style>
  <w:style w:type="character" w:customStyle="1" w:styleId="27">
    <w:name w:val="页眉 字符"/>
    <w:link w:val="13"/>
    <w:autoRedefine/>
    <w:qFormat/>
    <w:uiPriority w:val="99"/>
    <w:rPr>
      <w:kern w:val="2"/>
      <w:sz w:val="18"/>
      <w:szCs w:val="18"/>
    </w:rPr>
  </w:style>
  <w:style w:type="character" w:customStyle="1" w:styleId="28">
    <w:name w:val="font11"/>
    <w:autoRedefine/>
    <w:qFormat/>
    <w:uiPriority w:val="0"/>
    <w:rPr>
      <w:rFonts w:ascii="Arial" w:hAnsi="Arial" w:cs="Arial"/>
      <w:color w:val="000000"/>
      <w:sz w:val="22"/>
      <w:szCs w:val="22"/>
      <w:u w:val="none"/>
    </w:rPr>
  </w:style>
  <w:style w:type="character" w:customStyle="1" w:styleId="29">
    <w:name w:val="font01"/>
    <w:autoRedefine/>
    <w:qFormat/>
    <w:uiPriority w:val="0"/>
    <w:rPr>
      <w:rFonts w:hint="eastAsia" w:ascii="宋体" w:hAnsi="宋体" w:eastAsia="宋体" w:cs="宋体"/>
      <w:color w:val="000000"/>
      <w:sz w:val="22"/>
      <w:szCs w:val="22"/>
      <w:u w:val="none"/>
    </w:rPr>
  </w:style>
  <w:style w:type="character" w:customStyle="1" w:styleId="30">
    <w:name w:val="_Style 29"/>
    <w:autoRedefine/>
    <w:unhideWhenUsed/>
    <w:qFormat/>
    <w:uiPriority w:val="99"/>
    <w:rPr>
      <w:color w:val="605E5C"/>
      <w:shd w:val="clear" w:color="auto" w:fill="E1DFDD"/>
    </w:rPr>
  </w:style>
  <w:style w:type="paragraph" w:customStyle="1" w:styleId="31">
    <w:name w:val="Normal"/>
    <w:autoRedefine/>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目录"/>
    <w:basedOn w:val="1"/>
    <w:autoRedefine/>
    <w:qFormat/>
    <w:uiPriority w:val="0"/>
    <w:pPr>
      <w:widowControl/>
      <w:jc w:val="center"/>
    </w:pPr>
    <w:rPr>
      <w:rFonts w:hAnsi="Times New Roman"/>
      <w:b/>
      <w:kern w:val="0"/>
      <w:sz w:val="36"/>
      <w:szCs w:val="20"/>
    </w:rPr>
  </w:style>
  <w:style w:type="paragraph" w:styleId="34">
    <w:name w:val="List Paragraph"/>
    <w:basedOn w:val="1"/>
    <w:autoRedefine/>
    <w:qFormat/>
    <w:uiPriority w:val="0"/>
    <w:pPr>
      <w:ind w:firstLine="420" w:firstLineChars="200"/>
    </w:pPr>
    <w:rPr>
      <w:rFonts w:ascii="Calibri" w:hAnsi="Calibri"/>
      <w:szCs w:val="22"/>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TOC Heading"/>
    <w:basedOn w:val="2"/>
    <w:next w:val="1"/>
    <w:autoRedefine/>
    <w:qFormat/>
    <w:uiPriority w:val="39"/>
    <w:pPr>
      <w:outlineLvl w:val="9"/>
    </w:pPr>
    <w:rPr>
      <w:rFonts w:ascii="Calibri" w:hAnsi="Calibri"/>
    </w:rPr>
  </w:style>
  <w:style w:type="paragraph" w:customStyle="1" w:styleId="37">
    <w:name w:val="正文首行缩进两字符"/>
    <w:basedOn w:val="1"/>
    <w:autoRedefine/>
    <w:qFormat/>
    <w:uiPriority w:val="0"/>
    <w:pPr>
      <w:spacing w:line="360" w:lineRule="auto"/>
      <w:ind w:firstLine="200" w:firstLineChars="200"/>
    </w:pPr>
  </w:style>
  <w:style w:type="paragraph" w:customStyle="1" w:styleId="38">
    <w:name w:val="表格"/>
    <w:basedOn w:val="1"/>
    <w:autoRedefine/>
    <w:qFormat/>
    <w:uiPriority w:val="0"/>
    <w:pPr>
      <w:tabs>
        <w:tab w:val="left" w:pos="1200"/>
      </w:tabs>
      <w:spacing w:line="500" w:lineRule="exact"/>
      <w:jc w:val="center"/>
    </w:pPr>
    <w:rPr>
      <w:rFonts w:ascii="宋体"/>
      <w:sz w:val="24"/>
      <w:szCs w:val="18"/>
    </w:rPr>
  </w:style>
  <w:style w:type="paragraph" w:customStyle="1" w:styleId="39">
    <w:name w:val="普通 (Web)"/>
    <w:basedOn w:val="1"/>
    <w:autoRedefine/>
    <w:qFormat/>
    <w:uiPriority w:val="0"/>
    <w:pPr>
      <w:widowControl/>
      <w:spacing w:before="100" w:beforeAutospacing="1" w:after="100" w:afterAutospacing="1"/>
      <w:jc w:val="left"/>
    </w:pPr>
    <w:rPr>
      <w:kern w:val="0"/>
      <w:sz w:val="24"/>
    </w:rPr>
  </w:style>
  <w:style w:type="character" w:customStyle="1" w:styleId="40">
    <w:name w:val="font51"/>
    <w:basedOn w:val="17"/>
    <w:autoRedefine/>
    <w:qFormat/>
    <w:uiPriority w:val="0"/>
    <w:rPr>
      <w:rFonts w:hint="eastAsia" w:ascii="宋体" w:hAnsi="宋体" w:eastAsia="宋体" w:cs="宋体"/>
      <w:color w:val="000000"/>
      <w:sz w:val="24"/>
      <w:szCs w:val="24"/>
      <w:u w:val="none"/>
    </w:rPr>
  </w:style>
  <w:style w:type="paragraph" w:customStyle="1" w:styleId="41">
    <w:name w:val="正文1"/>
    <w:basedOn w:val="5"/>
    <w:next w:val="1"/>
    <w:autoRedefine/>
    <w:qFormat/>
    <w:uiPriority w:val="0"/>
    <w:pPr>
      <w:spacing w:line="300" w:lineRule="auto"/>
      <w:ind w:firstLine="200" w:firstLineChars="200"/>
    </w:pPr>
    <w:rPr>
      <w:sz w:val="24"/>
    </w:rPr>
  </w:style>
  <w:style w:type="paragraph" w:customStyle="1" w:styleId="42">
    <w:name w:val="Table Text"/>
    <w:basedOn w:val="1"/>
    <w:autoRedefine/>
    <w:semiHidden/>
    <w:qFormat/>
    <w:uiPriority w:val="0"/>
    <w:rPr>
      <w:rFonts w:ascii="宋体" w:hAnsi="宋体" w:eastAsia="宋体" w:cs="宋体"/>
      <w:sz w:val="24"/>
      <w:szCs w:val="24"/>
      <w:lang w:val="en-US" w:eastAsia="en-US"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character" w:customStyle="1" w:styleId="44">
    <w:name w:val="font61"/>
    <w:basedOn w:val="1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12502</Words>
  <Characters>13480</Characters>
  <Lines>1</Lines>
  <Paragraphs>1</Paragraphs>
  <TotalTime>3</TotalTime>
  <ScaleCrop>false</ScaleCrop>
  <LinksUpToDate>false</LinksUpToDate>
  <CharactersWithSpaces>14699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2023-11-21T00:39:00Z</dcterms:created>
  <dc:creator>庄泽华</dc:creator>
  <cp:lastModifiedBy>janet</cp:lastModifiedBy>
  <cp:lastPrinted>2018-08-23T01:51:00Z</cp:lastPrinted>
  <dcterms:modified xsi:type="dcterms:W3CDTF">2024-03-18T02:53:22Z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3DC590EFC5504907AC125C0ADA0D7525_13</vt:lpwstr>
  </property>
</Properties>
</file>